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58" w:rsidRPr="00730B58" w:rsidRDefault="00730B58" w:rsidP="00730B58">
      <w:pPr>
        <w:widowControl/>
        <w:tabs>
          <w:tab w:val="left" w:pos="4261"/>
        </w:tabs>
        <w:jc w:val="center"/>
        <w:textAlignment w:val="center"/>
        <w:rPr>
          <w:rFonts w:ascii="方正小标宋简体" w:eastAsia="方正小标宋简体" w:hAnsi="宋体" w:cs="仿宋_GB2312"/>
          <w:color w:val="000000"/>
          <w:kern w:val="0"/>
          <w:sz w:val="44"/>
          <w:szCs w:val="44"/>
        </w:rPr>
      </w:pPr>
      <w:bookmarkStart w:id="0" w:name="_GoBack"/>
      <w:r w:rsidRPr="00730B58"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2021</w:t>
      </w:r>
      <w:r w:rsidR="00C5247E"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年朝阳区志愿律所</w:t>
      </w:r>
      <w:r w:rsidRPr="00730B58"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名录</w:t>
      </w:r>
      <w:r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（100家）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北京市隆安律师事务所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泰和泰（北京）律师事务所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北京达略律师事务所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北京玄黄律师事务所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天信和律师事务所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北京济和律师事务所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瀚翔律师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北京市永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北京市东元律师事务所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北京理道律师事务所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北京再虹律师事务所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北京市富程律师事务所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北京尚晖律师事务所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北京市众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明律师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北京麓泽律师事务所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北京六信律师事务所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北京今是律师事务所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北京市华泰律师事务所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北京辉远律师事务所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北京东远鹤錡律师事务所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郦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阳律师事务所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北京德和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衡律师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北京高文律师事务所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北京市首方律师事务所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北京迅腾律师事务所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北京市经纬律师事务所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北京威诺律师事务所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北京市振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邦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北京中师律师事务所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北京市两高律师事务所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北京培仁律师事务所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北京大铎律师事务所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北京合弘威宇律师事务所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北京市东卫律师事务所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北京裕仁律师事务所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北京市华一律师事务所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北京邦洋律师事务所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鼎鉴律师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北京伯彦律师事务所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北京格通律师事务所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北京市广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言律师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鑫诺律师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开盈律师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北京市汉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良律师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北京市华城律师事务所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北京市中策律师事务所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北京市国度律师事务所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北京市诺恒律师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北京腾岳律师事务所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浙江靖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霖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（北京）律师事务所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北京君途律师事务所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北京嘉论律师事务所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北京市友邦律师事务所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北京市京师律师事务所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北京度君律师事务所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北京市博人律师事务所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北京市中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淇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北京王峻岩律师事务所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北京市盈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北京金诚同达律师事务所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北京伟睿律师事务所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北京汇祥律师事务所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北京乾成律师事务所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北京公衡律师事务所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北京首熙律师事务所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山东康桥（北京）律师事务所</w:t>
      </w:r>
    </w:p>
    <w:p w:rsidR="00ED399D" w:rsidRPr="000010BC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sz w:val="32"/>
          <w:szCs w:val="32"/>
        </w:rPr>
      </w:pPr>
      <w:r w:rsidRPr="000010BC">
        <w:rPr>
          <w:rFonts w:ascii="仿宋_GB2312" w:eastAsia="仿宋_GB2312" w:hAnsi="宋体" w:cs="仿宋_GB2312" w:hint="eastAsia"/>
          <w:kern w:val="0"/>
          <w:sz w:val="32"/>
          <w:szCs w:val="32"/>
        </w:rPr>
        <w:t>北京市北方律师事务所</w:t>
      </w:r>
      <w:r w:rsidRPr="000010BC">
        <w:rPr>
          <w:rFonts w:ascii="仿宋_GB2312" w:eastAsia="仿宋_GB2312" w:hAnsi="宋体" w:cs="仿宋_GB2312" w:hint="eastAsia"/>
          <w:sz w:val="32"/>
          <w:szCs w:val="32"/>
        </w:rPr>
        <w:tab/>
      </w:r>
      <w:r w:rsidRPr="000010BC">
        <w:rPr>
          <w:rFonts w:ascii="仿宋_GB2312" w:eastAsia="仿宋_GB2312" w:hAnsi="宋体" w:cs="仿宋_GB2312" w:hint="eastAsia"/>
          <w:kern w:val="0"/>
          <w:sz w:val="32"/>
          <w:szCs w:val="32"/>
        </w:rPr>
        <w:t>北京东然律师事务所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北京市东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友律师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北京坤道律师事务所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北京市中恒信律师事务所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北京秉理律师事务所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北京云嘉律师事务所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北京市北斗鼎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铭律师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北京首兴律师事务所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海勤律师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北京中银律师事务所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北京市京德律师事务所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北京市京都律师事务所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北京市岳成律师事务所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北京市长安律师事务所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北京懿廷律师事务所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北京市金栋律师事务所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北京凯耀律师事务所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北京紫华律师事务所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北京京法律师事务所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北京嘉维律师事务所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北京市易行律师事务所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北京恒都律师事务所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北京市康达律师事务所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北京大成律师事务所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北京京润律师事务所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北京直方律师事务所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北京五辰律师事务所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北京天霜律师事务所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中伦律师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北京家理律师事务所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北京市中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盾律师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事务所</w:t>
      </w:r>
    </w:p>
    <w:p w:rsidR="00ED399D" w:rsidRDefault="005F5D9C">
      <w:pPr>
        <w:widowControl/>
        <w:tabs>
          <w:tab w:val="left" w:pos="4261"/>
        </w:tabs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北京市汉和律师事务所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北京尚克越翔律师事务所</w:t>
      </w:r>
    </w:p>
    <w:bookmarkEnd w:id="0"/>
    <w:p w:rsidR="00ED399D" w:rsidRDefault="00ED399D"/>
    <w:sectPr w:rsidR="00ED399D" w:rsidSect="00ED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2F" w:rsidRDefault="00603C2F" w:rsidP="001A3C97">
      <w:r>
        <w:separator/>
      </w:r>
    </w:p>
  </w:endnote>
  <w:endnote w:type="continuationSeparator" w:id="0">
    <w:p w:rsidR="00603C2F" w:rsidRDefault="00603C2F" w:rsidP="001A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2F" w:rsidRDefault="00603C2F" w:rsidP="001A3C97">
      <w:r>
        <w:separator/>
      </w:r>
    </w:p>
  </w:footnote>
  <w:footnote w:type="continuationSeparator" w:id="0">
    <w:p w:rsidR="00603C2F" w:rsidRDefault="00603C2F" w:rsidP="001A3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086C04"/>
    <w:rsid w:val="000010BC"/>
    <w:rsid w:val="001A3C97"/>
    <w:rsid w:val="004363D6"/>
    <w:rsid w:val="0043644F"/>
    <w:rsid w:val="005F5D9C"/>
    <w:rsid w:val="00603C2F"/>
    <w:rsid w:val="00730B58"/>
    <w:rsid w:val="00AE49F8"/>
    <w:rsid w:val="00C5247E"/>
    <w:rsid w:val="00ED399D"/>
    <w:rsid w:val="4808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9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9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A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3C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A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3C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宗耀</dc:creator>
  <cp:lastModifiedBy>001</cp:lastModifiedBy>
  <cp:revision>6</cp:revision>
  <dcterms:created xsi:type="dcterms:W3CDTF">2021-08-31T06:59:00Z</dcterms:created>
  <dcterms:modified xsi:type="dcterms:W3CDTF">2021-09-09T06:31:00Z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E90586FE33BB4B2AA7D68ACE1D77977E</vt:lpwstr>
  </property>
</Properties>
</file>