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  <w:t>2026年1-2月朝阳区规模以上服务业企业运行情况</w:t>
      </w:r>
    </w:p>
    <w:p w14:paraId="53DC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cs="Times New Roman Regular" w:eastAsiaTheme="minorEastAsia"/>
          <w:b w:val="0"/>
          <w:bCs/>
          <w:sz w:val="44"/>
          <w:szCs w:val="44"/>
          <w:lang w:val="en-US" w:eastAsia="zh-CN"/>
        </w:rPr>
      </w:pPr>
    </w:p>
    <w:p w14:paraId="60CA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2026年1-2月，朝阳区规模以上服务业企业合计实现营业收入</w:t>
      </w:r>
      <w:r>
        <w:rPr>
          <w:rFonts w:hint="eastAsia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2188.9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亿元，同比增长2.2%。分行业看，信息传输、软件和信息技术服务业，科学研究和技术服务业以及租赁和商务服务业三个行业增长较快，收入分别增长7.0%、6.5%和2.2%。文化、体育和娱乐业，房地产业收入分别下降7.8%和5.4%。</w:t>
      </w:r>
    </w:p>
    <w:p w14:paraId="342F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</w:p>
    <w:p w14:paraId="5729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注：服务业企业包括交通运输、仓储和邮政业，信息传输、软件和信息技术服务业，物业管理、房地产中介服务、房地产租赁经营和其他房地产业，租赁和商务服务业，科学研究和技术服务业，水利、环境和公共设施管理业，居民服务、修理和其他服务业，教育，卫生和社会工作，文化、体育和娱乐业企业法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F0DBA"/>
    <w:rsid w:val="577F098E"/>
    <w:rsid w:val="FEFFC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娄</cp:lastModifiedBy>
  <dcterms:modified xsi:type="dcterms:W3CDTF">2026-04-08T09:23:16Z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5DB06FDA7EF44DB480E9E58EEEE0EE32_12</vt:lpwstr>
  </property>
</Properties>
</file>