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2023年1-</w:t>
      </w:r>
      <w:r>
        <w:rPr>
          <w:rFonts w:hint="eastAsia" w:asciiTheme="minorEastAsia" w:hAnsiTheme="minorEastAsia" w:eastAsiaTheme="minorEastAsia"/>
          <w:b/>
          <w:bCs/>
          <w:spacing w:val="15"/>
          <w:sz w:val="44"/>
          <w:szCs w:val="44"/>
          <w:lang w:val="en-US" w:eastAsia="zh-CN"/>
        </w:rPr>
        <w:t>2</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w:t>
      </w:r>
      <w:r>
        <w:rPr>
          <w:rFonts w:hint="eastAsia" w:asciiTheme="minorEastAsia" w:hAnsiTheme="minorEastAsia" w:eastAsiaTheme="minorEastAsia"/>
          <w:b/>
          <w:bCs/>
          <w:spacing w:val="15"/>
          <w:sz w:val="44"/>
          <w:szCs w:val="44"/>
          <w:lang w:val="en-US" w:eastAsia="zh-CN"/>
        </w:rPr>
        <w:t>1.4</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2023年1-</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月，朝阳区固定资产投资（不含农户）同比增长</w:t>
      </w:r>
      <w:r>
        <w:rPr>
          <w:rFonts w:hint="eastAsia" w:cs="宋体" w:asciiTheme="minorEastAsia" w:hAnsiTheme="minorEastAsia" w:eastAsiaTheme="minorEastAsia"/>
          <w:kern w:val="0"/>
          <w:sz w:val="28"/>
          <w:szCs w:val="28"/>
          <w:lang w:val="en-US" w:eastAsia="zh-CN"/>
        </w:rPr>
        <w:t>1.4</w:t>
      </w:r>
      <w:r>
        <w:rPr>
          <w:rFonts w:hint="eastAsia" w:cs="宋体" w:asciiTheme="minorEastAsia" w:hAnsiTheme="minorEastAsia" w:eastAsiaTheme="minorEastAsia"/>
          <w:kern w:val="0"/>
          <w:sz w:val="28"/>
          <w:szCs w:val="28"/>
        </w:rPr>
        <w:t>%,其中，房地产开发投资同比增长</w:t>
      </w:r>
      <w:r>
        <w:rPr>
          <w:rFonts w:hint="eastAsia" w:cs="宋体" w:asciiTheme="minorEastAsia" w:hAnsiTheme="minorEastAsia" w:eastAsiaTheme="minorEastAsia"/>
          <w:kern w:val="0"/>
          <w:sz w:val="28"/>
          <w:szCs w:val="28"/>
          <w:lang w:val="en-US" w:eastAsia="zh-CN"/>
        </w:rPr>
        <w:t>39.1</w:t>
      </w:r>
      <w:r>
        <w:rPr>
          <w:rFonts w:hint="eastAsia" w:cs="宋体" w:asciiTheme="minorEastAsia" w:hAnsiTheme="minorEastAsia" w:eastAsiaTheme="minorEastAsia"/>
          <w:kern w:val="0"/>
          <w:sz w:val="28"/>
          <w:szCs w:val="28"/>
        </w:rPr>
        <w:t>%。</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1．1-</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月，朝阳区建安投资同比下降</w:t>
      </w:r>
      <w:r>
        <w:rPr>
          <w:rFonts w:hint="eastAsia" w:cs="宋体" w:asciiTheme="minorEastAsia" w:hAnsiTheme="minorEastAsia" w:eastAsiaTheme="minorEastAsia"/>
          <w:kern w:val="0"/>
          <w:sz w:val="28"/>
          <w:szCs w:val="28"/>
          <w:lang w:val="en-US" w:eastAsia="zh-CN"/>
        </w:rPr>
        <w:t>45.1</w:t>
      </w:r>
      <w:r>
        <w:rPr>
          <w:rFonts w:hint="eastAsia" w:cs="宋体" w:asciiTheme="minorEastAsia" w:hAnsiTheme="minorEastAsia" w:eastAsiaTheme="minorEastAsia"/>
          <w:kern w:val="0"/>
          <w:sz w:val="28"/>
          <w:szCs w:val="28"/>
        </w:rPr>
        <w:t>%。</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2．1-</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月，朝阳区民间固定资产投资同比增长</w:t>
      </w:r>
      <w:r>
        <w:rPr>
          <w:rFonts w:hint="eastAsia" w:cs="宋体" w:asciiTheme="minorEastAsia" w:hAnsiTheme="minorEastAsia" w:eastAsiaTheme="minorEastAsia"/>
          <w:kern w:val="0"/>
          <w:sz w:val="28"/>
          <w:szCs w:val="28"/>
          <w:lang w:val="en-US" w:eastAsia="zh-CN"/>
        </w:rPr>
        <w:t>17.5</w:t>
      </w:r>
      <w:r>
        <w:rPr>
          <w:rFonts w:hint="eastAsia" w:cs="宋体" w:asciiTheme="minorEastAsia" w:hAnsiTheme="minorEastAsia" w:eastAsiaTheme="minorEastAsia"/>
          <w:kern w:val="0"/>
          <w:sz w:val="28"/>
          <w:szCs w:val="28"/>
        </w:rPr>
        <w:t>%。</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图　2023年1-</w:t>
      </w:r>
      <w:r>
        <w:rPr>
          <w:rFonts w:hint="eastAsia" w:ascii="宋体" w:hAnsi="宋体" w:cs="宋体"/>
          <w:b/>
          <w:bCs/>
          <w:kern w:val="0"/>
          <w:sz w:val="28"/>
          <w:szCs w:val="28"/>
          <w:lang w:val="en-US" w:eastAsia="zh-CN"/>
        </w:rPr>
        <w:t>2</w:t>
      </w:r>
      <w:r>
        <w:rPr>
          <w:rFonts w:hint="eastAsia" w:ascii="宋体" w:hAnsi="宋体" w:cs="宋体"/>
          <w:b/>
          <w:bCs/>
          <w:kern w:val="0"/>
          <w:sz w:val="28"/>
          <w:szCs w:val="28"/>
        </w:rPr>
        <w:t>月朝阳区固定资产投资（不含农户）增速情况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widowControl/>
        <w:spacing w:line="300" w:lineRule="atLeast"/>
      </w:pPr>
      <w:bookmarkStart w:id="0" w:name="_GoBack"/>
      <w:r>
        <w:drawing>
          <wp:inline distT="0" distB="0" distL="114300" distR="114300">
            <wp:extent cx="5483860" cy="3030220"/>
            <wp:effectExtent l="0" t="0" r="2540"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pPr>
        <w:spacing w:line="480" w:lineRule="auto"/>
        <w:ind w:firstLine="562" w:firstLineChars="200"/>
        <w:rPr>
          <w:rFonts w:hint="eastAsia" w:ascii="宋体" w:hAnsi="宋体" w:cs="宋体"/>
          <w:b/>
          <w:bCs/>
          <w:kern w:val="0"/>
          <w:sz w:val="28"/>
          <w:szCs w:val="28"/>
        </w:rPr>
      </w:pPr>
    </w:p>
    <w:p>
      <w:pPr>
        <w:spacing w:line="480" w:lineRule="auto"/>
        <w:ind w:firstLine="562" w:firstLineChars="200"/>
        <w:rPr>
          <w:rFonts w:hint="eastAsia" w:ascii="宋体" w:hAnsi="宋体" w:cs="宋体"/>
          <w:b/>
          <w:bCs/>
          <w:kern w:val="0"/>
          <w:sz w:val="28"/>
          <w:szCs w:val="28"/>
        </w:rPr>
      </w:pPr>
    </w:p>
    <w:p>
      <w:pPr>
        <w:spacing w:line="480" w:lineRule="auto"/>
        <w:ind w:firstLine="562" w:firstLineChars="200"/>
        <w:rPr>
          <w:rFonts w:hint="eastAsia" w:ascii="宋体" w:hAnsi="宋体" w:cs="宋体"/>
          <w:b/>
          <w:bCs/>
          <w:kern w:val="0"/>
          <w:sz w:val="28"/>
          <w:szCs w:val="28"/>
        </w:rPr>
      </w:pPr>
    </w:p>
    <w:p>
      <w:pPr>
        <w:spacing w:line="480" w:lineRule="auto"/>
        <w:ind w:firstLine="562" w:firstLineChars="200"/>
        <w:rPr>
          <w:rFonts w:hint="eastAsia" w:ascii="宋体" w:hAnsi="宋体" w:cs="宋体"/>
          <w:b/>
          <w:bCs/>
          <w:kern w:val="0"/>
          <w:sz w:val="28"/>
          <w:szCs w:val="28"/>
        </w:rPr>
      </w:pPr>
    </w:p>
    <w:p>
      <w:pPr>
        <w:spacing w:line="480" w:lineRule="auto"/>
        <w:ind w:firstLine="562" w:firstLineChars="200"/>
        <w:rPr>
          <w:rFonts w:hint="eastAsia" w:ascii="宋体" w:hAnsi="宋体" w:cs="宋体"/>
          <w:b/>
          <w:bCs/>
          <w:kern w:val="0"/>
          <w:sz w:val="28"/>
          <w:szCs w:val="28"/>
        </w:rPr>
      </w:pPr>
    </w:p>
    <w:p>
      <w:pPr>
        <w:spacing w:line="480" w:lineRule="auto"/>
        <w:ind w:firstLine="562" w:firstLineChars="200"/>
        <w:rPr>
          <w:rFonts w:hint="eastAsia" w:ascii="宋体" w:hAnsi="宋体" w:cs="宋体"/>
          <w:b/>
          <w:bCs/>
          <w:kern w:val="0"/>
          <w:sz w:val="28"/>
          <w:szCs w:val="28"/>
        </w:rPr>
      </w:pP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76B0C07"/>
    <w:rsid w:val="09B856A2"/>
    <w:rsid w:val="0F371CB7"/>
    <w:rsid w:val="10673459"/>
    <w:rsid w:val="178D2071"/>
    <w:rsid w:val="1ACF7F10"/>
    <w:rsid w:val="1C70425F"/>
    <w:rsid w:val="20874380"/>
    <w:rsid w:val="22AC1615"/>
    <w:rsid w:val="234852A8"/>
    <w:rsid w:val="26F45322"/>
    <w:rsid w:val="27A32BF1"/>
    <w:rsid w:val="2CE27C2F"/>
    <w:rsid w:val="2E703BCB"/>
    <w:rsid w:val="31F0151C"/>
    <w:rsid w:val="3C0C2124"/>
    <w:rsid w:val="3EA60348"/>
    <w:rsid w:val="448775FA"/>
    <w:rsid w:val="44AE0841"/>
    <w:rsid w:val="450768A0"/>
    <w:rsid w:val="455160B1"/>
    <w:rsid w:val="45A44DB2"/>
    <w:rsid w:val="463067D1"/>
    <w:rsid w:val="471D1B55"/>
    <w:rsid w:val="4A476575"/>
    <w:rsid w:val="56197D41"/>
    <w:rsid w:val="5B1C2F2E"/>
    <w:rsid w:val="61797581"/>
    <w:rsid w:val="656B1C33"/>
    <w:rsid w:val="659A02DC"/>
    <w:rsid w:val="659D6111"/>
    <w:rsid w:val="661B1450"/>
    <w:rsid w:val="6D556999"/>
    <w:rsid w:val="71AA3994"/>
    <w:rsid w:val="72181971"/>
    <w:rsid w:val="732B026E"/>
    <w:rsid w:val="738A3D86"/>
    <w:rsid w:val="792E2702"/>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3\&#25151;&#22320;&#20135;\&#25151;&#22320;&#20135;&#24320;&#21457;&#25552;&#20379;&#25968;&#25454;&#21450;&#26597;&#35810;\&#23545;&#22806;&#25552;&#20379;&#25968;&#25454;\A-&#25968;&#25454;&#20449;&#24687;&#21457;&#24067;\2&#26376;\&#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83379534771604"/>
          <c:y val="0.0211651299245599"/>
          <c:w val="0.865614077377365"/>
          <c:h val="0.742455993294216"/>
        </c:manualLayout>
      </c:layout>
      <c:lineChart>
        <c:grouping val="standard"/>
        <c:varyColors val="0"/>
        <c:ser>
          <c:idx val="0"/>
          <c:order val="0"/>
          <c:tx>
            <c:strRef>
              <c:f>[图表.xlsx]全社会固定资产投资!$D$26</c:f>
              <c:strCache>
                <c:ptCount val="1"/>
                <c:pt idx="0">
                  <c:v>增速</c:v>
                </c:pt>
              </c:strCache>
            </c:strRef>
          </c:tx>
          <c:dPt>
            <c:idx val="0"/>
            <c:bubble3D val="0"/>
            <c:spPr>
              <a:ln w="28575" cap="rnd" cmpd="sng" algn="ctr">
                <a:solidFill>
                  <a:schemeClr val="accent1"/>
                </a:solidFill>
                <a:prstDash val="solid"/>
                <a:round/>
              </a:ln>
            </c:spPr>
          </c:dPt>
          <c:dPt>
            <c:idx val="1"/>
            <c:bubble3D val="0"/>
            <c:spPr>
              <a:ln w="28575" cap="rnd" cmpd="sng" algn="ctr">
                <a:solidFill>
                  <a:schemeClr val="accent1"/>
                </a:solidFill>
                <a:prstDash val="solid"/>
                <a:round/>
              </a:ln>
            </c:spPr>
          </c:dPt>
          <c:dPt>
            <c:idx val="2"/>
            <c:bubble3D val="0"/>
            <c:spPr>
              <a:ln w="28575" cap="rnd" cmpd="sng" algn="ctr">
                <a:solidFill>
                  <a:schemeClr val="accent1">
                    <a:shade val="95000"/>
                    <a:satMod val="105000"/>
                  </a:schemeClr>
                </a:solidFill>
                <a:prstDash val="solid"/>
                <a:round/>
              </a:ln>
              <a:sp3d contourW="28575"/>
            </c:spPr>
          </c:dPt>
          <c:dPt>
            <c:idx val="3"/>
            <c:bubble3D val="0"/>
            <c:spPr>
              <a:ln w="28575" cap="rnd" cmpd="sng" algn="ctr">
                <a:solidFill>
                  <a:schemeClr val="accent1"/>
                </a:solidFill>
                <a:prstDash val="solid"/>
                <a:round/>
              </a:ln>
            </c:spPr>
          </c:dPt>
          <c:dPt>
            <c:idx val="4"/>
            <c:bubble3D val="0"/>
            <c:spPr>
              <a:ln w="28575" cap="rnd" cmpd="sng" algn="ctr">
                <a:solidFill>
                  <a:schemeClr val="accent1"/>
                </a:solidFill>
                <a:prstDash val="solid"/>
                <a:round/>
              </a:ln>
            </c:spPr>
          </c:dPt>
          <c:dPt>
            <c:idx val="5"/>
            <c:bubble3D val="0"/>
            <c:spPr>
              <a:ln w="28575" cap="rnd" cmpd="sng" algn="ctr">
                <a:solidFill>
                  <a:schemeClr val="accent1"/>
                </a:solidFill>
                <a:prstDash val="solid"/>
                <a:round/>
              </a:ln>
            </c:spPr>
          </c:dPt>
          <c:dPt>
            <c:idx val="6"/>
            <c:bubble3D val="0"/>
            <c:spPr>
              <a:ln w="28575" cap="rnd" cmpd="sng" algn="ctr">
                <a:solidFill>
                  <a:schemeClr val="accent1"/>
                </a:solidFill>
                <a:prstDash val="solid"/>
                <a:round/>
              </a:ln>
            </c:spPr>
          </c:dPt>
          <c:dPt>
            <c:idx val="7"/>
            <c:bubble3D val="0"/>
            <c:spPr>
              <a:ln w="28575" cap="rnd" cmpd="sng" algn="ctr">
                <a:solidFill>
                  <a:schemeClr val="accent1">
                    <a:shade val="95000"/>
                    <a:satMod val="105000"/>
                  </a:schemeClr>
                </a:solidFill>
                <a:prstDash val="solid"/>
                <a:round/>
              </a:ln>
            </c:spPr>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dPt>
          <c:dPt>
            <c:idx val="11"/>
            <c:bubble3D val="0"/>
            <c:spPr>
              <a:ln w="28575" cap="rnd" cmpd="sng" algn="ctr">
                <a:noFill/>
                <a:prstDash val="solid"/>
                <a:round/>
              </a:ln>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[图表.xlsx]全社会固定资产投资!$B$73:$C$84</c:f>
              <c:multiLvlStrCache>
                <c:ptCount val="12"/>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lvl>
                <c:lvl>
                  <c:pt idx="0">
                    <c:v>2022年</c:v>
                  </c:pt>
                  <c:pt idx="11">
                    <c:v>2023年</c:v>
                  </c:pt>
                </c:lvl>
              </c:multiLvlStrCache>
            </c:multiLvlStrRef>
          </c:cat>
          <c:val>
            <c:numRef>
              <c:f>[图表.xlsx]全社会固定资产投资!$D$73:$D$84</c:f>
              <c:numCache>
                <c:formatCode>0.0_ </c:formatCode>
                <c:ptCount val="12"/>
                <c:pt idx="0">
                  <c:v>8.9</c:v>
                </c:pt>
                <c:pt idx="1">
                  <c:v>12.8</c:v>
                </c:pt>
                <c:pt idx="2">
                  <c:v>11.3</c:v>
                </c:pt>
                <c:pt idx="3">
                  <c:v>7.5</c:v>
                </c:pt>
                <c:pt idx="4">
                  <c:v>10.1</c:v>
                </c:pt>
                <c:pt idx="5">
                  <c:v>11.4</c:v>
                </c:pt>
                <c:pt idx="6">
                  <c:v>14.1</c:v>
                </c:pt>
                <c:pt idx="7" c:formatCode="General">
                  <c:v>18.4</c:v>
                </c:pt>
                <c:pt idx="8">
                  <c:v>14.1</c:v>
                </c:pt>
                <c:pt idx="9">
                  <c:v>16.7</c:v>
                </c:pt>
                <c:pt idx="10">
                  <c:v>13</c:v>
                </c:pt>
                <c:pt idx="11">
                  <c:v>1.4</c:v>
                </c:pt>
              </c:numCache>
            </c:numRef>
          </c:val>
          <c:smooth val="0"/>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4416"/>
        <c:crosses val="autoZero"/>
        <c:auto val="1"/>
        <c:lblAlgn val="ctr"/>
        <c:lblOffset val="100"/>
        <c:noMultiLvlLbl val="0"/>
      </c:catAx>
      <c:valAx>
        <c:axId val="107644416"/>
        <c:scaling>
          <c:orientation val="minMax"/>
        </c:scaling>
        <c:delete val="0"/>
        <c:axPos val="l"/>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1</Pages>
  <Words>101</Words>
  <Characters>579</Characters>
  <Lines>4</Lines>
  <Paragraphs>1</Paragraphs>
  <TotalTime>0</TotalTime>
  <ScaleCrop>false</ScaleCrop>
  <LinksUpToDate>false</LinksUpToDate>
  <CharactersWithSpaces>679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2022-09-19T09:03:00Z</dcterms:created>
  <dc:creator>user</dc:creator>
  <cp:lastModifiedBy>张娇娇</cp:lastModifiedBy>
  <cp:lastPrinted>2022-06-16T06:30:00Z</cp:lastPrinted>
  <dcterms:modified xsi:type="dcterms:W3CDTF">2023-03-17T00:46:52Z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EC66580F6F444C348A8D7941CF940C46</vt:lpwstr>
  </property>
</Properties>
</file>