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435" w:type="dxa"/>
        <w:jc w:val="center"/>
        <w:tblInd w:w="0" w:type="dxa"/>
        <w:tblLayout w:type="fixed"/>
        <w:tblCellMar>
          <w:top w:w="0" w:type="dxa"/>
          <w:left w:w="108" w:type="dxa"/>
          <w:bottom w:w="0" w:type="dxa"/>
          <w:right w:w="108" w:type="dxa"/>
        </w:tblCellMar>
      </w:tblPr>
      <w:tblGrid>
        <w:gridCol w:w="578"/>
        <w:gridCol w:w="963"/>
        <w:gridCol w:w="983"/>
        <w:gridCol w:w="827"/>
        <w:gridCol w:w="165"/>
        <w:gridCol w:w="816"/>
        <w:gridCol w:w="812"/>
        <w:gridCol w:w="1553"/>
        <w:gridCol w:w="696"/>
        <w:gridCol w:w="19"/>
        <w:gridCol w:w="567"/>
        <w:gridCol w:w="567"/>
        <w:gridCol w:w="889"/>
      </w:tblGrid>
      <w:tr>
        <w:tblPrEx>
          <w:tblLayout w:type="fixed"/>
          <w:tblCellMar>
            <w:top w:w="0" w:type="dxa"/>
            <w:left w:w="108" w:type="dxa"/>
            <w:bottom w:w="0" w:type="dxa"/>
            <w:right w:w="108" w:type="dxa"/>
          </w:tblCellMar>
        </w:tblPrEx>
        <w:trPr>
          <w:trHeight w:val="440" w:hRule="exact"/>
          <w:jc w:val="center"/>
        </w:trPr>
        <w:tc>
          <w:tcPr>
            <w:tcW w:w="9435" w:type="dxa"/>
            <w:gridSpan w:val="13"/>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9435" w:type="dxa"/>
            <w:gridSpan w:val="13"/>
            <w:tcBorders>
              <w:top w:val="nil"/>
              <w:left w:val="nil"/>
              <w:bottom w:val="nil"/>
              <w:right w:val="nil"/>
            </w:tcBorders>
          </w:tcPr>
          <w:p>
            <w:pPr>
              <w:widowControl/>
              <w:jc w:val="center"/>
              <w:rPr>
                <w:kern w:val="0"/>
                <w:sz w:val="22"/>
              </w:rPr>
            </w:pPr>
            <w:r>
              <w:rPr>
                <w:kern w:val="0"/>
                <w:sz w:val="22"/>
              </w:rPr>
              <w:t>（</w:t>
            </w:r>
            <w:r>
              <w:rPr>
                <w:rFonts w:hint="eastAsia"/>
                <w:kern w:val="0"/>
                <w:sz w:val="22"/>
              </w:rPr>
              <w:t>2020</w:t>
            </w:r>
            <w:r>
              <w:rPr>
                <w:kern w:val="0"/>
                <w:sz w:val="22"/>
              </w:rPr>
              <w:t>年度）</w:t>
            </w:r>
          </w:p>
        </w:tc>
      </w:tr>
      <w:tr>
        <w:tblPrEx>
          <w:tblLayout w:type="fixed"/>
          <w:tblCellMar>
            <w:top w:w="0" w:type="dxa"/>
            <w:left w:w="108" w:type="dxa"/>
            <w:bottom w:w="0" w:type="dxa"/>
            <w:right w:w="108" w:type="dxa"/>
          </w:tblCellMar>
        </w:tblPrEx>
        <w:trPr>
          <w:trHeight w:val="394"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894" w:type="dxa"/>
            <w:gridSpan w:val="11"/>
            <w:tcBorders>
              <w:top w:val="single" w:color="auto" w:sz="4" w:space="0"/>
              <w:left w:val="nil"/>
              <w:bottom w:val="single" w:color="auto" w:sz="4" w:space="0"/>
              <w:right w:val="single" w:color="auto" w:sz="4" w:space="0"/>
            </w:tcBorders>
            <w:vAlign w:val="center"/>
          </w:tcPr>
          <w:p>
            <w:pPr>
              <w:jc w:val="center"/>
              <w:rPr>
                <w:rFonts w:ascii="宋体" w:hAnsi="宋体" w:cs="宋体"/>
                <w:b w:val="0"/>
                <w:color w:val="000000"/>
                <w:sz w:val="18"/>
                <w:szCs w:val="18"/>
              </w:rPr>
            </w:pPr>
            <w:r>
              <w:rPr>
                <w:rFonts w:hint="eastAsia"/>
                <w:b w:val="0"/>
                <w:color w:val="000000"/>
                <w:sz w:val="18"/>
                <w:szCs w:val="18"/>
              </w:rPr>
              <w:t>朝阳区促进国家文化产业创新实验区建设发展引导资金</w:t>
            </w:r>
          </w:p>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540"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360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55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7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北京朝阳国家文化产业创新实验区</w:t>
            </w:r>
            <w:bookmarkStart w:id="0" w:name="_GoBack"/>
            <w:bookmarkEnd w:id="0"/>
            <w:r>
              <w:rPr>
                <w:rFonts w:hint="eastAsia"/>
                <w:b w:val="0"/>
                <w:kern w:val="0"/>
                <w:sz w:val="18"/>
                <w:szCs w:val="18"/>
              </w:rPr>
              <w:t>管理委</w:t>
            </w:r>
            <w:r>
              <w:rPr>
                <w:rFonts w:hint="eastAsia"/>
                <w:b w:val="0"/>
                <w:kern w:val="0"/>
                <w:sz w:val="18"/>
                <w:szCs w:val="18"/>
                <w:lang w:eastAsia="zh-CN"/>
              </w:rPr>
              <w:t>员</w:t>
            </w:r>
            <w:r>
              <w:rPr>
                <w:rFonts w:hint="eastAsia"/>
                <w:b w:val="0"/>
                <w:kern w:val="0"/>
                <w:sz w:val="18"/>
                <w:szCs w:val="18"/>
              </w:rPr>
              <w:t>会</w:t>
            </w:r>
            <w:r>
              <w:rPr>
                <w:rFonts w:hint="eastAsia"/>
                <w:b w:val="0"/>
                <w:kern w:val="0"/>
                <w:sz w:val="18"/>
                <w:szCs w:val="18"/>
              </w:rPr>
              <w:tab/>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360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鲁晓钰</w:t>
            </w:r>
          </w:p>
        </w:tc>
        <w:tc>
          <w:tcPr>
            <w:tcW w:w="155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7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87771210</w:t>
            </w:r>
          </w:p>
        </w:tc>
      </w:tr>
      <w:tr>
        <w:tblPrEx>
          <w:tblLayout w:type="fixed"/>
          <w:tblCellMar>
            <w:top w:w="0" w:type="dxa"/>
            <w:left w:w="108" w:type="dxa"/>
            <w:bottom w:w="0" w:type="dxa"/>
            <w:right w:w="108" w:type="dxa"/>
          </w:tblCellMar>
        </w:tblPrEx>
        <w:trPr>
          <w:trHeight w:val="50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98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81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55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115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88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98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10000</w:t>
            </w:r>
          </w:p>
        </w:tc>
        <w:tc>
          <w:tcPr>
            <w:tcW w:w="81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10000</w:t>
            </w:r>
          </w:p>
        </w:tc>
        <w:tc>
          <w:tcPr>
            <w:tcW w:w="155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9970</w:t>
            </w:r>
          </w:p>
        </w:tc>
        <w:tc>
          <w:tcPr>
            <w:tcW w:w="69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10</w:t>
            </w:r>
          </w:p>
        </w:tc>
        <w:tc>
          <w:tcPr>
            <w:tcW w:w="115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99.7%</w:t>
            </w:r>
          </w:p>
        </w:tc>
        <w:tc>
          <w:tcPr>
            <w:tcW w:w="889" w:type="dxa"/>
            <w:tcBorders>
              <w:top w:val="nil"/>
              <w:left w:val="nil"/>
              <w:bottom w:val="single" w:color="auto" w:sz="4" w:space="0"/>
              <w:right w:val="single" w:color="auto" w:sz="4" w:space="0"/>
            </w:tcBorders>
            <w:vAlign w:val="center"/>
          </w:tcPr>
          <w:p>
            <w:pPr>
              <w:widowControl/>
              <w:spacing w:line="240" w:lineRule="exact"/>
              <w:jc w:val="center"/>
              <w:rPr>
                <w:b w:val="0"/>
                <w:color w:val="FF0000"/>
                <w:kern w:val="0"/>
                <w:sz w:val="18"/>
                <w:szCs w:val="18"/>
              </w:rPr>
            </w:pPr>
            <w:r>
              <w:rPr>
                <w:rFonts w:hint="eastAsia"/>
                <w:b w:val="0"/>
                <w:kern w:val="0"/>
                <w:sz w:val="18"/>
                <w:szCs w:val="18"/>
              </w:rPr>
              <w:t>9.97</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98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9970</w:t>
            </w:r>
          </w:p>
        </w:tc>
        <w:tc>
          <w:tcPr>
            <w:tcW w:w="81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9970</w:t>
            </w:r>
          </w:p>
        </w:tc>
        <w:tc>
          <w:tcPr>
            <w:tcW w:w="155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9970</w:t>
            </w:r>
          </w:p>
        </w:tc>
        <w:tc>
          <w:tcPr>
            <w:tcW w:w="69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115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88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98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55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115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8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98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55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115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8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45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429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976"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4566" w:type="dxa"/>
            <w:gridSpan w:val="6"/>
            <w:tcBorders>
              <w:top w:val="single" w:color="auto" w:sz="4" w:space="0"/>
              <w:left w:val="nil"/>
              <w:bottom w:val="single" w:color="auto" w:sz="4" w:space="0"/>
              <w:right w:val="single" w:color="auto" w:sz="4" w:space="0"/>
            </w:tcBorders>
            <w:vAlign w:val="center"/>
          </w:tcPr>
          <w:p>
            <w:pPr>
              <w:widowControl/>
              <w:spacing w:line="240" w:lineRule="exact"/>
              <w:rPr>
                <w:b w:val="0"/>
                <w:kern w:val="0"/>
                <w:sz w:val="18"/>
                <w:szCs w:val="18"/>
              </w:rPr>
            </w:pPr>
            <w:r>
              <w:rPr>
                <w:rFonts w:hint="eastAsia"/>
                <w:b w:val="0"/>
                <w:kern w:val="0"/>
                <w:sz w:val="18"/>
                <w:szCs w:val="18"/>
              </w:rPr>
              <w:t>扶持优秀文化企业（项目）50家以上，推动文创实验区高质量发展，文创实验区产业结构进一步优化、影响力不断提高。</w:t>
            </w:r>
          </w:p>
        </w:tc>
        <w:tc>
          <w:tcPr>
            <w:tcW w:w="4291" w:type="dxa"/>
            <w:gridSpan w:val="6"/>
            <w:tcBorders>
              <w:top w:val="single" w:color="auto" w:sz="4" w:space="0"/>
              <w:left w:val="nil"/>
              <w:bottom w:val="single" w:color="auto" w:sz="4" w:space="0"/>
              <w:right w:val="single" w:color="auto" w:sz="4" w:space="0"/>
            </w:tcBorders>
            <w:vAlign w:val="center"/>
          </w:tcPr>
          <w:p>
            <w:pPr>
              <w:adjustRightInd w:val="0"/>
              <w:snapToGrid w:val="0"/>
              <w:rPr>
                <w:b w:val="0"/>
                <w:sz w:val="18"/>
              </w:rPr>
            </w:pPr>
            <w:r>
              <w:rPr>
                <w:rFonts w:hint="eastAsia"/>
                <w:b w:val="0"/>
                <w:sz w:val="18"/>
              </w:rPr>
              <w:t>支持优秀企业项目185个，支持企业层级不断提高，在引导资金政策的带动下，实验区文化产业发展活力持续释放，产业发展质量稳步提升，各项指标不断攀升。</w:t>
            </w:r>
          </w:p>
        </w:tc>
      </w:tr>
      <w:tr>
        <w:tblPrEx>
          <w:tblLayout w:type="fixed"/>
          <w:tblCellMar>
            <w:top w:w="0" w:type="dxa"/>
            <w:left w:w="108" w:type="dxa"/>
            <w:bottom w:w="0" w:type="dxa"/>
            <w:right w:w="108" w:type="dxa"/>
          </w:tblCellMar>
        </w:tblPrEx>
        <w:trPr>
          <w:trHeight w:val="751"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98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62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2268" w:type="dxa"/>
            <w:gridSpan w:val="3"/>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6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6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1342"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98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指标1：</w:t>
            </w:r>
          </w:p>
        </w:tc>
        <w:tc>
          <w:tcPr>
            <w:tcW w:w="1628" w:type="dxa"/>
            <w:gridSpan w:val="2"/>
            <w:tcBorders>
              <w:top w:val="nil"/>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扶持文化企业50家以上</w:t>
            </w:r>
          </w:p>
        </w:tc>
        <w:tc>
          <w:tcPr>
            <w:tcW w:w="2268" w:type="dxa"/>
            <w:gridSpan w:val="3"/>
            <w:tcBorders>
              <w:top w:val="nil"/>
              <w:left w:val="nil"/>
              <w:bottom w:val="single" w:color="auto" w:sz="4" w:space="0"/>
              <w:right w:val="single" w:color="auto" w:sz="4" w:space="0"/>
            </w:tcBorders>
            <w:vAlign w:val="center"/>
          </w:tcPr>
          <w:p>
            <w:pPr>
              <w:adjustRightInd w:val="0"/>
              <w:snapToGrid w:val="0"/>
              <w:spacing w:line="276" w:lineRule="auto"/>
              <w:jc w:val="left"/>
              <w:rPr>
                <w:b w:val="0"/>
                <w:color w:val="000000"/>
                <w:sz w:val="18"/>
                <w:szCs w:val="18"/>
              </w:rPr>
            </w:pPr>
            <w:r>
              <w:rPr>
                <w:rFonts w:hint="eastAsia"/>
                <w:b w:val="0"/>
                <w:color w:val="000000"/>
                <w:sz w:val="18"/>
                <w:szCs w:val="18"/>
              </w:rPr>
              <w:t>扶持文化企业185家（含实验区建设发展引导资金项目支持企业、朝政办发〔2020〕2号、8号文件奖励政策支持企业）。</w:t>
            </w:r>
          </w:p>
        </w:tc>
        <w:tc>
          <w:tcPr>
            <w:tcW w:w="567" w:type="dxa"/>
            <w:tcBorders>
              <w:top w:val="nil"/>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10</w:t>
            </w:r>
          </w:p>
        </w:tc>
        <w:tc>
          <w:tcPr>
            <w:tcW w:w="567" w:type="dxa"/>
            <w:tcBorders>
              <w:top w:val="nil"/>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10</w:t>
            </w:r>
          </w:p>
        </w:tc>
        <w:tc>
          <w:tcPr>
            <w:tcW w:w="889" w:type="dxa"/>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无</w:t>
            </w:r>
          </w:p>
        </w:tc>
      </w:tr>
      <w:tr>
        <w:tblPrEx>
          <w:tblLayout w:type="fixed"/>
          <w:tblCellMar>
            <w:top w:w="0" w:type="dxa"/>
            <w:left w:w="108" w:type="dxa"/>
            <w:bottom w:w="0" w:type="dxa"/>
            <w:right w:w="108" w:type="dxa"/>
          </w:tblCellMar>
        </w:tblPrEx>
        <w:trPr>
          <w:trHeight w:val="555"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628" w:type="dxa"/>
            <w:gridSpan w:val="2"/>
            <w:tcBorders>
              <w:top w:val="nil"/>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撬动社会投资</w:t>
            </w:r>
          </w:p>
          <w:p>
            <w:pPr>
              <w:adjustRightInd w:val="0"/>
              <w:snapToGrid w:val="0"/>
              <w:spacing w:line="276" w:lineRule="auto"/>
              <w:jc w:val="center"/>
              <w:rPr>
                <w:b w:val="0"/>
                <w:color w:val="000000"/>
                <w:sz w:val="18"/>
                <w:szCs w:val="18"/>
              </w:rPr>
            </w:pPr>
            <w:r>
              <w:rPr>
                <w:rFonts w:hint="eastAsia"/>
                <w:b w:val="0"/>
                <w:color w:val="000000"/>
                <w:sz w:val="18"/>
                <w:szCs w:val="18"/>
              </w:rPr>
              <w:t>（</w:t>
            </w:r>
            <w:r>
              <w:rPr>
                <w:b w:val="0"/>
                <w:color w:val="000000"/>
                <w:sz w:val="18"/>
                <w:szCs w:val="18"/>
              </w:rPr>
              <w:t>200%</w:t>
            </w:r>
            <w:r>
              <w:rPr>
                <w:rFonts w:hint="eastAsia"/>
                <w:b w:val="0"/>
                <w:color w:val="000000"/>
                <w:sz w:val="18"/>
                <w:szCs w:val="18"/>
              </w:rPr>
              <w:t>以上）</w:t>
            </w:r>
          </w:p>
        </w:tc>
        <w:tc>
          <w:tcPr>
            <w:tcW w:w="2268" w:type="dxa"/>
            <w:gridSpan w:val="3"/>
            <w:tcBorders>
              <w:top w:val="nil"/>
              <w:left w:val="nil"/>
              <w:bottom w:val="single" w:color="auto" w:sz="4" w:space="0"/>
              <w:right w:val="single" w:color="auto" w:sz="4" w:space="0"/>
            </w:tcBorders>
            <w:vAlign w:val="center"/>
          </w:tcPr>
          <w:p>
            <w:pPr>
              <w:widowControl/>
              <w:adjustRightInd w:val="0"/>
              <w:snapToGrid w:val="0"/>
              <w:spacing w:line="276" w:lineRule="auto"/>
              <w:rPr>
                <w:b w:val="0"/>
                <w:color w:val="000000"/>
                <w:sz w:val="18"/>
                <w:szCs w:val="18"/>
              </w:rPr>
            </w:pPr>
            <w:r>
              <w:rPr>
                <w:rFonts w:hint="eastAsia"/>
                <w:b w:val="0"/>
                <w:color w:val="000000"/>
                <w:sz w:val="18"/>
                <w:szCs w:val="18"/>
              </w:rPr>
              <w:t>撬动社会投资4465%以上。</w:t>
            </w:r>
          </w:p>
        </w:tc>
        <w:tc>
          <w:tcPr>
            <w:tcW w:w="567"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b w:val="0"/>
                <w:color w:val="000000"/>
                <w:sz w:val="18"/>
                <w:szCs w:val="18"/>
              </w:rPr>
            </w:pPr>
            <w:r>
              <w:rPr>
                <w:rFonts w:hint="eastAsia"/>
                <w:b w:val="0"/>
                <w:color w:val="000000"/>
                <w:sz w:val="18"/>
                <w:szCs w:val="18"/>
              </w:rPr>
              <w:t>10</w:t>
            </w:r>
          </w:p>
        </w:tc>
        <w:tc>
          <w:tcPr>
            <w:tcW w:w="567"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b w:val="0"/>
                <w:color w:val="000000"/>
                <w:sz w:val="18"/>
                <w:szCs w:val="18"/>
              </w:rPr>
            </w:pPr>
            <w:r>
              <w:rPr>
                <w:rFonts w:hint="eastAsia"/>
                <w:b w:val="0"/>
                <w:color w:val="000000"/>
                <w:sz w:val="18"/>
                <w:szCs w:val="18"/>
              </w:rPr>
              <w:t>10</w:t>
            </w:r>
          </w:p>
        </w:tc>
        <w:tc>
          <w:tcPr>
            <w:tcW w:w="889" w:type="dxa"/>
            <w:tcBorders>
              <w:top w:val="single" w:color="auto" w:sz="4" w:space="0"/>
              <w:left w:val="nil"/>
              <w:bottom w:val="single" w:color="auto" w:sz="4" w:space="0"/>
              <w:right w:val="single" w:color="auto" w:sz="4" w:space="0"/>
            </w:tcBorders>
            <w:vAlign w:val="center"/>
          </w:tcPr>
          <w:p>
            <w:pPr>
              <w:widowControl/>
              <w:adjustRightInd w:val="0"/>
              <w:snapToGrid w:val="0"/>
              <w:spacing w:line="276" w:lineRule="auto"/>
              <w:jc w:val="center"/>
              <w:rPr>
                <w:b w:val="0"/>
                <w:color w:val="000000"/>
                <w:sz w:val="18"/>
                <w:szCs w:val="18"/>
              </w:rPr>
            </w:pPr>
            <w:r>
              <w:rPr>
                <w:rFonts w:hint="eastAsia"/>
                <w:b w:val="0"/>
                <w:color w:val="000000"/>
                <w:sz w:val="18"/>
                <w:szCs w:val="18"/>
              </w:rPr>
              <w:t>无</w:t>
            </w:r>
          </w:p>
        </w:tc>
      </w:tr>
      <w:tr>
        <w:tblPrEx>
          <w:tblLayout w:type="fixed"/>
          <w:tblCellMar>
            <w:top w:w="0" w:type="dxa"/>
            <w:left w:w="108" w:type="dxa"/>
            <w:bottom w:w="0" w:type="dxa"/>
            <w:right w:w="108" w:type="dxa"/>
          </w:tblCellMar>
        </w:tblPrEx>
        <w:trPr>
          <w:trHeight w:val="1974"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指标1：</w:t>
            </w:r>
          </w:p>
        </w:tc>
        <w:tc>
          <w:tcPr>
            <w:tcW w:w="1628" w:type="dxa"/>
            <w:gridSpan w:val="2"/>
            <w:tcBorders>
              <w:top w:val="nil"/>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重点推动文化传媒、数字创意、网络文化等功能提升，进一步促进实验区文化产业高端化、融合化、集约化、国际化发展</w:t>
            </w:r>
          </w:p>
        </w:tc>
        <w:tc>
          <w:tcPr>
            <w:tcW w:w="2268" w:type="dxa"/>
            <w:gridSpan w:val="3"/>
            <w:tcBorders>
              <w:top w:val="nil"/>
              <w:left w:val="nil"/>
              <w:bottom w:val="single" w:color="auto" w:sz="4" w:space="0"/>
              <w:right w:val="single" w:color="auto" w:sz="4" w:space="0"/>
            </w:tcBorders>
            <w:vAlign w:val="center"/>
          </w:tcPr>
          <w:p>
            <w:pPr>
              <w:widowControl/>
              <w:spacing w:line="240" w:lineRule="exact"/>
              <w:rPr>
                <w:b w:val="0"/>
                <w:color w:val="000000"/>
                <w:sz w:val="18"/>
                <w:szCs w:val="18"/>
              </w:rPr>
            </w:pPr>
            <w:r>
              <w:rPr>
                <w:rFonts w:hint="eastAsia"/>
                <w:b w:val="0"/>
                <w:color w:val="000000"/>
                <w:sz w:val="18"/>
                <w:szCs w:val="18"/>
              </w:rPr>
              <w:t>支持企业中，110余家以文化传媒、数字创意、网络科技等业态为主要业态，占支持企业总数超过六成。支持企业类型包括上市企业、文化类高新技术企业和文化出口重点企业，有效促进实验区文化产业高端化、融合化、集约化、国际化发展。</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color w:val="000000"/>
                <w:sz w:val="18"/>
                <w:szCs w:val="18"/>
              </w:rPr>
            </w:pPr>
            <w:r>
              <w:rPr>
                <w:rFonts w:hint="eastAsia"/>
                <w:b w:val="0"/>
                <w:color w:val="000000"/>
                <w:sz w:val="18"/>
                <w:szCs w:val="18"/>
              </w:rPr>
              <w:t>5</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color w:val="000000"/>
                <w:sz w:val="18"/>
                <w:szCs w:val="18"/>
              </w:rPr>
            </w:pPr>
            <w:r>
              <w:rPr>
                <w:rFonts w:hint="eastAsia"/>
                <w:b w:val="0"/>
                <w:color w:val="000000"/>
                <w:sz w:val="18"/>
                <w:szCs w:val="18"/>
              </w:rPr>
              <w:t>5</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color w:val="000000"/>
                <w:sz w:val="18"/>
                <w:szCs w:val="18"/>
              </w:rPr>
            </w:pPr>
            <w:r>
              <w:rPr>
                <w:rFonts w:hint="eastAsia"/>
                <w:b w:val="0"/>
                <w:color w:val="000000"/>
                <w:sz w:val="18"/>
                <w:szCs w:val="18"/>
              </w:rPr>
              <w:t>无</w:t>
            </w:r>
          </w:p>
        </w:tc>
      </w:tr>
      <w:tr>
        <w:tblPrEx>
          <w:tblLayout w:type="fixed"/>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628" w:type="dxa"/>
            <w:gridSpan w:val="2"/>
            <w:tcBorders>
              <w:top w:val="nil"/>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文化与金融、科技等产业融合发展水平不断提升</w:t>
            </w:r>
          </w:p>
        </w:tc>
        <w:tc>
          <w:tcPr>
            <w:tcW w:w="2268" w:type="dxa"/>
            <w:gridSpan w:val="3"/>
            <w:tcBorders>
              <w:top w:val="nil"/>
              <w:left w:val="nil"/>
              <w:bottom w:val="single" w:color="auto" w:sz="4" w:space="0"/>
              <w:right w:val="single" w:color="auto" w:sz="4" w:space="0"/>
            </w:tcBorders>
            <w:vAlign w:val="center"/>
          </w:tcPr>
          <w:p>
            <w:pPr>
              <w:widowControl/>
              <w:spacing w:line="240" w:lineRule="exact"/>
              <w:rPr>
                <w:b w:val="0"/>
                <w:color w:val="000000"/>
                <w:sz w:val="18"/>
                <w:szCs w:val="18"/>
              </w:rPr>
            </w:pPr>
            <w:r>
              <w:rPr>
                <w:rFonts w:hint="eastAsia"/>
                <w:b w:val="0"/>
                <w:color w:val="000000"/>
                <w:sz w:val="18"/>
                <w:szCs w:val="18"/>
              </w:rPr>
              <w:t>加大疫情期间对文化企业融资支持力度，融资补贴、投资奖励、文化金融类项目支持金额占比超过56%，文化科技类项目较2019年大幅增长，一批文化科技融合类企业在实验区争相涌现，实验区文化企业</w:t>
            </w:r>
            <w:r>
              <w:rPr>
                <w:b w:val="0"/>
                <w:color w:val="000000"/>
                <w:sz w:val="18"/>
                <w:szCs w:val="18"/>
              </w:rPr>
              <w:t>科技应用和自主创新能力进一步增强</w:t>
            </w:r>
            <w:r>
              <w:rPr>
                <w:rFonts w:hint="eastAsia"/>
                <w:b w:val="0"/>
                <w:color w:val="000000"/>
                <w:sz w:val="18"/>
                <w:szCs w:val="18"/>
              </w:rPr>
              <w:t>。</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color w:val="000000"/>
                <w:sz w:val="18"/>
                <w:szCs w:val="18"/>
              </w:rPr>
            </w:pPr>
            <w:r>
              <w:rPr>
                <w:rFonts w:hint="eastAsia"/>
                <w:b w:val="0"/>
                <w:color w:val="000000"/>
                <w:sz w:val="18"/>
                <w:szCs w:val="18"/>
              </w:rPr>
              <w:t>5</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color w:val="000000"/>
                <w:sz w:val="18"/>
                <w:szCs w:val="18"/>
              </w:rPr>
            </w:pPr>
            <w:r>
              <w:rPr>
                <w:rFonts w:hint="eastAsia"/>
                <w:b w:val="0"/>
                <w:color w:val="000000"/>
                <w:sz w:val="18"/>
                <w:szCs w:val="18"/>
              </w:rPr>
              <w:t>5</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color w:val="000000"/>
                <w:sz w:val="18"/>
                <w:szCs w:val="18"/>
              </w:rPr>
            </w:pPr>
            <w:r>
              <w:rPr>
                <w:rFonts w:hint="eastAsia"/>
                <w:b w:val="0"/>
                <w:color w:val="000000"/>
                <w:sz w:val="18"/>
                <w:szCs w:val="18"/>
              </w:rPr>
              <w:t>无</w:t>
            </w:r>
          </w:p>
        </w:tc>
      </w:tr>
      <w:tr>
        <w:tblPrEx>
          <w:tblLayout w:type="fixed"/>
          <w:tblCellMar>
            <w:top w:w="0" w:type="dxa"/>
            <w:left w:w="108" w:type="dxa"/>
            <w:bottom w:w="0" w:type="dxa"/>
            <w:right w:w="108" w:type="dxa"/>
          </w:tblCellMar>
        </w:tblPrEx>
        <w:trPr>
          <w:trHeight w:val="346" w:hRule="atLeas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b w:val="0"/>
                <w:color w:val="000000"/>
                <w:kern w:val="0"/>
                <w:sz w:val="18"/>
                <w:szCs w:val="18"/>
              </w:rPr>
              <w:t>指标3：</w:t>
            </w:r>
          </w:p>
        </w:tc>
        <w:tc>
          <w:tcPr>
            <w:tcW w:w="1628" w:type="dxa"/>
            <w:gridSpan w:val="2"/>
            <w:tcBorders>
              <w:top w:val="nil"/>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文创实验区品牌影响力不断提高</w:t>
            </w:r>
          </w:p>
        </w:tc>
        <w:tc>
          <w:tcPr>
            <w:tcW w:w="2268" w:type="dxa"/>
            <w:gridSpan w:val="3"/>
            <w:tcBorders>
              <w:top w:val="nil"/>
              <w:left w:val="nil"/>
              <w:bottom w:val="single" w:color="auto" w:sz="4" w:space="0"/>
              <w:right w:val="single" w:color="auto" w:sz="4" w:space="0"/>
            </w:tcBorders>
            <w:vAlign w:val="center"/>
          </w:tcPr>
          <w:p>
            <w:pPr>
              <w:widowControl/>
              <w:spacing w:line="240" w:lineRule="exact"/>
              <w:rPr>
                <w:b w:val="0"/>
                <w:kern w:val="0"/>
                <w:sz w:val="18"/>
                <w:szCs w:val="18"/>
              </w:rPr>
            </w:pPr>
            <w:r>
              <w:rPr>
                <w:rFonts w:hint="eastAsia"/>
                <w:b w:val="0"/>
                <w:kern w:val="0"/>
                <w:sz w:val="18"/>
                <w:szCs w:val="18"/>
              </w:rPr>
              <w:t>公开征集</w:t>
            </w:r>
            <w:r>
              <w:rPr>
                <w:rFonts w:hint="eastAsia"/>
                <w:b w:val="0"/>
                <w:color w:val="000000"/>
                <w:sz w:val="18"/>
                <w:szCs w:val="18"/>
              </w:rPr>
              <w:t>实验区建设发展引导资金项目</w:t>
            </w:r>
            <w:r>
              <w:rPr>
                <w:rFonts w:hint="eastAsia"/>
                <w:b w:val="0"/>
                <w:kern w:val="0"/>
                <w:sz w:val="18"/>
                <w:szCs w:val="18"/>
              </w:rPr>
              <w:t>411个，较去年（297个）同比增长30.9%，实验区政策带动效应和品牌影响力显著增强。</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889" w:type="dxa"/>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无</w:t>
            </w:r>
          </w:p>
        </w:tc>
      </w:tr>
      <w:tr>
        <w:tblPrEx>
          <w:tblLayout w:type="fixed"/>
          <w:tblCellMar>
            <w:top w:w="0" w:type="dxa"/>
            <w:left w:w="108" w:type="dxa"/>
            <w:bottom w:w="0" w:type="dxa"/>
            <w:right w:w="108" w:type="dxa"/>
          </w:tblCellMar>
        </w:tblPrEx>
        <w:trPr>
          <w:trHeight w:val="567" w:hRule="atLeas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指标1：</w:t>
            </w:r>
          </w:p>
        </w:tc>
        <w:tc>
          <w:tcPr>
            <w:tcW w:w="1628" w:type="dxa"/>
            <w:gridSpan w:val="2"/>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严格按照全区产业专项资金统一进度完成</w:t>
            </w:r>
          </w:p>
        </w:tc>
        <w:tc>
          <w:tcPr>
            <w:tcW w:w="2268" w:type="dxa"/>
            <w:gridSpan w:val="3"/>
            <w:tcBorders>
              <w:top w:val="single" w:color="auto" w:sz="4" w:space="0"/>
              <w:left w:val="nil"/>
              <w:bottom w:val="single" w:color="auto" w:sz="4" w:space="0"/>
              <w:right w:val="single" w:color="auto" w:sz="4" w:space="0"/>
            </w:tcBorders>
            <w:vAlign w:val="center"/>
          </w:tcPr>
          <w:p>
            <w:pPr>
              <w:widowControl/>
              <w:spacing w:line="240" w:lineRule="exact"/>
              <w:rPr>
                <w:b w:val="0"/>
                <w:kern w:val="0"/>
                <w:sz w:val="18"/>
                <w:szCs w:val="18"/>
              </w:rPr>
            </w:pPr>
            <w:r>
              <w:rPr>
                <w:rFonts w:hint="eastAsia"/>
                <w:b w:val="0"/>
                <w:color w:val="000000"/>
                <w:sz w:val="18"/>
                <w:szCs w:val="18"/>
              </w:rPr>
              <w:t>实验区建设发展引导资金拟支持方案于2020年</w:t>
            </w:r>
            <w:r>
              <w:rPr>
                <w:rFonts w:hint="eastAsia"/>
                <w:b w:val="0"/>
                <w:kern w:val="0"/>
                <w:sz w:val="18"/>
                <w:szCs w:val="18"/>
              </w:rPr>
              <w:t>6月28日上午经第12次区长办公会审定通过；</w:t>
            </w:r>
            <w:r>
              <w:rPr>
                <w:rFonts w:hint="eastAsia"/>
                <w:b w:val="0"/>
                <w:color w:val="000000"/>
                <w:sz w:val="18"/>
                <w:szCs w:val="18"/>
              </w:rPr>
              <w:t>《关于报审我区疫情期间商务楼宇等产业空间租金减免等奖励方案的请示》于12月8日上午经第24次区长办公会审议通过。</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889" w:type="dxa"/>
            <w:tcBorders>
              <w:top w:val="single" w:color="auto" w:sz="4" w:space="0"/>
              <w:left w:val="nil"/>
              <w:bottom w:val="single" w:color="auto" w:sz="4" w:space="0"/>
              <w:right w:val="single" w:color="auto" w:sz="4" w:space="0"/>
            </w:tcBorders>
            <w:vAlign w:val="center"/>
          </w:tcPr>
          <w:p>
            <w:pPr>
              <w:widowControl/>
              <w:adjustRightInd w:val="0"/>
              <w:snapToGrid w:val="0"/>
              <w:spacing w:line="276" w:lineRule="auto"/>
              <w:jc w:val="center"/>
              <w:rPr>
                <w:b w:val="0"/>
                <w:color w:val="000000"/>
                <w:sz w:val="18"/>
                <w:szCs w:val="18"/>
              </w:rPr>
            </w:pPr>
            <w:r>
              <w:rPr>
                <w:rFonts w:hint="eastAsia"/>
                <w:b w:val="0"/>
                <w:color w:val="000000"/>
                <w:sz w:val="18"/>
                <w:szCs w:val="18"/>
              </w:rPr>
              <w:t>无</w:t>
            </w:r>
          </w:p>
        </w:tc>
      </w:tr>
      <w:tr>
        <w:tblPrEx>
          <w:tblLayout w:type="fixed"/>
          <w:tblCellMar>
            <w:top w:w="0" w:type="dxa"/>
            <w:left w:w="108" w:type="dxa"/>
            <w:bottom w:w="0" w:type="dxa"/>
            <w:right w:w="108" w:type="dxa"/>
          </w:tblCellMar>
        </w:tblPrEx>
        <w:trPr>
          <w:trHeight w:val="567" w:hRule="atLeast"/>
          <w:jc w:val="center"/>
        </w:trPr>
        <w:tc>
          <w:tcPr>
            <w:tcW w:w="578" w:type="dxa"/>
            <w:vMerge w:val="restart"/>
            <w:tcBorders>
              <w:top w:val="single" w:color="auto" w:sz="4" w:space="0"/>
              <w:left w:val="single" w:color="auto" w:sz="4" w:space="0"/>
              <w:right w:val="single" w:color="auto" w:sz="4" w:space="0"/>
            </w:tcBorders>
            <w:vAlign w:val="center"/>
          </w:tcPr>
          <w:p>
            <w:pPr>
              <w:spacing w:line="240" w:lineRule="exact"/>
              <w:jc w:val="center"/>
              <w:rPr>
                <w:kern w:val="0"/>
                <w:sz w:val="18"/>
                <w:szCs w:val="18"/>
              </w:rPr>
            </w:pPr>
            <w:r>
              <w:rPr>
                <w:rFonts w:hint="eastAsia"/>
                <w:kern w:val="0"/>
                <w:sz w:val="18"/>
                <w:szCs w:val="18"/>
              </w:rPr>
              <w:t>绩效指标</w:t>
            </w: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62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226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567" w:hRule="atLeast"/>
          <w:jc w:val="center"/>
        </w:trPr>
        <w:tc>
          <w:tcPr>
            <w:tcW w:w="578" w:type="dxa"/>
            <w:vMerge w:val="continue"/>
            <w:tcBorders>
              <w:top w:val="single" w:color="auto" w:sz="4" w:space="0"/>
              <w:left w:val="single" w:color="auto" w:sz="4" w:space="0"/>
              <w:right w:val="single" w:color="auto" w:sz="4" w:space="0"/>
            </w:tcBorders>
            <w:vAlign w:val="center"/>
          </w:tcPr>
          <w:p>
            <w:pPr>
              <w:spacing w:line="240" w:lineRule="exact"/>
              <w:jc w:val="center"/>
              <w:rPr>
                <w:kern w:val="0"/>
                <w:sz w:val="18"/>
                <w:szCs w:val="18"/>
              </w:rPr>
            </w:pPr>
          </w:p>
        </w:tc>
        <w:tc>
          <w:tcPr>
            <w:tcW w:w="96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kern w:val="0"/>
                <w:sz w:val="18"/>
                <w:szCs w:val="18"/>
              </w:rPr>
            </w:pPr>
            <w:r>
              <w:rPr>
                <w:rFonts w:hint="eastAsia"/>
                <w:kern w:val="0"/>
                <w:sz w:val="18"/>
                <w:szCs w:val="18"/>
              </w:rPr>
              <w:t>产出指标</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指标1：</w:t>
            </w:r>
          </w:p>
        </w:tc>
        <w:tc>
          <w:tcPr>
            <w:tcW w:w="1628" w:type="dxa"/>
            <w:gridSpan w:val="2"/>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总成本控制在10000万元以内</w:t>
            </w:r>
          </w:p>
        </w:tc>
        <w:tc>
          <w:tcPr>
            <w:tcW w:w="226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9970万元</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color w:val="000000"/>
                <w:sz w:val="18"/>
                <w:szCs w:val="18"/>
              </w:rPr>
            </w:pPr>
            <w:r>
              <w:rPr>
                <w:rFonts w:hint="eastAsia"/>
                <w:b w:val="0"/>
                <w:color w:val="000000"/>
                <w:sz w:val="18"/>
                <w:szCs w:val="18"/>
              </w:rPr>
              <w:t>无</w:t>
            </w:r>
          </w:p>
        </w:tc>
      </w:tr>
      <w:tr>
        <w:tblPrEx>
          <w:tblLayout w:type="fixed"/>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628" w:type="dxa"/>
            <w:gridSpan w:val="2"/>
            <w:tcBorders>
              <w:top w:val="nil"/>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评审等费用严格控制在</w:t>
            </w:r>
            <w:r>
              <w:rPr>
                <w:b w:val="0"/>
                <w:color w:val="000000"/>
                <w:sz w:val="18"/>
                <w:szCs w:val="18"/>
              </w:rPr>
              <w:t>1%</w:t>
            </w:r>
            <w:r>
              <w:rPr>
                <w:rFonts w:hint="eastAsia"/>
                <w:b w:val="0"/>
                <w:color w:val="000000"/>
                <w:sz w:val="18"/>
                <w:szCs w:val="18"/>
              </w:rPr>
              <w:t>以内</w:t>
            </w:r>
          </w:p>
        </w:tc>
        <w:tc>
          <w:tcPr>
            <w:tcW w:w="2268" w:type="dxa"/>
            <w:gridSpan w:val="3"/>
            <w:tcBorders>
              <w:top w:val="nil"/>
              <w:left w:val="nil"/>
              <w:bottom w:val="single" w:color="auto" w:sz="4" w:space="0"/>
              <w:right w:val="single" w:color="auto" w:sz="4" w:space="0"/>
            </w:tcBorders>
            <w:vAlign w:val="center"/>
          </w:tcPr>
          <w:p>
            <w:pPr>
              <w:widowControl/>
              <w:adjustRightInd w:val="0"/>
              <w:snapToGrid w:val="0"/>
              <w:spacing w:line="276" w:lineRule="auto"/>
              <w:jc w:val="center"/>
              <w:rPr>
                <w:b w:val="0"/>
                <w:color w:val="000000"/>
                <w:sz w:val="18"/>
                <w:szCs w:val="18"/>
              </w:rPr>
            </w:pPr>
            <w:r>
              <w:rPr>
                <w:rFonts w:hint="eastAsia"/>
                <w:b w:val="0"/>
                <w:color w:val="000000"/>
                <w:sz w:val="18"/>
                <w:szCs w:val="18"/>
              </w:rPr>
              <w:t>项目评审费53.4万元（0.5%）</w:t>
            </w:r>
          </w:p>
        </w:tc>
        <w:tc>
          <w:tcPr>
            <w:tcW w:w="567"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b w:val="0"/>
                <w:color w:val="000000"/>
                <w:sz w:val="18"/>
                <w:szCs w:val="18"/>
              </w:rPr>
            </w:pPr>
            <w:r>
              <w:rPr>
                <w:rFonts w:hint="eastAsia"/>
                <w:b w:val="0"/>
                <w:color w:val="000000"/>
                <w:sz w:val="18"/>
                <w:szCs w:val="18"/>
              </w:rPr>
              <w:t>5</w:t>
            </w:r>
          </w:p>
        </w:tc>
        <w:tc>
          <w:tcPr>
            <w:tcW w:w="567" w:type="dxa"/>
            <w:tcBorders>
              <w:top w:val="nil"/>
              <w:left w:val="nil"/>
              <w:bottom w:val="single" w:color="auto" w:sz="4" w:space="0"/>
              <w:right w:val="single" w:color="auto" w:sz="4" w:space="0"/>
            </w:tcBorders>
            <w:vAlign w:val="center"/>
          </w:tcPr>
          <w:p>
            <w:pPr>
              <w:widowControl/>
              <w:adjustRightInd w:val="0"/>
              <w:snapToGrid w:val="0"/>
              <w:spacing w:line="276" w:lineRule="auto"/>
              <w:jc w:val="center"/>
              <w:rPr>
                <w:b w:val="0"/>
                <w:color w:val="000000"/>
                <w:sz w:val="18"/>
                <w:szCs w:val="18"/>
              </w:rPr>
            </w:pPr>
            <w:r>
              <w:rPr>
                <w:rFonts w:hint="eastAsia"/>
                <w:b w:val="0"/>
                <w:color w:val="000000"/>
                <w:sz w:val="18"/>
                <w:szCs w:val="18"/>
              </w:rPr>
              <w:t>5</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color w:val="000000"/>
                <w:sz w:val="18"/>
                <w:szCs w:val="18"/>
              </w:rPr>
            </w:pPr>
            <w:r>
              <w:rPr>
                <w:rFonts w:hint="eastAsia"/>
                <w:b w:val="0"/>
                <w:color w:val="000000"/>
                <w:sz w:val="18"/>
                <w:szCs w:val="18"/>
              </w:rPr>
              <w:t>无</w:t>
            </w:r>
          </w:p>
        </w:tc>
      </w:tr>
      <w:tr>
        <w:tblPrEx>
          <w:tblLayout w:type="fixed"/>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指标1：</w:t>
            </w:r>
          </w:p>
        </w:tc>
        <w:tc>
          <w:tcPr>
            <w:tcW w:w="1628" w:type="dxa"/>
            <w:gridSpan w:val="2"/>
            <w:tcBorders>
              <w:top w:val="nil"/>
              <w:left w:val="nil"/>
              <w:bottom w:val="single" w:color="auto" w:sz="4" w:space="0"/>
              <w:right w:val="single" w:color="auto" w:sz="4" w:space="0"/>
            </w:tcBorders>
            <w:vAlign w:val="center"/>
          </w:tcPr>
          <w:p>
            <w:pPr>
              <w:adjustRightInd w:val="0"/>
              <w:snapToGrid w:val="0"/>
              <w:spacing w:line="276" w:lineRule="auto"/>
              <w:jc w:val="center"/>
              <w:rPr>
                <w:b w:val="0"/>
                <w:sz w:val="18"/>
                <w:szCs w:val="18"/>
              </w:rPr>
            </w:pPr>
            <w:r>
              <w:rPr>
                <w:rFonts w:hint="eastAsia"/>
                <w:b w:val="0"/>
                <w:sz w:val="18"/>
                <w:szCs w:val="18"/>
              </w:rPr>
              <w:t>扶持文化企业数量5</w:t>
            </w:r>
            <w:r>
              <w:rPr>
                <w:b w:val="0"/>
                <w:sz w:val="18"/>
                <w:szCs w:val="18"/>
              </w:rPr>
              <w:t>0</w:t>
            </w:r>
            <w:r>
              <w:rPr>
                <w:rFonts w:hint="eastAsia"/>
                <w:b w:val="0"/>
                <w:sz w:val="18"/>
                <w:szCs w:val="18"/>
              </w:rPr>
              <w:t>家以上，获得支持企业实现收入稳步增长。培育一批功能性、平台性项目和优质文化企业</w:t>
            </w:r>
          </w:p>
        </w:tc>
        <w:tc>
          <w:tcPr>
            <w:tcW w:w="2268" w:type="dxa"/>
            <w:gridSpan w:val="3"/>
            <w:tcBorders>
              <w:top w:val="nil"/>
              <w:left w:val="nil"/>
              <w:bottom w:val="single" w:color="auto" w:sz="4" w:space="0"/>
              <w:right w:val="single" w:color="auto" w:sz="4" w:space="0"/>
            </w:tcBorders>
            <w:vAlign w:val="center"/>
          </w:tcPr>
          <w:p>
            <w:pPr>
              <w:widowControl/>
              <w:spacing w:line="240" w:lineRule="exact"/>
              <w:rPr>
                <w:b w:val="0"/>
                <w:sz w:val="18"/>
                <w:szCs w:val="18"/>
              </w:rPr>
            </w:pPr>
            <w:r>
              <w:rPr>
                <w:rFonts w:hint="eastAsia"/>
                <w:b w:val="0"/>
                <w:sz w:val="18"/>
                <w:szCs w:val="18"/>
              </w:rPr>
              <w:t>扶持文化企业共185家，在引导资金的带动下，实验区较五年前，新增登记注册文化企业1.88万家，上市挂牌企业48家，文化产业园区39家。2020年实验区1102家规模以上文化企业实现收入1046.8亿元，进一步带动产业资源集聚，提升产业发展能级。</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color w:val="000000"/>
                <w:sz w:val="18"/>
                <w:szCs w:val="18"/>
              </w:rPr>
            </w:pPr>
            <w:r>
              <w:rPr>
                <w:rFonts w:hint="eastAsia"/>
                <w:b w:val="0"/>
                <w:color w:val="000000"/>
                <w:sz w:val="18"/>
                <w:szCs w:val="18"/>
              </w:rPr>
              <w:t>8</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color w:val="000000"/>
                <w:sz w:val="18"/>
                <w:szCs w:val="18"/>
              </w:rPr>
            </w:pPr>
            <w:r>
              <w:rPr>
                <w:rFonts w:hint="eastAsia"/>
                <w:b w:val="0"/>
                <w:color w:val="000000"/>
                <w:sz w:val="18"/>
                <w:szCs w:val="18"/>
              </w:rPr>
              <w:t>8</w:t>
            </w:r>
          </w:p>
        </w:tc>
        <w:tc>
          <w:tcPr>
            <w:tcW w:w="889" w:type="dxa"/>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无</w:t>
            </w:r>
          </w:p>
        </w:tc>
      </w:tr>
      <w:tr>
        <w:tblPrEx>
          <w:tblLayout w:type="fixed"/>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指标1：</w:t>
            </w:r>
          </w:p>
        </w:tc>
        <w:tc>
          <w:tcPr>
            <w:tcW w:w="1628" w:type="dxa"/>
            <w:gridSpan w:val="2"/>
            <w:tcBorders>
              <w:top w:val="nil"/>
              <w:left w:val="nil"/>
              <w:bottom w:val="single" w:color="auto" w:sz="4" w:space="0"/>
              <w:right w:val="single" w:color="auto" w:sz="4" w:space="0"/>
            </w:tcBorders>
            <w:vAlign w:val="center"/>
          </w:tcPr>
          <w:p>
            <w:pPr>
              <w:adjustRightInd w:val="0"/>
              <w:snapToGrid w:val="0"/>
              <w:spacing w:line="276" w:lineRule="auto"/>
              <w:jc w:val="center"/>
              <w:rPr>
                <w:b w:val="0"/>
                <w:sz w:val="18"/>
                <w:szCs w:val="18"/>
              </w:rPr>
            </w:pPr>
            <w:r>
              <w:rPr>
                <w:rFonts w:hint="eastAsia"/>
                <w:b w:val="0"/>
                <w:sz w:val="18"/>
                <w:szCs w:val="18"/>
              </w:rPr>
              <w:t>文创实验区规模以上文化企业实现收入保持稳定增长，对“全国文化中心”建设的作用日益发挥</w:t>
            </w:r>
          </w:p>
        </w:tc>
        <w:tc>
          <w:tcPr>
            <w:tcW w:w="2268" w:type="dxa"/>
            <w:gridSpan w:val="3"/>
            <w:tcBorders>
              <w:top w:val="nil"/>
              <w:left w:val="nil"/>
              <w:bottom w:val="single" w:color="auto" w:sz="4" w:space="0"/>
              <w:right w:val="single" w:color="auto" w:sz="4" w:space="0"/>
            </w:tcBorders>
            <w:vAlign w:val="center"/>
          </w:tcPr>
          <w:p>
            <w:pPr>
              <w:widowControl/>
              <w:spacing w:line="240" w:lineRule="exact"/>
              <w:jc w:val="left"/>
              <w:rPr>
                <w:b w:val="0"/>
                <w:sz w:val="18"/>
                <w:szCs w:val="18"/>
              </w:rPr>
            </w:pPr>
            <w:r>
              <w:rPr>
                <w:rFonts w:hint="eastAsia"/>
                <w:b w:val="0"/>
                <w:sz w:val="18"/>
                <w:szCs w:val="18"/>
              </w:rPr>
              <w:t>2020年实验区1102家规模以上文化企业实现收入1046.8亿元。支持了一批行业示范性文化企业，在经济效益、社会效益等方面成效突出，推动文化产业高质量发展。</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color w:val="000000"/>
                <w:sz w:val="18"/>
                <w:szCs w:val="18"/>
              </w:rPr>
            </w:pPr>
            <w:r>
              <w:rPr>
                <w:rFonts w:hint="eastAsia"/>
                <w:b w:val="0"/>
                <w:color w:val="000000"/>
                <w:sz w:val="18"/>
                <w:szCs w:val="18"/>
              </w:rPr>
              <w:t>8</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color w:val="000000"/>
                <w:sz w:val="18"/>
                <w:szCs w:val="18"/>
              </w:rPr>
            </w:pPr>
            <w:r>
              <w:rPr>
                <w:rFonts w:hint="eastAsia"/>
                <w:b w:val="0"/>
                <w:color w:val="000000"/>
                <w:sz w:val="18"/>
                <w:szCs w:val="18"/>
              </w:rPr>
              <w:t>8</w:t>
            </w:r>
          </w:p>
        </w:tc>
        <w:tc>
          <w:tcPr>
            <w:tcW w:w="889" w:type="dxa"/>
            <w:tcBorders>
              <w:top w:val="single" w:color="auto" w:sz="4" w:space="0"/>
              <w:left w:val="nil"/>
              <w:bottom w:val="single" w:color="auto" w:sz="4" w:space="0"/>
              <w:right w:val="single" w:color="auto" w:sz="4" w:space="0"/>
            </w:tcBorders>
            <w:vAlign w:val="center"/>
          </w:tcPr>
          <w:p>
            <w:pPr>
              <w:widowControl/>
              <w:adjustRightInd w:val="0"/>
              <w:snapToGrid w:val="0"/>
              <w:spacing w:line="276" w:lineRule="auto"/>
              <w:jc w:val="center"/>
              <w:rPr>
                <w:b w:val="0"/>
                <w:color w:val="000000"/>
                <w:sz w:val="18"/>
                <w:szCs w:val="18"/>
              </w:rPr>
            </w:pPr>
            <w:r>
              <w:rPr>
                <w:rFonts w:hint="eastAsia"/>
                <w:b w:val="0"/>
                <w:color w:val="000000"/>
                <w:sz w:val="18"/>
                <w:szCs w:val="18"/>
              </w:rPr>
              <w:t>无</w:t>
            </w:r>
          </w:p>
        </w:tc>
      </w:tr>
      <w:tr>
        <w:tblPrEx>
          <w:tblLayout w:type="fixed"/>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3"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指标1：</w:t>
            </w:r>
          </w:p>
        </w:tc>
        <w:tc>
          <w:tcPr>
            <w:tcW w:w="1628" w:type="dxa"/>
            <w:gridSpan w:val="2"/>
            <w:tcBorders>
              <w:top w:val="nil"/>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文化产业园区品质不断提高，文化产业与事业融合发展积极推进，市民文化获得感不断提高</w:t>
            </w:r>
          </w:p>
        </w:tc>
        <w:tc>
          <w:tcPr>
            <w:tcW w:w="2268" w:type="dxa"/>
            <w:gridSpan w:val="3"/>
            <w:tcBorders>
              <w:top w:val="nil"/>
              <w:left w:val="nil"/>
              <w:bottom w:val="single" w:color="auto" w:sz="4" w:space="0"/>
              <w:right w:val="single" w:color="auto" w:sz="4" w:space="0"/>
            </w:tcBorders>
            <w:vAlign w:val="center"/>
          </w:tcPr>
          <w:p>
            <w:pPr>
              <w:widowControl/>
              <w:spacing w:line="240" w:lineRule="exact"/>
              <w:rPr>
                <w:b w:val="0"/>
                <w:color w:val="000000"/>
                <w:sz w:val="18"/>
                <w:szCs w:val="18"/>
              </w:rPr>
            </w:pPr>
            <w:r>
              <w:rPr>
                <w:rFonts w:hint="eastAsia"/>
                <w:b w:val="0"/>
                <w:color w:val="000000"/>
                <w:sz w:val="18"/>
                <w:szCs w:val="18"/>
              </w:rPr>
              <w:t>通过工业厂房改造利用、传统商业设施升级、有形市场腾退转型等3种方式，共转型升级59个特色文创园区。2020年8月北京市认定的市级园区名单中，朝阳区有32家文化产业园区入选, 占全市32.6%，居全市首位，其中实验区占16家。2020年首批认定10家文化事业产业融合示范园区，打造一批“城市文化公园”。</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color w:val="000000"/>
                <w:sz w:val="18"/>
                <w:szCs w:val="18"/>
              </w:rPr>
            </w:pPr>
            <w:r>
              <w:rPr>
                <w:rFonts w:hint="eastAsia"/>
                <w:b w:val="0"/>
                <w:color w:val="000000"/>
                <w:sz w:val="18"/>
                <w:szCs w:val="18"/>
              </w:rPr>
              <w:t>8</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color w:val="000000"/>
                <w:sz w:val="18"/>
                <w:szCs w:val="18"/>
              </w:rPr>
            </w:pPr>
            <w:r>
              <w:rPr>
                <w:rFonts w:hint="eastAsia"/>
                <w:b w:val="0"/>
                <w:color w:val="000000"/>
                <w:sz w:val="18"/>
                <w:szCs w:val="18"/>
              </w:rPr>
              <w:t>8</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color w:val="000000"/>
                <w:sz w:val="18"/>
                <w:szCs w:val="18"/>
              </w:rPr>
            </w:pPr>
            <w:r>
              <w:rPr>
                <w:rFonts w:hint="eastAsia"/>
                <w:b w:val="0"/>
                <w:color w:val="000000"/>
                <w:sz w:val="18"/>
                <w:szCs w:val="18"/>
              </w:rPr>
              <w:t>无</w:t>
            </w:r>
          </w:p>
        </w:tc>
      </w:tr>
      <w:tr>
        <w:tblPrEx>
          <w:tblLayout w:type="fixed"/>
          <w:tblCellMar>
            <w:top w:w="0" w:type="dxa"/>
            <w:left w:w="108" w:type="dxa"/>
            <w:bottom w:w="0" w:type="dxa"/>
            <w:right w:w="108" w:type="dxa"/>
          </w:tblCellMar>
        </w:tblPrEx>
        <w:trPr>
          <w:trHeight w:val="416"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5"/>
                <w:szCs w:val="18"/>
              </w:rPr>
            </w:pPr>
            <w:r>
              <w:rPr>
                <w:kern w:val="0"/>
                <w:sz w:val="18"/>
                <w:szCs w:val="18"/>
              </w:rPr>
              <w:t>可持续影响指标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指标1：</w:t>
            </w:r>
          </w:p>
        </w:tc>
        <w:tc>
          <w:tcPr>
            <w:tcW w:w="1628" w:type="dxa"/>
            <w:gridSpan w:val="2"/>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项目规划科学合理，程序完整有效，具备可持续的组织保障</w:t>
            </w:r>
          </w:p>
        </w:tc>
        <w:tc>
          <w:tcPr>
            <w:tcW w:w="2268" w:type="dxa"/>
            <w:gridSpan w:val="3"/>
            <w:tcBorders>
              <w:top w:val="single" w:color="auto" w:sz="4" w:space="0"/>
              <w:left w:val="nil"/>
              <w:bottom w:val="single" w:color="auto" w:sz="4" w:space="0"/>
              <w:right w:val="single" w:color="auto" w:sz="4" w:space="0"/>
            </w:tcBorders>
            <w:vAlign w:val="center"/>
          </w:tcPr>
          <w:p>
            <w:pPr>
              <w:widowControl/>
              <w:spacing w:line="240" w:lineRule="exact"/>
              <w:rPr>
                <w:b w:val="0"/>
                <w:color w:val="000000"/>
                <w:sz w:val="18"/>
                <w:szCs w:val="18"/>
              </w:rPr>
            </w:pPr>
            <w:r>
              <w:rPr>
                <w:rFonts w:hint="eastAsia"/>
                <w:b w:val="0"/>
                <w:color w:val="000000"/>
                <w:sz w:val="18"/>
                <w:szCs w:val="18"/>
              </w:rPr>
              <w:t>引导资金政策经区长办公会审定后发布实施，纳入全区产业资金范畴，由区产业转型升级领导小组统筹，符合组织保障环境的可持续性。</w:t>
            </w:r>
          </w:p>
        </w:tc>
        <w:tc>
          <w:tcPr>
            <w:tcW w:w="567" w:type="dxa"/>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8</w:t>
            </w:r>
          </w:p>
        </w:tc>
        <w:tc>
          <w:tcPr>
            <w:tcW w:w="567" w:type="dxa"/>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8</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color w:val="000000"/>
                <w:sz w:val="18"/>
                <w:szCs w:val="18"/>
              </w:rPr>
            </w:pPr>
            <w:r>
              <w:rPr>
                <w:rFonts w:hint="eastAsia"/>
                <w:b w:val="0"/>
                <w:color w:val="000000"/>
                <w:sz w:val="18"/>
                <w:szCs w:val="18"/>
              </w:rPr>
              <w:t>无</w:t>
            </w:r>
          </w:p>
        </w:tc>
      </w:tr>
      <w:tr>
        <w:tblPrEx>
          <w:tblLayout w:type="fixed"/>
          <w:tblCellMar>
            <w:top w:w="0" w:type="dxa"/>
            <w:left w:w="108" w:type="dxa"/>
            <w:bottom w:w="0" w:type="dxa"/>
            <w:right w:w="108" w:type="dxa"/>
          </w:tblCellMar>
        </w:tblPrEx>
        <w:trPr>
          <w:trHeight w:val="502"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92" w:type="dxa"/>
            <w:gridSpan w:val="2"/>
            <w:tcBorders>
              <w:top w:val="single" w:color="auto" w:sz="4" w:space="0"/>
              <w:left w:val="nil"/>
              <w:bottom w:val="single" w:color="auto" w:sz="4" w:space="0"/>
              <w:right w:val="single" w:color="auto" w:sz="4" w:space="0"/>
            </w:tcBorders>
            <w:vAlign w:val="center"/>
          </w:tcPr>
          <w:p>
            <w:pPr>
              <w:spacing w:line="240" w:lineRule="exact"/>
              <w:jc w:val="left"/>
              <w:rPr>
                <w:b w:val="0"/>
                <w:color w:val="000000"/>
                <w:kern w:val="0"/>
                <w:sz w:val="18"/>
                <w:szCs w:val="18"/>
              </w:rPr>
            </w:pPr>
            <w:r>
              <w:rPr>
                <w:rFonts w:hint="eastAsia"/>
                <w:b w:val="0"/>
                <w:color w:val="000000"/>
                <w:kern w:val="0"/>
                <w:sz w:val="18"/>
                <w:szCs w:val="18"/>
              </w:rPr>
              <w:t>指标2：</w:t>
            </w:r>
          </w:p>
        </w:tc>
        <w:tc>
          <w:tcPr>
            <w:tcW w:w="1628" w:type="dxa"/>
            <w:gridSpan w:val="2"/>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项目组织有力，分工明确，实施规范，具备可持续的实施条件</w:t>
            </w:r>
          </w:p>
        </w:tc>
        <w:tc>
          <w:tcPr>
            <w:tcW w:w="2268" w:type="dxa"/>
            <w:gridSpan w:val="3"/>
            <w:tcBorders>
              <w:top w:val="single" w:color="auto" w:sz="4" w:space="0"/>
              <w:left w:val="nil"/>
              <w:bottom w:val="single" w:color="auto" w:sz="4" w:space="0"/>
              <w:right w:val="single" w:color="auto" w:sz="4" w:space="0"/>
            </w:tcBorders>
            <w:vAlign w:val="center"/>
          </w:tcPr>
          <w:p>
            <w:pPr>
              <w:adjustRightInd w:val="0"/>
              <w:snapToGrid w:val="0"/>
              <w:spacing w:line="276" w:lineRule="auto"/>
              <w:rPr>
                <w:b w:val="0"/>
                <w:color w:val="000000"/>
                <w:sz w:val="18"/>
                <w:szCs w:val="18"/>
              </w:rPr>
            </w:pPr>
            <w:r>
              <w:rPr>
                <w:rFonts w:hint="eastAsia"/>
                <w:b w:val="0"/>
                <w:color w:val="000000"/>
                <w:sz w:val="18"/>
                <w:szCs w:val="18"/>
              </w:rPr>
              <w:t>引导资金政策项目由实验区管委会安排专门工作人员组织实施，在区纪委区监委驻区委宣传部纪检监察组全程监督指导下进行，严格落实“三重一大”决策程序，符合实施条件的可持续性。</w:t>
            </w:r>
          </w:p>
        </w:tc>
        <w:tc>
          <w:tcPr>
            <w:tcW w:w="567" w:type="dxa"/>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8</w:t>
            </w:r>
          </w:p>
        </w:tc>
        <w:tc>
          <w:tcPr>
            <w:tcW w:w="567" w:type="dxa"/>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8</w:t>
            </w:r>
          </w:p>
        </w:tc>
        <w:tc>
          <w:tcPr>
            <w:tcW w:w="889" w:type="dxa"/>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无</w:t>
            </w:r>
          </w:p>
        </w:tc>
      </w:tr>
      <w:tr>
        <w:tblPrEx>
          <w:tblLayout w:type="fixed"/>
          <w:tblCellMar>
            <w:top w:w="0" w:type="dxa"/>
            <w:left w:w="108" w:type="dxa"/>
            <w:bottom w:w="0" w:type="dxa"/>
            <w:right w:w="108" w:type="dxa"/>
          </w:tblCellMar>
        </w:tblPrEx>
        <w:trPr>
          <w:trHeight w:val="567" w:hRule="atLeas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指标1：</w:t>
            </w:r>
          </w:p>
        </w:tc>
        <w:tc>
          <w:tcPr>
            <w:tcW w:w="1628" w:type="dxa"/>
            <w:gridSpan w:val="2"/>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服务对象满意度达到85%以上</w:t>
            </w:r>
          </w:p>
        </w:tc>
        <w:tc>
          <w:tcPr>
            <w:tcW w:w="2268" w:type="dxa"/>
            <w:gridSpan w:val="3"/>
            <w:tcBorders>
              <w:top w:val="single" w:color="auto" w:sz="4" w:space="0"/>
              <w:left w:val="nil"/>
              <w:bottom w:val="single" w:color="auto" w:sz="4" w:space="0"/>
              <w:right w:val="single" w:color="auto" w:sz="4" w:space="0"/>
            </w:tcBorders>
            <w:vAlign w:val="center"/>
          </w:tcPr>
          <w:p>
            <w:pPr>
              <w:adjustRightInd w:val="0"/>
              <w:snapToGrid w:val="0"/>
              <w:spacing w:line="276" w:lineRule="auto"/>
              <w:rPr>
                <w:b w:val="0"/>
                <w:color w:val="000000"/>
                <w:sz w:val="18"/>
                <w:szCs w:val="18"/>
              </w:rPr>
            </w:pPr>
            <w:r>
              <w:rPr>
                <w:rFonts w:hint="eastAsia"/>
                <w:b w:val="0"/>
                <w:color w:val="000000"/>
                <w:sz w:val="18"/>
                <w:szCs w:val="18"/>
              </w:rPr>
              <w:t>通过线上线下多种形式开展政策宣传解读，提高政策知晓率和参与率，支持企业稳定发展。</w:t>
            </w:r>
          </w:p>
        </w:tc>
        <w:tc>
          <w:tcPr>
            <w:tcW w:w="567" w:type="dxa"/>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10</w:t>
            </w:r>
          </w:p>
        </w:tc>
        <w:tc>
          <w:tcPr>
            <w:tcW w:w="567" w:type="dxa"/>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9.9</w:t>
            </w:r>
          </w:p>
        </w:tc>
        <w:tc>
          <w:tcPr>
            <w:tcW w:w="889" w:type="dxa"/>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b w:val="0"/>
                <w:color w:val="000000"/>
                <w:sz w:val="18"/>
                <w:szCs w:val="18"/>
              </w:rPr>
            </w:pPr>
            <w:r>
              <w:rPr>
                <w:rFonts w:hint="eastAsia"/>
                <w:b w:val="0"/>
                <w:color w:val="000000"/>
                <w:sz w:val="18"/>
                <w:szCs w:val="18"/>
              </w:rPr>
              <w:t>无</w:t>
            </w:r>
          </w:p>
        </w:tc>
      </w:tr>
      <w:tr>
        <w:tblPrEx>
          <w:tblLayout w:type="fixed"/>
          <w:tblCellMar>
            <w:top w:w="0" w:type="dxa"/>
            <w:left w:w="108" w:type="dxa"/>
            <w:bottom w:w="0" w:type="dxa"/>
            <w:right w:w="108" w:type="dxa"/>
          </w:tblCellMar>
        </w:tblPrEx>
        <w:trPr>
          <w:trHeight w:val="452" w:hRule="exact"/>
          <w:jc w:val="center"/>
        </w:trPr>
        <w:tc>
          <w:tcPr>
            <w:tcW w:w="7412"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67"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99.9</w:t>
            </w:r>
          </w:p>
        </w:tc>
        <w:tc>
          <w:tcPr>
            <w:tcW w:w="88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填表人：</w:t>
      </w:r>
      <w:r>
        <w:rPr>
          <w:rFonts w:hint="eastAsia" w:ascii="宋体" w:hAnsi="宋体"/>
          <w:sz w:val="24"/>
          <w:szCs w:val="32"/>
        </w:rPr>
        <w:t xml:space="preserve">鲁晓钰          </w:t>
      </w:r>
      <w:r>
        <w:rPr>
          <w:rFonts w:ascii="宋体" w:hAnsi="宋体"/>
          <w:sz w:val="24"/>
          <w:szCs w:val="32"/>
        </w:rPr>
        <w:t>联系电话：</w:t>
      </w:r>
      <w:r>
        <w:rPr>
          <w:rFonts w:hint="eastAsia" w:ascii="宋体" w:hAnsi="宋体"/>
          <w:sz w:val="24"/>
          <w:szCs w:val="32"/>
        </w:rPr>
        <w:t xml:space="preserve">87771210          </w:t>
      </w:r>
      <w:r>
        <w:rPr>
          <w:rFonts w:ascii="宋体" w:hAnsi="宋体"/>
          <w:sz w:val="24"/>
          <w:szCs w:val="32"/>
        </w:rPr>
        <w:t>填写日期：</w:t>
      </w:r>
      <w:r>
        <w:rPr>
          <w:rFonts w:hint="eastAsia" w:ascii="宋体" w:hAnsi="宋体"/>
          <w:sz w:val="24"/>
          <w:szCs w:val="32"/>
        </w:rPr>
        <w:t>2021.02.25</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2FD6"/>
    <w:rsid w:val="000115C5"/>
    <w:rsid w:val="000116F0"/>
    <w:rsid w:val="00061931"/>
    <w:rsid w:val="00066065"/>
    <w:rsid w:val="0007268B"/>
    <w:rsid w:val="000C4B12"/>
    <w:rsid w:val="000D186F"/>
    <w:rsid w:val="0016201D"/>
    <w:rsid w:val="00177323"/>
    <w:rsid w:val="001A19A1"/>
    <w:rsid w:val="001C27FE"/>
    <w:rsid w:val="001C2A98"/>
    <w:rsid w:val="00204B6F"/>
    <w:rsid w:val="00205688"/>
    <w:rsid w:val="00214F1B"/>
    <w:rsid w:val="00251F09"/>
    <w:rsid w:val="00254592"/>
    <w:rsid w:val="00262A77"/>
    <w:rsid w:val="002667C2"/>
    <w:rsid w:val="002904DD"/>
    <w:rsid w:val="002A039C"/>
    <w:rsid w:val="002A0F8F"/>
    <w:rsid w:val="002E5612"/>
    <w:rsid w:val="00316B6B"/>
    <w:rsid w:val="00345AC9"/>
    <w:rsid w:val="00365E81"/>
    <w:rsid w:val="003F0D00"/>
    <w:rsid w:val="003F4BBB"/>
    <w:rsid w:val="003F7F7C"/>
    <w:rsid w:val="00401D8E"/>
    <w:rsid w:val="004302DF"/>
    <w:rsid w:val="00432FD6"/>
    <w:rsid w:val="00470238"/>
    <w:rsid w:val="004B0254"/>
    <w:rsid w:val="004D0024"/>
    <w:rsid w:val="004F13E3"/>
    <w:rsid w:val="004F4F9F"/>
    <w:rsid w:val="005009BC"/>
    <w:rsid w:val="005A4BB7"/>
    <w:rsid w:val="005A7E30"/>
    <w:rsid w:val="005D4B65"/>
    <w:rsid w:val="005F1EBC"/>
    <w:rsid w:val="00617329"/>
    <w:rsid w:val="006320FF"/>
    <w:rsid w:val="00655C30"/>
    <w:rsid w:val="00675A55"/>
    <w:rsid w:val="006841E0"/>
    <w:rsid w:val="006A5F5E"/>
    <w:rsid w:val="006B1399"/>
    <w:rsid w:val="006D26F7"/>
    <w:rsid w:val="0074089D"/>
    <w:rsid w:val="00754F41"/>
    <w:rsid w:val="00786C87"/>
    <w:rsid w:val="0079493B"/>
    <w:rsid w:val="007C4594"/>
    <w:rsid w:val="007D601E"/>
    <w:rsid w:val="007F2575"/>
    <w:rsid w:val="00804E88"/>
    <w:rsid w:val="00814E89"/>
    <w:rsid w:val="008317F7"/>
    <w:rsid w:val="008800B8"/>
    <w:rsid w:val="00886369"/>
    <w:rsid w:val="008C7F74"/>
    <w:rsid w:val="008D2D13"/>
    <w:rsid w:val="00910CC9"/>
    <w:rsid w:val="00931A43"/>
    <w:rsid w:val="009760A7"/>
    <w:rsid w:val="009E4FEA"/>
    <w:rsid w:val="009F3D4E"/>
    <w:rsid w:val="00A01D22"/>
    <w:rsid w:val="00A46FC9"/>
    <w:rsid w:val="00A57935"/>
    <w:rsid w:val="00A81610"/>
    <w:rsid w:val="00A96F80"/>
    <w:rsid w:val="00AA5475"/>
    <w:rsid w:val="00AB4E10"/>
    <w:rsid w:val="00AC6238"/>
    <w:rsid w:val="00AE4799"/>
    <w:rsid w:val="00B07519"/>
    <w:rsid w:val="00B313D4"/>
    <w:rsid w:val="00B81FDA"/>
    <w:rsid w:val="00B85EA0"/>
    <w:rsid w:val="00BA1F69"/>
    <w:rsid w:val="00C02288"/>
    <w:rsid w:val="00C3357A"/>
    <w:rsid w:val="00C50425"/>
    <w:rsid w:val="00C62462"/>
    <w:rsid w:val="00C62597"/>
    <w:rsid w:val="00C80320"/>
    <w:rsid w:val="00C908CF"/>
    <w:rsid w:val="00C93E21"/>
    <w:rsid w:val="00CA3708"/>
    <w:rsid w:val="00CC683C"/>
    <w:rsid w:val="00CD6230"/>
    <w:rsid w:val="00D13037"/>
    <w:rsid w:val="00D312D5"/>
    <w:rsid w:val="00D35A34"/>
    <w:rsid w:val="00D40818"/>
    <w:rsid w:val="00DA339D"/>
    <w:rsid w:val="00DB0ABC"/>
    <w:rsid w:val="00DB652B"/>
    <w:rsid w:val="00DC1134"/>
    <w:rsid w:val="00DF6FA8"/>
    <w:rsid w:val="00E339A5"/>
    <w:rsid w:val="00E34169"/>
    <w:rsid w:val="00E36823"/>
    <w:rsid w:val="00E51B26"/>
    <w:rsid w:val="00E54D3D"/>
    <w:rsid w:val="00E56A0F"/>
    <w:rsid w:val="00E61516"/>
    <w:rsid w:val="00E93EE3"/>
    <w:rsid w:val="00E97E07"/>
    <w:rsid w:val="00EF4C8B"/>
    <w:rsid w:val="00F14293"/>
    <w:rsid w:val="00F14741"/>
    <w:rsid w:val="00F20153"/>
    <w:rsid w:val="00F423F0"/>
    <w:rsid w:val="00F969D9"/>
    <w:rsid w:val="00FB17C8"/>
    <w:rsid w:val="00FE2629"/>
    <w:rsid w:val="00FF306A"/>
    <w:rsid w:val="00FF7C83"/>
    <w:rsid w:val="06CC0359"/>
    <w:rsid w:val="39FF5A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uiPriority w:val="99"/>
    <w:rPr>
      <w:rFonts w:ascii="Times New Roman" w:hAnsi="Times New Roman" w:eastAsia="宋体" w:cs="Times New Roman"/>
      <w:b/>
      <w:bCs/>
      <w:sz w:val="18"/>
      <w:szCs w:val="18"/>
    </w:rPr>
  </w:style>
  <w:style w:type="character" w:customStyle="1" w:styleId="8">
    <w:name w:val="页眉 Char"/>
    <w:basedOn w:val="5"/>
    <w:link w:val="4"/>
    <w:qFormat/>
    <w:uiPriority w:val="99"/>
    <w:rPr>
      <w:rFonts w:ascii="Times New Roman" w:hAnsi="Times New Roman" w:eastAsia="宋体" w:cs="Times New Roman"/>
      <w:b/>
      <w:bCs/>
      <w:sz w:val="18"/>
      <w:szCs w:val="18"/>
    </w:rPr>
  </w:style>
  <w:style w:type="character" w:customStyle="1" w:styleId="9">
    <w:name w:val="页脚 Char"/>
    <w:basedOn w:val="5"/>
    <w:link w:val="3"/>
    <w:qFormat/>
    <w:uiPriority w:val="99"/>
    <w:rPr>
      <w:rFonts w:ascii="Times New Roman" w:hAnsi="Times New Roman" w:eastAsia="宋体" w:cs="Times New Roman"/>
      <w:b/>
      <w:bCs/>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70611-4310-4AC1-91DC-E3C4E92A78E9}">
  <ds:schemaRefs/>
</ds:datastoreItem>
</file>

<file path=docProps/app.xml><?xml version="1.0" encoding="utf-8"?>
<Properties xmlns="http://schemas.openxmlformats.org/officeDocument/2006/extended-properties" xmlns:vt="http://schemas.openxmlformats.org/officeDocument/2006/docPropsVTypes">
  <Template>Normal</Template>
  <Pages>3</Pages>
  <Words>339</Words>
  <Characters>1937</Characters>
  <Lines>16</Lines>
  <Paragraphs>4</Paragraphs>
  <ScaleCrop>false</ScaleCrop>
  <LinksUpToDate>false</LinksUpToDate>
  <CharactersWithSpaces>2272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2021-01-29T09:09:00Z</dcterms:created>
  <dc:creator>GWH</dc:creator>
  <cp:lastModifiedBy>lenovo</cp:lastModifiedBy>
  <cp:lastPrinted>2021-02-26T07:50:00Z</cp:lastPrinted>
  <dcterms:modified xsi:type="dcterms:W3CDTF">2023-09-28T06:17:12Z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