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1F8F1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i w:val="0"/>
          <w:color w:val="000000"/>
          <w:kern w:val="0"/>
          <w:sz w:val="36"/>
          <w:szCs w:val="36"/>
          <w:u w:val="none"/>
          <w:lang w:val="en-US" w:eastAsia="zh-CN" w:bidi="ar"/>
        </w:rPr>
      </w:pPr>
      <w:r>
        <w:rPr>
          <w:rFonts w:hint="eastAsia" w:ascii="方正小标宋简体" w:hAnsi="方正小标宋简体" w:eastAsia="方正小标宋简体" w:cs="方正小标宋简体"/>
          <w:color w:val="000000"/>
          <w:kern w:val="0"/>
          <w:sz w:val="36"/>
          <w:szCs w:val="36"/>
        </w:rPr>
        <w:t>（北京市朝阳区市场监督管理局）</w:t>
      </w:r>
      <w:r>
        <w:rPr>
          <w:rFonts w:hint="eastAsia" w:ascii="方正小标宋简体" w:hAnsi="方正小标宋简体" w:eastAsia="方正小标宋简体" w:cs="方正小标宋简体"/>
          <w:i w:val="0"/>
          <w:color w:val="000000"/>
          <w:kern w:val="0"/>
          <w:sz w:val="36"/>
          <w:szCs w:val="36"/>
          <w:u w:val="none"/>
          <w:lang w:val="en-US" w:eastAsia="zh-CN" w:bidi="ar"/>
        </w:rPr>
        <w:t>2026年区政府工作报告重点工作落实情况表</w:t>
      </w:r>
    </w:p>
    <w:p w14:paraId="5C6BFC2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i w:val="0"/>
          <w:color w:val="000000"/>
          <w:kern w:val="0"/>
          <w:sz w:val="36"/>
          <w:szCs w:val="36"/>
          <w:u w:val="none"/>
          <w:lang w:val="en-US" w:eastAsia="zh-CN" w:bidi="ar"/>
        </w:rPr>
      </w:pPr>
      <w:r>
        <w:rPr>
          <w:rFonts w:hint="eastAsia" w:ascii="方正小标宋简体" w:hAnsi="方正小标宋简体" w:eastAsia="方正小标宋简体" w:cs="方正小标宋简体"/>
          <w:i w:val="0"/>
          <w:color w:val="000000"/>
          <w:kern w:val="0"/>
          <w:sz w:val="36"/>
          <w:szCs w:val="36"/>
          <w:u w:val="none"/>
          <w:lang w:val="en-US" w:eastAsia="zh-CN" w:bidi="ar"/>
        </w:rPr>
        <w:t>（第二季度）</w:t>
      </w:r>
    </w:p>
    <w:p w14:paraId="56E29002">
      <w:pPr>
        <w:pStyle w:val="2"/>
      </w:pPr>
    </w:p>
    <w:tbl>
      <w:tblPr>
        <w:tblStyle w:val="6"/>
        <w:tblW w:w="13245" w:type="dxa"/>
        <w:tblInd w:w="4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920"/>
        <w:gridCol w:w="2790"/>
        <w:gridCol w:w="2865"/>
        <w:gridCol w:w="4905"/>
      </w:tblGrid>
      <w:tr w14:paraId="0AD17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blHeader/>
        </w:trPr>
        <w:tc>
          <w:tcPr>
            <w:tcW w:w="765" w:type="dxa"/>
            <w:shd w:val="clear" w:color="auto" w:fill="D9D9D9"/>
            <w:vAlign w:val="center"/>
          </w:tcPr>
          <w:p w14:paraId="333FEB61">
            <w:pPr>
              <w:keepNext w:val="0"/>
              <w:keepLines w:val="0"/>
              <w:widowControl/>
              <w:suppressLineNumbers w:val="0"/>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序号</w:t>
            </w:r>
          </w:p>
        </w:tc>
        <w:tc>
          <w:tcPr>
            <w:tcW w:w="1920" w:type="dxa"/>
            <w:shd w:val="clear" w:color="auto" w:fill="D9D9D9"/>
            <w:vAlign w:val="center"/>
          </w:tcPr>
          <w:p w14:paraId="0B817D9B">
            <w:pPr>
              <w:keepNext w:val="0"/>
              <w:keepLines w:val="0"/>
              <w:widowControl/>
              <w:suppressLineNumbers w:val="0"/>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任务来源</w:t>
            </w:r>
          </w:p>
        </w:tc>
        <w:tc>
          <w:tcPr>
            <w:tcW w:w="2790" w:type="dxa"/>
            <w:shd w:val="clear" w:color="auto" w:fill="D9D9D9"/>
            <w:vAlign w:val="center"/>
          </w:tcPr>
          <w:p w14:paraId="665F81AA">
            <w:pPr>
              <w:keepNext w:val="0"/>
              <w:keepLines w:val="0"/>
              <w:widowControl/>
              <w:suppressLineNumbers w:val="0"/>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任务内容</w:t>
            </w:r>
          </w:p>
        </w:tc>
        <w:tc>
          <w:tcPr>
            <w:tcW w:w="2865" w:type="dxa"/>
            <w:shd w:val="clear" w:color="auto" w:fill="D9D9D9"/>
            <w:vAlign w:val="center"/>
          </w:tcPr>
          <w:p w14:paraId="09A9AEC6">
            <w:pPr>
              <w:keepNext w:val="0"/>
              <w:keepLines w:val="0"/>
              <w:widowControl/>
              <w:suppressLineNumbers w:val="0"/>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区级责任部门</w:t>
            </w:r>
          </w:p>
        </w:tc>
        <w:tc>
          <w:tcPr>
            <w:tcW w:w="4905" w:type="dxa"/>
            <w:shd w:val="clear" w:color="auto" w:fill="D9D9D9"/>
            <w:vAlign w:val="center"/>
          </w:tcPr>
          <w:p w14:paraId="03643B6B">
            <w:pPr>
              <w:keepNext w:val="0"/>
              <w:keepLines w:val="0"/>
              <w:widowControl/>
              <w:suppressLineNumbers w:val="0"/>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进展情况</w:t>
            </w:r>
          </w:p>
        </w:tc>
      </w:tr>
      <w:tr w14:paraId="57983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8" w:hRule="atLeast"/>
        </w:trPr>
        <w:tc>
          <w:tcPr>
            <w:tcW w:w="765" w:type="dxa"/>
            <w:vAlign w:val="center"/>
          </w:tcPr>
          <w:p w14:paraId="1492CE79">
            <w:pPr>
              <w:keepNext w:val="0"/>
              <w:keepLines w:val="0"/>
              <w:widowControl/>
              <w:suppressLineNumbers w:val="0"/>
              <w:jc w:val="center"/>
              <w:textAlignment w:val="center"/>
              <w:rPr>
                <w:rFonts w:hint="eastAsia" w:ascii="仿宋_GB2312" w:hAnsi="仿宋_GB2312" w:eastAsia="仿宋_GB2312" w:cs="仿宋_GB2312"/>
                <w:sz w:val="24"/>
                <w:szCs w:val="24"/>
                <w:vertAlign w:val="baseline"/>
                <w:lang w:eastAsia="zh-CN"/>
              </w:rPr>
            </w:pPr>
            <w:r>
              <w:rPr>
                <w:rFonts w:hint="default" w:ascii="Times New Roman" w:hAnsi="Times New Roman" w:eastAsia="仿宋_GB2312" w:cs="Times New Roman"/>
                <w:i w:val="0"/>
                <w:color w:val="000000"/>
                <w:kern w:val="0"/>
                <w:sz w:val="24"/>
                <w:szCs w:val="24"/>
                <w:u w:val="none"/>
                <w:lang w:val="en-US" w:eastAsia="zh-CN" w:bidi="ar"/>
              </w:rPr>
              <w:t>1</w:t>
            </w:r>
          </w:p>
        </w:tc>
        <w:tc>
          <w:tcPr>
            <w:tcW w:w="1920" w:type="dxa"/>
            <w:vAlign w:val="center"/>
          </w:tcPr>
          <w:p w14:paraId="2AA98577">
            <w:pPr>
              <w:keepNext w:val="0"/>
              <w:keepLines w:val="0"/>
              <w:widowControl/>
              <w:suppressLineNumbers w:val="0"/>
              <w:jc w:val="center"/>
              <w:textAlignment w:val="center"/>
              <w:rPr>
                <w:rFonts w:hint="eastAsia" w:ascii="仿宋_GB2312" w:hAnsi="仿宋_GB2312" w:eastAsia="仿宋_GB2312" w:cs="仿宋_GB2312"/>
                <w:sz w:val="24"/>
                <w:szCs w:val="24"/>
                <w:vertAlign w:val="baseline"/>
                <w:lang w:eastAsia="zh-CN"/>
              </w:rPr>
            </w:pPr>
            <w:r>
              <w:rPr>
                <w:rFonts w:hint="eastAsia" w:ascii="仿宋_GB2312" w:hAnsi="Arial" w:eastAsia="仿宋_GB2312" w:cs="仿宋_GB2312"/>
                <w:i w:val="0"/>
                <w:color w:val="000000"/>
                <w:kern w:val="0"/>
                <w:sz w:val="24"/>
                <w:szCs w:val="24"/>
                <w:u w:val="none"/>
                <w:lang w:val="en-US" w:eastAsia="zh-CN" w:bidi="ar"/>
              </w:rPr>
              <w:t>区政府工作报告重点工作</w:t>
            </w:r>
            <w:r>
              <w:rPr>
                <w:rFonts w:hint="eastAsia" w:ascii="仿宋_GB2312" w:hAnsi="Arial" w:eastAsia="仿宋_GB2312" w:cs="仿宋_GB2312"/>
                <w:i w:val="0"/>
                <w:color w:val="000000"/>
                <w:kern w:val="0"/>
                <w:sz w:val="24"/>
                <w:szCs w:val="24"/>
                <w:u w:val="none"/>
                <w:lang w:val="en-US" w:eastAsia="zh-CN" w:bidi="ar"/>
              </w:rPr>
              <w:br w:type="textWrapping"/>
            </w:r>
            <w:r>
              <w:rPr>
                <w:rFonts w:hint="eastAsia" w:ascii="仿宋_GB2312" w:hAnsi="Arial" w:eastAsia="仿宋_GB2312" w:cs="仿宋_GB2312"/>
                <w:i w:val="0"/>
                <w:color w:val="000000"/>
                <w:kern w:val="0"/>
                <w:sz w:val="24"/>
                <w:szCs w:val="24"/>
                <w:u w:val="none"/>
                <w:lang w:val="en-US" w:eastAsia="zh-CN" w:bidi="ar"/>
              </w:rPr>
              <w:t>第</w:t>
            </w:r>
            <w:r>
              <w:rPr>
                <w:rFonts w:hint="eastAsia" w:eastAsia="仿宋_GB2312" w:cs="Times New Roman"/>
                <w:i w:val="0"/>
                <w:color w:val="000000"/>
                <w:kern w:val="0"/>
                <w:sz w:val="24"/>
                <w:szCs w:val="24"/>
                <w:u w:val="none"/>
                <w:lang w:val="en-US" w:eastAsia="zh-CN" w:bidi="ar"/>
              </w:rPr>
              <w:t>9</w:t>
            </w:r>
            <w:r>
              <w:rPr>
                <w:rFonts w:hint="eastAsia" w:ascii="仿宋_GB2312" w:hAnsi="Arial" w:eastAsia="仿宋_GB2312" w:cs="仿宋_GB2312"/>
                <w:i w:val="0"/>
                <w:color w:val="000000"/>
                <w:kern w:val="0"/>
                <w:sz w:val="24"/>
                <w:szCs w:val="24"/>
                <w:u w:val="none"/>
                <w:lang w:val="en-US" w:eastAsia="zh-CN" w:bidi="ar"/>
              </w:rPr>
              <w:t>项</w:t>
            </w:r>
          </w:p>
        </w:tc>
        <w:tc>
          <w:tcPr>
            <w:tcW w:w="2790" w:type="dxa"/>
            <w:vAlign w:val="center"/>
          </w:tcPr>
          <w:p w14:paraId="3E9CE890">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全力争创国家数字广告产业园区试点。</w:t>
            </w:r>
          </w:p>
        </w:tc>
        <w:tc>
          <w:tcPr>
            <w:tcW w:w="2865" w:type="dxa"/>
            <w:shd w:val="clear" w:color="auto" w:fill="auto"/>
            <w:vAlign w:val="center"/>
          </w:tcPr>
          <w:p w14:paraId="003A9CF8">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区市场监管局</w:t>
            </w:r>
          </w:p>
        </w:tc>
        <w:tc>
          <w:tcPr>
            <w:tcW w:w="4905" w:type="dxa"/>
            <w:vAlign w:val="center"/>
          </w:tcPr>
          <w:p w14:paraId="1323DF41">
            <w:pPr>
              <w:keepNext w:val="0"/>
              <w:keepLines w:val="0"/>
              <w:widowControl/>
              <w:suppressLineNumbers w:val="0"/>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6月6日获国家市场监管总局批复支持试点，7月3日全球数字经济大会宣布启动。园区以AI+广告为核心方向，大力推动AIGC、数智监测等前沿技术落地应用。时趣互动“比稿象”平台大幅压缩广告比稿时长，鸿蒙蝴蝶云数智监测体系形成可复制推广模式。园区企业依托AI平台实现创意制作周期缩短60%以上，营销转化率显著提升，同时搭建多类专业服务平台，推动广告产业向智能化、精细化转型，产业链协同创新能力持续增强。</w:t>
            </w:r>
          </w:p>
        </w:tc>
      </w:tr>
      <w:tr w14:paraId="1B1A3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7" w:hRule="atLeast"/>
        </w:trPr>
        <w:tc>
          <w:tcPr>
            <w:tcW w:w="765" w:type="dxa"/>
            <w:vAlign w:val="center"/>
          </w:tcPr>
          <w:p w14:paraId="5A19AA9D">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4"/>
                <w:szCs w:val="24"/>
                <w:u w:val="none"/>
                <w:lang w:val="en-US" w:eastAsia="zh-CN" w:bidi="ar"/>
              </w:rPr>
            </w:pPr>
            <w:r>
              <w:rPr>
                <w:rFonts w:hint="eastAsia" w:eastAsia="仿宋_GB2312" w:cs="Times New Roman"/>
                <w:i w:val="0"/>
                <w:color w:val="000000"/>
                <w:kern w:val="0"/>
                <w:sz w:val="24"/>
                <w:szCs w:val="24"/>
                <w:u w:val="none"/>
                <w:lang w:val="en-US" w:eastAsia="zh-CN" w:bidi="ar"/>
              </w:rPr>
              <w:t>2</w:t>
            </w:r>
          </w:p>
        </w:tc>
        <w:tc>
          <w:tcPr>
            <w:tcW w:w="1920" w:type="dxa"/>
            <w:vAlign w:val="center"/>
          </w:tcPr>
          <w:p w14:paraId="49D5E453">
            <w:pPr>
              <w:keepNext w:val="0"/>
              <w:keepLines w:val="0"/>
              <w:widowControl/>
              <w:suppressLineNumbers w:val="0"/>
              <w:jc w:val="center"/>
              <w:textAlignment w:val="center"/>
              <w:rPr>
                <w:rFonts w:hint="eastAsia" w:ascii="仿宋_GB2312" w:hAnsi="Arial" w:eastAsia="仿宋_GB2312" w:cs="仿宋_GB2312"/>
                <w:i w:val="0"/>
                <w:color w:val="000000"/>
                <w:kern w:val="0"/>
                <w:sz w:val="24"/>
                <w:szCs w:val="24"/>
                <w:u w:val="none"/>
                <w:lang w:val="en-US" w:eastAsia="zh-CN" w:bidi="ar"/>
              </w:rPr>
            </w:pPr>
            <w:r>
              <w:rPr>
                <w:rFonts w:hint="eastAsia" w:ascii="仿宋_GB2312" w:hAnsi="Arial" w:eastAsia="仿宋_GB2312" w:cs="仿宋_GB2312"/>
                <w:i w:val="0"/>
                <w:color w:val="000000"/>
                <w:kern w:val="0"/>
                <w:sz w:val="24"/>
                <w:szCs w:val="24"/>
                <w:u w:val="none"/>
                <w:lang w:val="en-US" w:eastAsia="zh-CN" w:bidi="ar"/>
              </w:rPr>
              <w:t>区政府工作报告重点工作</w:t>
            </w:r>
            <w:r>
              <w:rPr>
                <w:rFonts w:hint="eastAsia" w:ascii="仿宋_GB2312" w:hAnsi="Arial" w:eastAsia="仿宋_GB2312" w:cs="仿宋_GB2312"/>
                <w:i w:val="0"/>
                <w:color w:val="000000"/>
                <w:kern w:val="0"/>
                <w:sz w:val="24"/>
                <w:szCs w:val="24"/>
                <w:u w:val="none"/>
                <w:lang w:val="en-US" w:eastAsia="zh-CN" w:bidi="ar"/>
              </w:rPr>
              <w:br w:type="textWrapping"/>
            </w:r>
            <w:r>
              <w:rPr>
                <w:rFonts w:hint="eastAsia" w:ascii="仿宋_GB2312" w:hAnsi="Arial" w:eastAsia="仿宋_GB2312" w:cs="仿宋_GB2312"/>
                <w:i w:val="0"/>
                <w:color w:val="000000"/>
                <w:kern w:val="0"/>
                <w:sz w:val="24"/>
                <w:szCs w:val="24"/>
                <w:u w:val="none"/>
                <w:lang w:val="en-US" w:eastAsia="zh-CN" w:bidi="ar"/>
              </w:rPr>
              <w:t>第</w:t>
            </w:r>
            <w:r>
              <w:rPr>
                <w:rFonts w:hint="eastAsia" w:eastAsia="仿宋_GB2312" w:cs="Times New Roman"/>
                <w:i w:val="0"/>
                <w:color w:val="000000"/>
                <w:kern w:val="0"/>
                <w:sz w:val="24"/>
                <w:szCs w:val="24"/>
                <w:u w:val="none"/>
                <w:lang w:val="en-US" w:eastAsia="zh-CN" w:bidi="ar"/>
              </w:rPr>
              <w:t>22</w:t>
            </w:r>
            <w:r>
              <w:rPr>
                <w:rFonts w:hint="eastAsia" w:ascii="仿宋_GB2312" w:hAnsi="Arial" w:eastAsia="仿宋_GB2312" w:cs="仿宋_GB2312"/>
                <w:i w:val="0"/>
                <w:color w:val="000000"/>
                <w:kern w:val="0"/>
                <w:sz w:val="24"/>
                <w:szCs w:val="24"/>
                <w:u w:val="none"/>
                <w:lang w:val="en-US" w:eastAsia="zh-CN" w:bidi="ar"/>
              </w:rPr>
              <w:t>项</w:t>
            </w:r>
          </w:p>
        </w:tc>
        <w:tc>
          <w:tcPr>
            <w:tcW w:w="2790" w:type="dxa"/>
            <w:vAlign w:val="center"/>
          </w:tcPr>
          <w:p w14:paraId="20508F56">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积极融入和服务全国统一大市场，出台公平竞争审查地方标准，坚决抵制“内卷式”竞争。推动惠企政策直达快享，完善服务包、服务管家机制，切实为企业解决实际问题。</w:t>
            </w:r>
          </w:p>
        </w:tc>
        <w:tc>
          <w:tcPr>
            <w:tcW w:w="2865" w:type="dxa"/>
            <w:shd w:val="clear" w:color="auto" w:fill="auto"/>
            <w:vAlign w:val="center"/>
          </w:tcPr>
          <w:p w14:paraId="3C0D83FF">
            <w:pPr>
              <w:keepNext w:val="0"/>
              <w:keepLines w:val="0"/>
              <w:widowControl/>
              <w:suppressLineNumbers w:val="0"/>
              <w:jc w:val="center"/>
              <w:rPr>
                <w:rFonts w:hint="eastAsia" w:ascii="仿宋_GB2312" w:hAnsi="仿宋_GB2312" w:eastAsia="仿宋_GB2312" w:cs="仿宋_GB2312"/>
                <w:sz w:val="24"/>
                <w:szCs w:val="24"/>
              </w:rPr>
            </w:pPr>
            <w:r>
              <w:rPr>
                <w:rFonts w:hint="eastAsia" w:ascii="仿宋_GB2312" w:hAnsi="仿宋_GB2312" w:eastAsia="仿宋_GB2312" w:cs="仿宋_GB2312"/>
                <w:color w:val="000000"/>
                <w:kern w:val="0"/>
                <w:sz w:val="24"/>
                <w:szCs w:val="24"/>
                <w:lang w:val="en-US" w:eastAsia="zh-CN" w:bidi="ar"/>
              </w:rPr>
              <w:t>区市场监管局</w:t>
            </w:r>
          </w:p>
          <w:p w14:paraId="7567BD6C">
            <w:pPr>
              <w:keepNext w:val="0"/>
              <w:keepLines w:val="0"/>
              <w:widowControl/>
              <w:suppressLineNumbers w:val="0"/>
              <w:jc w:val="center"/>
              <w:rPr>
                <w:rFonts w:hint="eastAsia" w:ascii="仿宋_GB2312" w:hAnsi="仿宋_GB2312" w:eastAsia="仿宋_GB2312" w:cs="仿宋_GB2312"/>
                <w:sz w:val="24"/>
                <w:szCs w:val="24"/>
              </w:rPr>
            </w:pPr>
            <w:r>
              <w:rPr>
                <w:rFonts w:hint="eastAsia" w:ascii="仿宋_GB2312" w:hAnsi="仿宋_GB2312" w:eastAsia="仿宋_GB2312" w:cs="仿宋_GB2312"/>
                <w:color w:val="000000"/>
                <w:kern w:val="0"/>
                <w:sz w:val="24"/>
                <w:szCs w:val="24"/>
                <w:lang w:val="en-US" w:eastAsia="zh-CN" w:bidi="ar"/>
              </w:rPr>
              <w:t>区政务服务局</w:t>
            </w:r>
          </w:p>
          <w:p w14:paraId="6B8F4D91">
            <w:pPr>
              <w:keepNext w:val="0"/>
              <w:keepLines w:val="0"/>
              <w:widowControl/>
              <w:suppressLineNumbers w:val="0"/>
              <w:jc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color w:val="000000"/>
                <w:kern w:val="0"/>
                <w:sz w:val="24"/>
                <w:szCs w:val="24"/>
                <w:lang w:val="en-US" w:eastAsia="zh-CN" w:bidi="ar"/>
              </w:rPr>
              <w:t>区发改委</w:t>
            </w:r>
          </w:p>
        </w:tc>
        <w:tc>
          <w:tcPr>
            <w:tcW w:w="4905" w:type="dxa"/>
            <w:vAlign w:val="center"/>
          </w:tcPr>
          <w:p w14:paraId="3708A2C8">
            <w:pPr>
              <w:keepNext w:val="0"/>
              <w:keepLines w:val="0"/>
              <w:widowControl/>
              <w:suppressLineNumbers w:val="0"/>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向市、区两级行政机关定向征集意见，根据反馈意见修改形成标准送审稿；组织召开专家终审会议，对送审稿逐条论证完善报批。标准已经北京市市场监管局批准发布，发布名称为《公平竞争审查通用要求》（DB11/T 2522-2026）。</w:t>
            </w:r>
          </w:p>
        </w:tc>
      </w:tr>
      <w:tr w14:paraId="79B30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0" w:hRule="atLeast"/>
        </w:trPr>
        <w:tc>
          <w:tcPr>
            <w:tcW w:w="765" w:type="dxa"/>
            <w:vAlign w:val="center"/>
          </w:tcPr>
          <w:p w14:paraId="034D526F">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4"/>
                <w:szCs w:val="24"/>
                <w:u w:val="none"/>
                <w:lang w:val="en-US" w:eastAsia="zh-CN" w:bidi="ar"/>
              </w:rPr>
            </w:pPr>
            <w:r>
              <w:rPr>
                <w:rFonts w:hint="eastAsia" w:eastAsia="仿宋_GB2312" w:cs="Times New Roman"/>
                <w:i w:val="0"/>
                <w:color w:val="000000"/>
                <w:kern w:val="0"/>
                <w:sz w:val="24"/>
                <w:szCs w:val="24"/>
                <w:u w:val="none"/>
                <w:lang w:val="en-US" w:eastAsia="zh-CN" w:bidi="ar"/>
              </w:rPr>
              <w:t>3</w:t>
            </w:r>
          </w:p>
        </w:tc>
        <w:tc>
          <w:tcPr>
            <w:tcW w:w="1920" w:type="dxa"/>
            <w:vAlign w:val="center"/>
          </w:tcPr>
          <w:p w14:paraId="58CA6BA2">
            <w:pPr>
              <w:keepNext w:val="0"/>
              <w:keepLines w:val="0"/>
              <w:widowControl/>
              <w:suppressLineNumbers w:val="0"/>
              <w:jc w:val="center"/>
              <w:textAlignment w:val="center"/>
              <w:rPr>
                <w:rFonts w:hint="eastAsia" w:ascii="仿宋_GB2312" w:hAnsi="Arial" w:eastAsia="仿宋_GB2312" w:cs="仿宋_GB2312"/>
                <w:i w:val="0"/>
                <w:color w:val="000000"/>
                <w:kern w:val="0"/>
                <w:sz w:val="24"/>
                <w:szCs w:val="24"/>
                <w:u w:val="none"/>
                <w:lang w:val="en-US" w:eastAsia="zh-CN" w:bidi="ar"/>
              </w:rPr>
            </w:pPr>
            <w:r>
              <w:rPr>
                <w:rFonts w:hint="eastAsia" w:ascii="仿宋_GB2312" w:hAnsi="Arial" w:eastAsia="仿宋_GB2312" w:cs="仿宋_GB2312"/>
                <w:i w:val="0"/>
                <w:color w:val="000000"/>
                <w:kern w:val="0"/>
                <w:sz w:val="24"/>
                <w:szCs w:val="24"/>
                <w:u w:val="none"/>
                <w:lang w:val="en-US" w:eastAsia="zh-CN" w:bidi="ar"/>
              </w:rPr>
              <w:t>区政府工作报告重点工作</w:t>
            </w:r>
            <w:r>
              <w:rPr>
                <w:rFonts w:hint="eastAsia" w:ascii="仿宋_GB2312" w:hAnsi="Arial" w:eastAsia="仿宋_GB2312" w:cs="仿宋_GB2312"/>
                <w:i w:val="0"/>
                <w:color w:val="000000"/>
                <w:kern w:val="0"/>
                <w:sz w:val="24"/>
                <w:szCs w:val="24"/>
                <w:u w:val="none"/>
                <w:lang w:val="en-US" w:eastAsia="zh-CN" w:bidi="ar"/>
              </w:rPr>
              <w:br w:type="textWrapping"/>
            </w:r>
            <w:r>
              <w:rPr>
                <w:rFonts w:hint="eastAsia" w:ascii="仿宋_GB2312" w:hAnsi="Arial" w:eastAsia="仿宋_GB2312" w:cs="仿宋_GB2312"/>
                <w:i w:val="0"/>
                <w:color w:val="000000"/>
                <w:kern w:val="0"/>
                <w:sz w:val="24"/>
                <w:szCs w:val="24"/>
                <w:u w:val="none"/>
                <w:lang w:val="en-US" w:eastAsia="zh-CN" w:bidi="ar"/>
              </w:rPr>
              <w:t>第</w:t>
            </w:r>
            <w:r>
              <w:rPr>
                <w:rFonts w:hint="eastAsia" w:eastAsia="仿宋_GB2312" w:cs="Times New Roman"/>
                <w:i w:val="0"/>
                <w:color w:val="000000"/>
                <w:kern w:val="0"/>
                <w:sz w:val="24"/>
                <w:szCs w:val="24"/>
                <w:u w:val="none"/>
                <w:lang w:val="en-US" w:eastAsia="zh-CN" w:bidi="ar"/>
              </w:rPr>
              <w:t>23</w:t>
            </w:r>
            <w:r>
              <w:rPr>
                <w:rFonts w:hint="eastAsia" w:ascii="仿宋_GB2312" w:hAnsi="Arial" w:eastAsia="仿宋_GB2312" w:cs="仿宋_GB2312"/>
                <w:i w:val="0"/>
                <w:color w:val="000000"/>
                <w:kern w:val="0"/>
                <w:sz w:val="24"/>
                <w:szCs w:val="24"/>
                <w:u w:val="none"/>
                <w:lang w:val="en-US" w:eastAsia="zh-CN" w:bidi="ar"/>
              </w:rPr>
              <w:t>项</w:t>
            </w:r>
          </w:p>
        </w:tc>
        <w:tc>
          <w:tcPr>
            <w:tcW w:w="2790" w:type="dxa"/>
            <w:vAlign w:val="center"/>
          </w:tcPr>
          <w:p w14:paraId="64BD514C">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深入推进一体化综合监管，提升政务服务数智化水平，常态化推进“高效办成一件事”改革。</w:t>
            </w:r>
          </w:p>
        </w:tc>
        <w:tc>
          <w:tcPr>
            <w:tcW w:w="2865" w:type="dxa"/>
            <w:shd w:val="clear" w:color="auto" w:fill="auto"/>
            <w:vAlign w:val="center"/>
          </w:tcPr>
          <w:p w14:paraId="596C0734">
            <w:pPr>
              <w:keepNext w:val="0"/>
              <w:keepLines w:val="0"/>
              <w:widowControl/>
              <w:suppressLineNumbers w:val="0"/>
              <w:jc w:val="center"/>
              <w:rPr>
                <w:rFonts w:hint="eastAsia" w:ascii="仿宋_GB2312" w:hAnsi="仿宋_GB2312" w:eastAsia="仿宋_GB2312" w:cs="仿宋_GB2312"/>
                <w:sz w:val="24"/>
                <w:szCs w:val="24"/>
              </w:rPr>
            </w:pPr>
            <w:r>
              <w:rPr>
                <w:rFonts w:hint="eastAsia" w:ascii="仿宋_GB2312" w:hAnsi="仿宋_GB2312" w:eastAsia="仿宋_GB2312" w:cs="仿宋_GB2312"/>
                <w:color w:val="000000"/>
                <w:kern w:val="0"/>
                <w:sz w:val="24"/>
                <w:szCs w:val="24"/>
                <w:lang w:val="en-US" w:eastAsia="zh-CN" w:bidi="ar"/>
              </w:rPr>
              <w:t>区市场监管局</w:t>
            </w:r>
          </w:p>
          <w:p w14:paraId="430014C8">
            <w:pPr>
              <w:keepNext w:val="0"/>
              <w:keepLines w:val="0"/>
              <w:widowControl/>
              <w:suppressLineNumbers w:val="0"/>
              <w:jc w:val="center"/>
              <w:rPr>
                <w:rFonts w:hint="eastAsia" w:ascii="仿宋_GB2312" w:hAnsi="仿宋_GB2312" w:eastAsia="仿宋_GB2312" w:cs="仿宋_GB2312"/>
                <w:sz w:val="24"/>
                <w:szCs w:val="24"/>
              </w:rPr>
            </w:pPr>
            <w:r>
              <w:rPr>
                <w:rFonts w:hint="eastAsia" w:ascii="仿宋_GB2312" w:hAnsi="仿宋_GB2312" w:eastAsia="仿宋_GB2312" w:cs="仿宋_GB2312"/>
                <w:color w:val="000000"/>
                <w:kern w:val="0"/>
                <w:sz w:val="24"/>
                <w:szCs w:val="24"/>
                <w:lang w:val="en-US" w:eastAsia="zh-CN" w:bidi="ar"/>
              </w:rPr>
              <w:t>区政务服务局</w:t>
            </w:r>
          </w:p>
          <w:p w14:paraId="2540C0CF">
            <w:pPr>
              <w:keepNext w:val="0"/>
              <w:keepLines w:val="0"/>
              <w:widowControl/>
              <w:suppressLineNumbers w:val="0"/>
              <w:jc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color w:val="000000"/>
                <w:kern w:val="0"/>
                <w:sz w:val="24"/>
                <w:szCs w:val="24"/>
                <w:lang w:val="en-US" w:eastAsia="zh-CN" w:bidi="ar"/>
              </w:rPr>
              <w:t>区数据局</w:t>
            </w:r>
          </w:p>
        </w:tc>
        <w:tc>
          <w:tcPr>
            <w:tcW w:w="4905" w:type="dxa"/>
            <w:vAlign w:val="center"/>
          </w:tcPr>
          <w:p w14:paraId="433AF0D9">
            <w:pPr>
              <w:keepNext w:val="0"/>
              <w:keepLines w:val="0"/>
              <w:widowControl/>
              <w:suppressLineNumbers w:val="0"/>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1.截止6月12日，全区A岗人员绑定率、启动率力、扫码率均为100%。</w:t>
            </w:r>
          </w:p>
          <w:p w14:paraId="364A6AC9">
            <w:pPr>
              <w:keepNext w:val="0"/>
              <w:keepLines w:val="0"/>
              <w:widowControl/>
              <w:suppressLineNumbers w:val="0"/>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2.截止6月12日，全区非现场检查占比为77.60％。</w:t>
            </w:r>
          </w:p>
          <w:p w14:paraId="128343A8">
            <w:pPr>
              <w:keepNext w:val="0"/>
              <w:keepLines w:val="0"/>
              <w:widowControl/>
              <w:suppressLineNumbers w:val="0"/>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3.聚焦信用良好、检查频次高的企业，新增纳入1226户次“综合查一次”清单企业，于5月初完成系统打标签工作，于5月25日召开全区“综合查一次”模块系统应用培训会，同时修订最新版《朝阳区“综合查一次”工作实施方案》，于6月2日面向全区正式印发。</w:t>
            </w:r>
          </w:p>
        </w:tc>
      </w:tr>
      <w:tr w14:paraId="03984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1" w:hRule="atLeast"/>
        </w:trPr>
        <w:tc>
          <w:tcPr>
            <w:tcW w:w="765" w:type="dxa"/>
            <w:vAlign w:val="center"/>
          </w:tcPr>
          <w:p w14:paraId="74E07830">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4"/>
                <w:szCs w:val="24"/>
                <w:u w:val="none"/>
                <w:lang w:val="en-US" w:eastAsia="zh-CN" w:bidi="ar"/>
              </w:rPr>
            </w:pPr>
            <w:r>
              <w:rPr>
                <w:rFonts w:hint="eastAsia" w:eastAsia="仿宋_GB2312" w:cs="Times New Roman"/>
                <w:i w:val="0"/>
                <w:color w:val="000000"/>
                <w:kern w:val="0"/>
                <w:sz w:val="24"/>
                <w:szCs w:val="24"/>
                <w:u w:val="none"/>
                <w:lang w:val="en-US" w:eastAsia="zh-CN" w:bidi="ar"/>
              </w:rPr>
              <w:t>4</w:t>
            </w:r>
          </w:p>
        </w:tc>
        <w:tc>
          <w:tcPr>
            <w:tcW w:w="1920" w:type="dxa"/>
            <w:vAlign w:val="center"/>
          </w:tcPr>
          <w:p w14:paraId="4EECD717">
            <w:pPr>
              <w:keepNext w:val="0"/>
              <w:keepLines w:val="0"/>
              <w:widowControl/>
              <w:suppressLineNumbers w:val="0"/>
              <w:jc w:val="center"/>
              <w:textAlignment w:val="center"/>
              <w:rPr>
                <w:rFonts w:hint="eastAsia" w:ascii="仿宋_GB2312" w:hAnsi="Arial" w:eastAsia="仿宋_GB2312" w:cs="仿宋_GB2312"/>
                <w:i w:val="0"/>
                <w:color w:val="000000"/>
                <w:kern w:val="0"/>
                <w:sz w:val="24"/>
                <w:szCs w:val="24"/>
                <w:u w:val="none"/>
                <w:lang w:val="en-US" w:eastAsia="zh-CN" w:bidi="ar"/>
              </w:rPr>
            </w:pPr>
            <w:r>
              <w:rPr>
                <w:rFonts w:hint="eastAsia" w:ascii="仿宋_GB2312" w:hAnsi="Arial" w:eastAsia="仿宋_GB2312" w:cs="仿宋_GB2312"/>
                <w:i w:val="0"/>
                <w:color w:val="000000"/>
                <w:kern w:val="0"/>
                <w:sz w:val="24"/>
                <w:szCs w:val="24"/>
                <w:u w:val="none"/>
                <w:lang w:val="en-US" w:eastAsia="zh-CN" w:bidi="ar"/>
              </w:rPr>
              <w:t>区政府工作报告重点工作</w:t>
            </w:r>
            <w:r>
              <w:rPr>
                <w:rFonts w:hint="eastAsia" w:ascii="仿宋_GB2312" w:hAnsi="Arial" w:eastAsia="仿宋_GB2312" w:cs="仿宋_GB2312"/>
                <w:i w:val="0"/>
                <w:color w:val="000000"/>
                <w:kern w:val="0"/>
                <w:sz w:val="24"/>
                <w:szCs w:val="24"/>
                <w:u w:val="none"/>
                <w:lang w:val="en-US" w:eastAsia="zh-CN" w:bidi="ar"/>
              </w:rPr>
              <w:br w:type="textWrapping"/>
            </w:r>
            <w:r>
              <w:rPr>
                <w:rFonts w:hint="eastAsia" w:ascii="仿宋_GB2312" w:hAnsi="Arial" w:eastAsia="仿宋_GB2312" w:cs="仿宋_GB2312"/>
                <w:i w:val="0"/>
                <w:color w:val="000000"/>
                <w:kern w:val="0"/>
                <w:sz w:val="24"/>
                <w:szCs w:val="24"/>
                <w:u w:val="none"/>
                <w:lang w:val="en-US" w:eastAsia="zh-CN" w:bidi="ar"/>
              </w:rPr>
              <w:t>第</w:t>
            </w:r>
            <w:r>
              <w:rPr>
                <w:rFonts w:hint="eastAsia" w:eastAsia="仿宋_GB2312" w:cs="Times New Roman"/>
                <w:i w:val="0"/>
                <w:color w:val="000000"/>
                <w:kern w:val="0"/>
                <w:sz w:val="24"/>
                <w:szCs w:val="24"/>
                <w:u w:val="none"/>
                <w:lang w:val="en-US" w:eastAsia="zh-CN" w:bidi="ar"/>
              </w:rPr>
              <w:t>24</w:t>
            </w:r>
            <w:r>
              <w:rPr>
                <w:rFonts w:hint="eastAsia" w:ascii="仿宋_GB2312" w:hAnsi="Arial" w:eastAsia="仿宋_GB2312" w:cs="仿宋_GB2312"/>
                <w:i w:val="0"/>
                <w:color w:val="000000"/>
                <w:kern w:val="0"/>
                <w:sz w:val="24"/>
                <w:szCs w:val="24"/>
                <w:u w:val="none"/>
                <w:lang w:val="en-US" w:eastAsia="zh-CN" w:bidi="ar"/>
              </w:rPr>
              <w:t>项</w:t>
            </w:r>
          </w:p>
        </w:tc>
        <w:tc>
          <w:tcPr>
            <w:tcW w:w="2790" w:type="dxa"/>
            <w:vAlign w:val="center"/>
          </w:tcPr>
          <w:p w14:paraId="47A2209E">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全域建设国际法商融合示范区，设立综合服务中心、知识产权赋能站、法商数据流通平台，提升司法服务矩阵和巡回审判机制效能，着力为企业提供高质量、全链条、国际化的法商服务。</w:t>
            </w:r>
          </w:p>
        </w:tc>
        <w:tc>
          <w:tcPr>
            <w:tcW w:w="2865" w:type="dxa"/>
            <w:shd w:val="clear" w:color="auto" w:fill="auto"/>
            <w:vAlign w:val="center"/>
          </w:tcPr>
          <w:p w14:paraId="5D1ECF49">
            <w:pPr>
              <w:keepNext w:val="0"/>
              <w:keepLines w:val="0"/>
              <w:widowControl/>
              <w:suppressLineNumbers w:val="0"/>
              <w:jc w:val="center"/>
              <w:rPr>
                <w:rFonts w:hint="eastAsia" w:ascii="仿宋_GB2312" w:hAnsi="仿宋_GB2312" w:eastAsia="仿宋_GB2312" w:cs="仿宋_GB2312"/>
                <w:sz w:val="24"/>
                <w:szCs w:val="24"/>
              </w:rPr>
            </w:pPr>
            <w:r>
              <w:rPr>
                <w:rFonts w:hint="eastAsia" w:ascii="仿宋_GB2312" w:hAnsi="仿宋_GB2312" w:eastAsia="仿宋_GB2312" w:cs="仿宋_GB2312"/>
                <w:color w:val="000000"/>
                <w:kern w:val="0"/>
                <w:sz w:val="24"/>
                <w:szCs w:val="24"/>
                <w:lang w:val="en-US" w:eastAsia="zh-CN" w:bidi="ar"/>
              </w:rPr>
              <w:t>CBD管委会</w:t>
            </w:r>
          </w:p>
          <w:p w14:paraId="4D0A7D17">
            <w:pPr>
              <w:keepNext w:val="0"/>
              <w:keepLines w:val="0"/>
              <w:widowControl/>
              <w:suppressLineNumbers w:val="0"/>
              <w:jc w:val="center"/>
              <w:rPr>
                <w:rFonts w:hint="eastAsia" w:ascii="仿宋_GB2312" w:hAnsi="仿宋_GB2312" w:eastAsia="仿宋_GB2312" w:cs="仿宋_GB2312"/>
                <w:sz w:val="24"/>
                <w:szCs w:val="24"/>
              </w:rPr>
            </w:pPr>
            <w:r>
              <w:rPr>
                <w:rFonts w:hint="eastAsia" w:ascii="仿宋_GB2312" w:hAnsi="仿宋_GB2312" w:eastAsia="仿宋_GB2312" w:cs="仿宋_GB2312"/>
                <w:color w:val="000000"/>
                <w:kern w:val="0"/>
                <w:sz w:val="24"/>
                <w:szCs w:val="24"/>
                <w:lang w:val="en-US" w:eastAsia="zh-CN" w:bidi="ar"/>
              </w:rPr>
              <w:t>区市场监管局</w:t>
            </w:r>
          </w:p>
          <w:p w14:paraId="6A13AC13">
            <w:pPr>
              <w:keepNext w:val="0"/>
              <w:keepLines w:val="0"/>
              <w:widowControl/>
              <w:suppressLineNumbers w:val="0"/>
              <w:jc w:val="center"/>
              <w:rPr>
                <w:rFonts w:hint="eastAsia" w:ascii="仿宋_GB2312" w:hAnsi="仿宋_GB2312" w:eastAsia="仿宋_GB2312" w:cs="仿宋_GB2312"/>
                <w:sz w:val="24"/>
                <w:szCs w:val="24"/>
              </w:rPr>
            </w:pPr>
            <w:r>
              <w:rPr>
                <w:rFonts w:hint="eastAsia" w:ascii="仿宋_GB2312" w:hAnsi="仿宋_GB2312" w:eastAsia="仿宋_GB2312" w:cs="仿宋_GB2312"/>
                <w:color w:val="000000"/>
                <w:kern w:val="0"/>
                <w:sz w:val="24"/>
                <w:szCs w:val="24"/>
                <w:lang w:val="en-US" w:eastAsia="zh-CN" w:bidi="ar"/>
              </w:rPr>
              <w:t>区司法局</w:t>
            </w:r>
          </w:p>
          <w:p w14:paraId="65CC6DAE">
            <w:pPr>
              <w:keepNext w:val="0"/>
              <w:keepLines w:val="0"/>
              <w:widowControl/>
              <w:suppressLineNumbers w:val="0"/>
              <w:jc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color w:val="000000"/>
                <w:kern w:val="0"/>
                <w:sz w:val="24"/>
                <w:szCs w:val="24"/>
                <w:lang w:val="en-US" w:eastAsia="zh-CN" w:bidi="ar"/>
              </w:rPr>
              <w:t>区数据局</w:t>
            </w:r>
          </w:p>
        </w:tc>
        <w:tc>
          <w:tcPr>
            <w:tcW w:w="4905" w:type="dxa"/>
            <w:vAlign w:val="center"/>
          </w:tcPr>
          <w:p w14:paraId="0D42FB98">
            <w:pPr>
              <w:keepNext w:val="0"/>
              <w:keepLines w:val="0"/>
              <w:widowControl/>
              <w:suppressLineNumbers w:val="0"/>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与项目承接方签订合同并支付首款，正式进入建设期。4月23日，赋能站举办首场活动《AI时代的创作与法律风险》专题培训，吸引了SKP、佳能、美敦力等近30位企业代表参会。6月2日，北京国际法商融合示范区知识产权赋能站揭牌仪式暨企业出海知识产权保护策略培训成功举办，吸引近40位企业代表参与。</w:t>
            </w:r>
          </w:p>
        </w:tc>
      </w:tr>
      <w:tr w14:paraId="31696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5" w:hRule="atLeast"/>
        </w:trPr>
        <w:tc>
          <w:tcPr>
            <w:tcW w:w="765" w:type="dxa"/>
            <w:vAlign w:val="center"/>
          </w:tcPr>
          <w:p w14:paraId="05F37337">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4"/>
                <w:szCs w:val="24"/>
                <w:u w:val="none"/>
                <w:lang w:val="en-US" w:eastAsia="zh-CN" w:bidi="ar"/>
              </w:rPr>
            </w:pPr>
            <w:r>
              <w:rPr>
                <w:rFonts w:hint="eastAsia" w:eastAsia="仿宋_GB2312" w:cs="Times New Roman"/>
                <w:i w:val="0"/>
                <w:color w:val="000000"/>
                <w:kern w:val="0"/>
                <w:sz w:val="24"/>
                <w:szCs w:val="24"/>
                <w:u w:val="none"/>
                <w:lang w:val="en-US" w:eastAsia="zh-CN" w:bidi="ar"/>
              </w:rPr>
              <w:t>5</w:t>
            </w:r>
          </w:p>
        </w:tc>
        <w:tc>
          <w:tcPr>
            <w:tcW w:w="1920" w:type="dxa"/>
            <w:vAlign w:val="center"/>
          </w:tcPr>
          <w:p w14:paraId="75A1327B">
            <w:pPr>
              <w:keepNext w:val="0"/>
              <w:keepLines w:val="0"/>
              <w:widowControl/>
              <w:suppressLineNumbers w:val="0"/>
              <w:jc w:val="center"/>
              <w:textAlignment w:val="center"/>
              <w:rPr>
                <w:rFonts w:hint="eastAsia" w:ascii="仿宋_GB2312" w:hAnsi="Arial" w:eastAsia="仿宋_GB2312" w:cs="仿宋_GB2312"/>
                <w:i w:val="0"/>
                <w:color w:val="000000"/>
                <w:kern w:val="0"/>
                <w:sz w:val="24"/>
                <w:szCs w:val="24"/>
                <w:u w:val="none"/>
                <w:lang w:val="en-US" w:eastAsia="zh-CN" w:bidi="ar"/>
              </w:rPr>
            </w:pPr>
            <w:r>
              <w:rPr>
                <w:rFonts w:hint="eastAsia" w:ascii="仿宋_GB2312" w:hAnsi="Arial" w:eastAsia="仿宋_GB2312" w:cs="仿宋_GB2312"/>
                <w:i w:val="0"/>
                <w:color w:val="000000"/>
                <w:kern w:val="0"/>
                <w:sz w:val="24"/>
                <w:szCs w:val="24"/>
                <w:u w:val="none"/>
                <w:lang w:val="en-US" w:eastAsia="zh-CN" w:bidi="ar"/>
              </w:rPr>
              <w:t>区政府工作报告重点工作</w:t>
            </w:r>
            <w:r>
              <w:rPr>
                <w:rFonts w:hint="eastAsia" w:ascii="仿宋_GB2312" w:hAnsi="Arial" w:eastAsia="仿宋_GB2312" w:cs="仿宋_GB2312"/>
                <w:i w:val="0"/>
                <w:color w:val="000000"/>
                <w:kern w:val="0"/>
                <w:sz w:val="24"/>
                <w:szCs w:val="24"/>
                <w:u w:val="none"/>
                <w:lang w:val="en-US" w:eastAsia="zh-CN" w:bidi="ar"/>
              </w:rPr>
              <w:br w:type="textWrapping"/>
            </w:r>
            <w:r>
              <w:rPr>
                <w:rFonts w:hint="eastAsia" w:ascii="仿宋_GB2312" w:hAnsi="Arial" w:eastAsia="仿宋_GB2312" w:cs="仿宋_GB2312"/>
                <w:i w:val="0"/>
                <w:color w:val="000000"/>
                <w:kern w:val="0"/>
                <w:sz w:val="24"/>
                <w:szCs w:val="24"/>
                <w:u w:val="none"/>
                <w:lang w:val="en-US" w:eastAsia="zh-CN" w:bidi="ar"/>
              </w:rPr>
              <w:t>第</w:t>
            </w:r>
            <w:r>
              <w:rPr>
                <w:rFonts w:hint="eastAsia" w:eastAsia="仿宋_GB2312" w:cs="Times New Roman"/>
                <w:i w:val="0"/>
                <w:color w:val="000000"/>
                <w:kern w:val="0"/>
                <w:sz w:val="24"/>
                <w:szCs w:val="24"/>
                <w:u w:val="none"/>
                <w:lang w:val="en-US" w:eastAsia="zh-CN" w:bidi="ar"/>
              </w:rPr>
              <w:t>85</w:t>
            </w:r>
            <w:r>
              <w:rPr>
                <w:rFonts w:hint="eastAsia" w:ascii="仿宋_GB2312" w:hAnsi="Arial" w:eastAsia="仿宋_GB2312" w:cs="仿宋_GB2312"/>
                <w:i w:val="0"/>
                <w:color w:val="000000"/>
                <w:kern w:val="0"/>
                <w:sz w:val="24"/>
                <w:szCs w:val="24"/>
                <w:u w:val="none"/>
                <w:lang w:val="en-US" w:eastAsia="zh-CN" w:bidi="ar"/>
              </w:rPr>
              <w:t>项</w:t>
            </w:r>
          </w:p>
        </w:tc>
        <w:tc>
          <w:tcPr>
            <w:tcW w:w="2790" w:type="dxa"/>
            <w:vAlign w:val="center"/>
          </w:tcPr>
          <w:p w14:paraId="328F4256">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持续推进交通运输、建筑施工、特种设备等领域专项整治。</w:t>
            </w:r>
          </w:p>
        </w:tc>
        <w:tc>
          <w:tcPr>
            <w:tcW w:w="2865" w:type="dxa"/>
            <w:shd w:val="clear" w:color="auto" w:fill="auto"/>
            <w:vAlign w:val="center"/>
          </w:tcPr>
          <w:p w14:paraId="23D8E985">
            <w:pPr>
              <w:keepNext w:val="0"/>
              <w:keepLines w:val="0"/>
              <w:widowControl/>
              <w:suppressLineNumbers w:val="0"/>
              <w:jc w:val="center"/>
              <w:rPr>
                <w:rFonts w:hint="eastAsia" w:ascii="仿宋_GB2312" w:hAnsi="仿宋_GB2312" w:eastAsia="仿宋_GB2312" w:cs="仿宋_GB2312"/>
                <w:sz w:val="24"/>
                <w:szCs w:val="24"/>
              </w:rPr>
            </w:pPr>
            <w:r>
              <w:rPr>
                <w:rFonts w:hint="eastAsia" w:ascii="仿宋_GB2312" w:hAnsi="仿宋_GB2312" w:eastAsia="仿宋_GB2312" w:cs="仿宋_GB2312"/>
                <w:color w:val="000000"/>
                <w:kern w:val="0"/>
                <w:sz w:val="24"/>
                <w:szCs w:val="24"/>
                <w:lang w:val="en-US" w:eastAsia="zh-CN" w:bidi="ar"/>
              </w:rPr>
              <w:t>区应急局</w:t>
            </w:r>
          </w:p>
          <w:p w14:paraId="2D6357F8">
            <w:pPr>
              <w:keepNext w:val="0"/>
              <w:keepLines w:val="0"/>
              <w:widowControl/>
              <w:suppressLineNumbers w:val="0"/>
              <w:jc w:val="center"/>
              <w:rPr>
                <w:rFonts w:hint="eastAsia" w:ascii="仿宋_GB2312" w:hAnsi="仿宋_GB2312" w:eastAsia="仿宋_GB2312" w:cs="仿宋_GB2312"/>
                <w:sz w:val="24"/>
                <w:szCs w:val="24"/>
              </w:rPr>
            </w:pPr>
            <w:r>
              <w:rPr>
                <w:rFonts w:hint="eastAsia" w:ascii="仿宋_GB2312" w:hAnsi="仿宋_GB2312" w:eastAsia="仿宋_GB2312" w:cs="仿宋_GB2312"/>
                <w:color w:val="000000"/>
                <w:kern w:val="0"/>
                <w:sz w:val="24"/>
                <w:szCs w:val="24"/>
                <w:lang w:val="en-US" w:eastAsia="zh-CN" w:bidi="ar"/>
              </w:rPr>
              <w:t>朝阳交通支队</w:t>
            </w:r>
          </w:p>
          <w:p w14:paraId="7C546864">
            <w:pPr>
              <w:keepNext w:val="0"/>
              <w:keepLines w:val="0"/>
              <w:widowControl/>
              <w:suppressLineNumbers w:val="0"/>
              <w:jc w:val="center"/>
              <w:rPr>
                <w:rFonts w:hint="eastAsia" w:ascii="仿宋_GB2312" w:hAnsi="仿宋_GB2312" w:eastAsia="仿宋_GB2312" w:cs="仿宋_GB2312"/>
                <w:sz w:val="24"/>
                <w:szCs w:val="24"/>
              </w:rPr>
            </w:pPr>
            <w:r>
              <w:rPr>
                <w:rFonts w:hint="eastAsia" w:ascii="仿宋_GB2312" w:hAnsi="仿宋_GB2312" w:eastAsia="仿宋_GB2312" w:cs="仿宋_GB2312"/>
                <w:color w:val="000000"/>
                <w:kern w:val="0"/>
                <w:sz w:val="24"/>
                <w:szCs w:val="24"/>
                <w:lang w:val="en-US" w:eastAsia="zh-CN" w:bidi="ar"/>
              </w:rPr>
              <w:t>区住建委</w:t>
            </w:r>
          </w:p>
          <w:p w14:paraId="5A92FE17">
            <w:pPr>
              <w:keepNext w:val="0"/>
              <w:keepLines w:val="0"/>
              <w:widowControl/>
              <w:suppressLineNumbers w:val="0"/>
              <w:jc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color w:val="000000"/>
                <w:kern w:val="0"/>
                <w:sz w:val="24"/>
                <w:szCs w:val="24"/>
                <w:lang w:val="en-US" w:eastAsia="zh-CN" w:bidi="ar"/>
              </w:rPr>
              <w:t>区市场监管局</w:t>
            </w:r>
          </w:p>
        </w:tc>
        <w:tc>
          <w:tcPr>
            <w:tcW w:w="4905" w:type="dxa"/>
            <w:vAlign w:val="center"/>
          </w:tcPr>
          <w:p w14:paraId="5913896B">
            <w:pPr>
              <w:keepNext w:val="0"/>
              <w:keepLines w:val="0"/>
              <w:widowControl/>
              <w:suppressLineNumbers w:val="0"/>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围绕特种设备重大隐患开展专项治理，共发现问题隐患36项，目前已整改29项，剩余7项已区级挂账，目前正在有序推进整改。</w:t>
            </w:r>
          </w:p>
        </w:tc>
      </w:tr>
      <w:tr w14:paraId="5D74D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5" w:hRule="atLeast"/>
        </w:trPr>
        <w:tc>
          <w:tcPr>
            <w:tcW w:w="765" w:type="dxa"/>
            <w:vAlign w:val="center"/>
          </w:tcPr>
          <w:p w14:paraId="019C71E2">
            <w:pPr>
              <w:keepNext w:val="0"/>
              <w:keepLines w:val="0"/>
              <w:widowControl/>
              <w:suppressLineNumbers w:val="0"/>
              <w:jc w:val="center"/>
              <w:textAlignment w:val="center"/>
              <w:rPr>
                <w:rFonts w:hint="default" w:eastAsia="仿宋_GB2312" w:cs="Times New Roman"/>
                <w:i w:val="0"/>
                <w:color w:val="000000"/>
                <w:kern w:val="0"/>
                <w:sz w:val="24"/>
                <w:szCs w:val="24"/>
                <w:u w:val="none"/>
                <w:lang w:val="en-US" w:eastAsia="zh-CN" w:bidi="ar"/>
              </w:rPr>
            </w:pPr>
            <w:r>
              <w:rPr>
                <w:rFonts w:hint="eastAsia" w:eastAsia="仿宋_GB2312" w:cs="Times New Roman"/>
                <w:i w:val="0"/>
                <w:color w:val="000000"/>
                <w:kern w:val="0"/>
                <w:sz w:val="24"/>
                <w:szCs w:val="24"/>
                <w:u w:val="none"/>
                <w:lang w:val="en-US" w:eastAsia="zh-CN" w:bidi="ar"/>
              </w:rPr>
              <w:t>6</w:t>
            </w:r>
          </w:p>
        </w:tc>
        <w:tc>
          <w:tcPr>
            <w:tcW w:w="1920" w:type="dxa"/>
            <w:vAlign w:val="center"/>
          </w:tcPr>
          <w:p w14:paraId="2DA1FCD2">
            <w:pPr>
              <w:keepNext w:val="0"/>
              <w:keepLines w:val="0"/>
              <w:widowControl/>
              <w:suppressLineNumbers w:val="0"/>
              <w:jc w:val="center"/>
              <w:textAlignment w:val="center"/>
              <w:rPr>
                <w:rFonts w:hint="eastAsia" w:ascii="仿宋_GB2312" w:hAnsi="Arial" w:eastAsia="仿宋_GB2312" w:cs="仿宋_GB2312"/>
                <w:i w:val="0"/>
                <w:color w:val="000000"/>
                <w:kern w:val="0"/>
                <w:sz w:val="24"/>
                <w:szCs w:val="24"/>
                <w:u w:val="none"/>
                <w:lang w:val="en-US" w:eastAsia="zh-CN" w:bidi="ar"/>
              </w:rPr>
            </w:pPr>
            <w:r>
              <w:rPr>
                <w:rFonts w:hint="eastAsia" w:ascii="仿宋_GB2312" w:hAnsi="Arial" w:eastAsia="仿宋_GB2312" w:cs="仿宋_GB2312"/>
                <w:i w:val="0"/>
                <w:color w:val="000000"/>
                <w:kern w:val="0"/>
                <w:sz w:val="24"/>
                <w:szCs w:val="24"/>
                <w:u w:val="none"/>
                <w:lang w:val="en-US" w:eastAsia="zh-CN" w:bidi="ar"/>
              </w:rPr>
              <w:t>区政府工作报告重点工作</w:t>
            </w:r>
            <w:r>
              <w:rPr>
                <w:rFonts w:hint="eastAsia" w:ascii="仿宋_GB2312" w:hAnsi="Arial" w:eastAsia="仿宋_GB2312" w:cs="仿宋_GB2312"/>
                <w:i w:val="0"/>
                <w:color w:val="000000"/>
                <w:kern w:val="0"/>
                <w:sz w:val="24"/>
                <w:szCs w:val="24"/>
                <w:u w:val="none"/>
                <w:lang w:val="en-US" w:eastAsia="zh-CN" w:bidi="ar"/>
              </w:rPr>
              <w:br w:type="textWrapping"/>
            </w:r>
            <w:r>
              <w:rPr>
                <w:rFonts w:hint="eastAsia" w:ascii="仿宋_GB2312" w:hAnsi="Arial" w:eastAsia="仿宋_GB2312" w:cs="仿宋_GB2312"/>
                <w:i w:val="0"/>
                <w:color w:val="000000"/>
                <w:kern w:val="0"/>
                <w:sz w:val="24"/>
                <w:szCs w:val="24"/>
                <w:u w:val="none"/>
                <w:lang w:val="en-US" w:eastAsia="zh-CN" w:bidi="ar"/>
              </w:rPr>
              <w:t>第</w:t>
            </w:r>
            <w:r>
              <w:rPr>
                <w:rFonts w:hint="eastAsia" w:eastAsia="仿宋_GB2312" w:cs="Times New Roman"/>
                <w:i w:val="0"/>
                <w:color w:val="000000"/>
                <w:kern w:val="0"/>
                <w:sz w:val="24"/>
                <w:szCs w:val="24"/>
                <w:u w:val="none"/>
                <w:lang w:val="en-US" w:eastAsia="zh-CN" w:bidi="ar"/>
              </w:rPr>
              <w:t>94</w:t>
            </w:r>
            <w:r>
              <w:rPr>
                <w:rFonts w:hint="eastAsia" w:ascii="仿宋_GB2312" w:hAnsi="Arial" w:eastAsia="仿宋_GB2312" w:cs="仿宋_GB2312"/>
                <w:i w:val="0"/>
                <w:color w:val="000000"/>
                <w:kern w:val="0"/>
                <w:sz w:val="24"/>
                <w:szCs w:val="24"/>
                <w:u w:val="none"/>
                <w:lang w:val="en-US" w:eastAsia="zh-CN" w:bidi="ar"/>
              </w:rPr>
              <w:t>项</w:t>
            </w:r>
          </w:p>
        </w:tc>
        <w:tc>
          <w:tcPr>
            <w:tcW w:w="2790" w:type="dxa"/>
            <w:vAlign w:val="center"/>
          </w:tcPr>
          <w:p w14:paraId="63658363">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协同推进防非打非和反诈宣传，强化单用途预付卡治理，持续做好重点集团企业和重点领域风险防范化解。</w:t>
            </w:r>
          </w:p>
        </w:tc>
        <w:tc>
          <w:tcPr>
            <w:tcW w:w="2865" w:type="dxa"/>
            <w:shd w:val="clear" w:color="auto" w:fill="auto"/>
            <w:vAlign w:val="center"/>
          </w:tcPr>
          <w:p w14:paraId="69238DF5">
            <w:pPr>
              <w:keepNext w:val="0"/>
              <w:keepLines w:val="0"/>
              <w:widowControl/>
              <w:suppressLineNumbers w:val="0"/>
              <w:jc w:val="center"/>
              <w:rPr>
                <w:rFonts w:hint="eastAsia" w:ascii="仿宋_GB2312" w:hAnsi="仿宋_GB2312" w:eastAsia="仿宋_GB2312" w:cs="仿宋_GB2312"/>
                <w:sz w:val="24"/>
                <w:szCs w:val="24"/>
              </w:rPr>
            </w:pPr>
            <w:r>
              <w:rPr>
                <w:rFonts w:hint="eastAsia" w:ascii="仿宋_GB2312" w:hAnsi="仿宋_GB2312" w:eastAsia="仿宋_GB2312" w:cs="仿宋_GB2312"/>
                <w:color w:val="000000"/>
                <w:kern w:val="0"/>
                <w:sz w:val="24"/>
                <w:szCs w:val="24"/>
                <w:lang w:val="en-US" w:eastAsia="zh-CN" w:bidi="ar"/>
              </w:rPr>
              <w:t>区发改委</w:t>
            </w:r>
          </w:p>
          <w:p w14:paraId="06F90FAD">
            <w:pPr>
              <w:keepNext w:val="0"/>
              <w:keepLines w:val="0"/>
              <w:widowControl/>
              <w:suppressLineNumbers w:val="0"/>
              <w:jc w:val="center"/>
              <w:rPr>
                <w:rFonts w:hint="eastAsia" w:ascii="仿宋_GB2312" w:hAnsi="仿宋_GB2312" w:eastAsia="仿宋_GB2312" w:cs="仿宋_GB2312"/>
                <w:sz w:val="24"/>
                <w:szCs w:val="24"/>
              </w:rPr>
            </w:pPr>
            <w:r>
              <w:rPr>
                <w:rFonts w:hint="eastAsia" w:ascii="仿宋_GB2312" w:hAnsi="仿宋_GB2312" w:eastAsia="仿宋_GB2312" w:cs="仿宋_GB2312"/>
                <w:color w:val="000000"/>
                <w:kern w:val="0"/>
                <w:sz w:val="24"/>
                <w:szCs w:val="24"/>
                <w:lang w:val="en-US" w:eastAsia="zh-CN" w:bidi="ar"/>
              </w:rPr>
              <w:t>区市场监管局</w:t>
            </w:r>
          </w:p>
          <w:p w14:paraId="1E1A79E3">
            <w:pPr>
              <w:keepNext w:val="0"/>
              <w:keepLines w:val="0"/>
              <w:widowControl/>
              <w:suppressLineNumbers w:val="0"/>
              <w:jc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color w:val="000000"/>
                <w:kern w:val="0"/>
                <w:sz w:val="24"/>
                <w:szCs w:val="24"/>
                <w:lang w:val="en-US" w:eastAsia="zh-CN" w:bidi="ar"/>
              </w:rPr>
              <w:t>公安朝阳分局</w:t>
            </w:r>
          </w:p>
        </w:tc>
        <w:tc>
          <w:tcPr>
            <w:tcW w:w="4905" w:type="dxa"/>
            <w:vAlign w:val="center"/>
          </w:tcPr>
          <w:p w14:paraId="2F2DA3FF">
            <w:pPr>
              <w:keepNext w:val="0"/>
              <w:keepLines w:val="0"/>
              <w:widowControl/>
              <w:suppressLineNumbers w:val="0"/>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1.结合北京市预付卡领域管理工作要求，对各行业部门开展每月专题通报、调度工作，已要求相关部门认领问题企业台账，督促开展核查与整改工作。2.已完成同支付宝、中信信托、工商银行就预付卡信托试点的推广方案，并按计划在朝阳大悦城、蓝色港湾两个商圈开展试点工作，截至目前已就试点工作，组织行业部门及商圈商户召开专题培训10场，引导90余家主体入驻朝阳·安心付平台。3.试点工作正在按计划推进，并以《什么是朝阳·安心付？》科普推文、商圈常态化轮播宣传视频和线下专题推广活动等多种方式开展推动线上线下联动宣传。</w:t>
            </w:r>
          </w:p>
        </w:tc>
      </w:tr>
      <w:tr w14:paraId="5FB1D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5" w:hRule="atLeast"/>
        </w:trPr>
        <w:tc>
          <w:tcPr>
            <w:tcW w:w="765" w:type="dxa"/>
            <w:vAlign w:val="center"/>
          </w:tcPr>
          <w:p w14:paraId="0CF55FD6">
            <w:pPr>
              <w:keepNext w:val="0"/>
              <w:keepLines w:val="0"/>
              <w:widowControl/>
              <w:suppressLineNumbers w:val="0"/>
              <w:jc w:val="center"/>
              <w:textAlignment w:val="center"/>
              <w:rPr>
                <w:rFonts w:hint="default" w:eastAsia="仿宋_GB2312" w:cs="Times New Roman"/>
                <w:i w:val="0"/>
                <w:color w:val="000000"/>
                <w:kern w:val="0"/>
                <w:sz w:val="24"/>
                <w:szCs w:val="24"/>
                <w:u w:val="none"/>
                <w:lang w:val="en-US" w:eastAsia="zh-CN" w:bidi="ar"/>
              </w:rPr>
            </w:pPr>
            <w:r>
              <w:rPr>
                <w:rFonts w:hint="eastAsia" w:eastAsia="仿宋_GB2312" w:cs="Times New Roman"/>
                <w:i w:val="0"/>
                <w:color w:val="000000"/>
                <w:kern w:val="0"/>
                <w:sz w:val="24"/>
                <w:szCs w:val="24"/>
                <w:u w:val="none"/>
                <w:lang w:val="en-US" w:eastAsia="zh-CN" w:bidi="ar"/>
              </w:rPr>
              <w:t>7</w:t>
            </w:r>
          </w:p>
        </w:tc>
        <w:tc>
          <w:tcPr>
            <w:tcW w:w="1920" w:type="dxa"/>
            <w:vAlign w:val="center"/>
          </w:tcPr>
          <w:p w14:paraId="34D23F02">
            <w:pPr>
              <w:keepNext w:val="0"/>
              <w:keepLines w:val="0"/>
              <w:widowControl/>
              <w:suppressLineNumbers w:val="0"/>
              <w:jc w:val="center"/>
              <w:textAlignment w:val="center"/>
              <w:rPr>
                <w:rFonts w:hint="eastAsia" w:ascii="仿宋_GB2312" w:hAnsi="Arial" w:eastAsia="仿宋_GB2312" w:cs="仿宋_GB2312"/>
                <w:i w:val="0"/>
                <w:color w:val="000000"/>
                <w:kern w:val="0"/>
                <w:sz w:val="24"/>
                <w:szCs w:val="24"/>
                <w:u w:val="none"/>
                <w:lang w:val="en-US" w:eastAsia="zh-CN" w:bidi="ar"/>
              </w:rPr>
            </w:pPr>
            <w:r>
              <w:rPr>
                <w:rFonts w:hint="eastAsia" w:ascii="仿宋_GB2312" w:hAnsi="Arial" w:eastAsia="仿宋_GB2312" w:cs="仿宋_GB2312"/>
                <w:i w:val="0"/>
                <w:color w:val="000000"/>
                <w:kern w:val="0"/>
                <w:sz w:val="24"/>
                <w:szCs w:val="24"/>
                <w:u w:val="none"/>
                <w:lang w:val="en-US" w:eastAsia="zh-CN" w:bidi="ar"/>
              </w:rPr>
              <w:t>区政府工作报告重点工作</w:t>
            </w:r>
            <w:r>
              <w:rPr>
                <w:rFonts w:hint="eastAsia" w:ascii="仿宋_GB2312" w:hAnsi="Arial" w:eastAsia="仿宋_GB2312" w:cs="仿宋_GB2312"/>
                <w:i w:val="0"/>
                <w:color w:val="000000"/>
                <w:kern w:val="0"/>
                <w:sz w:val="24"/>
                <w:szCs w:val="24"/>
                <w:u w:val="none"/>
                <w:lang w:val="en-US" w:eastAsia="zh-CN" w:bidi="ar"/>
              </w:rPr>
              <w:br w:type="textWrapping"/>
            </w:r>
            <w:r>
              <w:rPr>
                <w:rFonts w:hint="eastAsia" w:ascii="仿宋_GB2312" w:hAnsi="Arial" w:eastAsia="仿宋_GB2312" w:cs="仿宋_GB2312"/>
                <w:i w:val="0"/>
                <w:color w:val="000000"/>
                <w:kern w:val="0"/>
                <w:sz w:val="24"/>
                <w:szCs w:val="24"/>
                <w:u w:val="none"/>
                <w:lang w:val="en-US" w:eastAsia="zh-CN" w:bidi="ar"/>
              </w:rPr>
              <w:t>第</w:t>
            </w:r>
            <w:r>
              <w:rPr>
                <w:rFonts w:hint="eastAsia" w:eastAsia="仿宋_GB2312" w:cs="Times New Roman"/>
                <w:i w:val="0"/>
                <w:color w:val="000000"/>
                <w:kern w:val="0"/>
                <w:sz w:val="24"/>
                <w:szCs w:val="24"/>
                <w:u w:val="none"/>
                <w:lang w:val="en-US" w:eastAsia="zh-CN" w:bidi="ar"/>
              </w:rPr>
              <w:t>95</w:t>
            </w:r>
            <w:r>
              <w:rPr>
                <w:rFonts w:hint="eastAsia" w:ascii="仿宋_GB2312" w:hAnsi="Arial" w:eastAsia="仿宋_GB2312" w:cs="仿宋_GB2312"/>
                <w:i w:val="0"/>
                <w:color w:val="000000"/>
                <w:kern w:val="0"/>
                <w:sz w:val="24"/>
                <w:szCs w:val="24"/>
                <w:u w:val="none"/>
                <w:lang w:val="en-US" w:eastAsia="zh-CN" w:bidi="ar"/>
              </w:rPr>
              <w:t>项</w:t>
            </w:r>
          </w:p>
        </w:tc>
        <w:tc>
          <w:tcPr>
            <w:tcW w:w="2790" w:type="dxa"/>
            <w:vAlign w:val="center"/>
          </w:tcPr>
          <w:p w14:paraId="5D910368">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深化食品全链条安全监管。</w:t>
            </w:r>
          </w:p>
        </w:tc>
        <w:tc>
          <w:tcPr>
            <w:tcW w:w="2865" w:type="dxa"/>
            <w:shd w:val="clear" w:color="auto" w:fill="auto"/>
            <w:vAlign w:val="center"/>
          </w:tcPr>
          <w:p w14:paraId="49BAC575">
            <w:pPr>
              <w:keepNext w:val="0"/>
              <w:keepLines w:val="0"/>
              <w:widowControl/>
              <w:suppressLineNumbers w:val="0"/>
              <w:jc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color w:val="000000"/>
                <w:kern w:val="0"/>
                <w:sz w:val="24"/>
                <w:szCs w:val="24"/>
                <w:lang w:val="en-US" w:eastAsia="zh-CN" w:bidi="ar"/>
              </w:rPr>
              <w:t>区市场监管局</w:t>
            </w:r>
          </w:p>
        </w:tc>
        <w:tc>
          <w:tcPr>
            <w:tcW w:w="4905" w:type="dxa"/>
            <w:vAlign w:val="center"/>
          </w:tcPr>
          <w:p w14:paraId="7C10AEBC">
            <w:pPr>
              <w:keepNext w:val="0"/>
              <w:keepLines w:val="0"/>
              <w:widowControl/>
              <w:suppressLineNumbers w:val="0"/>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一是检查肉类食品生产经营主体2871户次，出动执法人员4290人，发现肉类问题42件，发布科普提示330条、正面宣传4次；二是开展食品脱冷销售专项治理，发布夏季食品安全风险提示，督促经营主体自查自纠；三是完成春季校园食品安全监管，配合教委开展联合督导；四是制定美食城全覆盖督导方案，压实食品安全主体责任；五是非现场检查特殊食品经营企业97家，发现问题7家已责令整改，并开展科普宣传进养老机构、进社区活动；六是指导批发市场签约直采基地20家，推动产销对接；七是将生鲜牛羊肉、鸡蛋纳入追溯系统，全区30家市场652家销售者已接入；八是完成区级日常抽检3110件、食用农产品抽检2510</w:t>
            </w:r>
            <w:bookmarkStart w:id="0" w:name="_GoBack"/>
            <w:bookmarkEnd w:id="0"/>
            <w:r>
              <w:rPr>
                <w:rFonts w:hint="eastAsia" w:ascii="仿宋_GB2312" w:hAnsi="仿宋_GB2312" w:eastAsia="仿宋_GB2312" w:cs="仿宋_GB2312"/>
                <w:i w:val="0"/>
                <w:iCs w:val="0"/>
                <w:color w:val="000000"/>
                <w:kern w:val="0"/>
                <w:sz w:val="24"/>
                <w:szCs w:val="24"/>
                <w:u w:val="none"/>
                <w:lang w:val="en-US" w:eastAsia="zh-CN" w:bidi="ar"/>
              </w:rPr>
              <w:t>件。</w:t>
            </w:r>
          </w:p>
        </w:tc>
      </w:tr>
    </w:tbl>
    <w:p w14:paraId="5564989D"/>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10601030101010101"/>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6C0F"/>
    <w:rsid w:val="00563769"/>
    <w:rsid w:val="005E670E"/>
    <w:rsid w:val="00631547"/>
    <w:rsid w:val="00946C0F"/>
    <w:rsid w:val="00AF40A5"/>
    <w:rsid w:val="05F83F57"/>
    <w:rsid w:val="14B0031B"/>
    <w:rsid w:val="164E3537"/>
    <w:rsid w:val="23E56FA0"/>
    <w:rsid w:val="2A15789A"/>
    <w:rsid w:val="2CB36286"/>
    <w:rsid w:val="3F60143E"/>
    <w:rsid w:val="443E3E2B"/>
    <w:rsid w:val="48D36674"/>
    <w:rsid w:val="5E340CAE"/>
    <w:rsid w:val="71630A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lock Text"/>
    <w:basedOn w:val="1"/>
    <w:next w:val="1"/>
    <w:qFormat/>
    <w:uiPriority w:val="0"/>
    <w:rPr>
      <w:rFonts w:ascii="Times New Roman" w:hAnsi="Times New Roman"/>
    </w:rPr>
  </w:style>
  <w:style w:type="paragraph" w:styleId="3">
    <w:name w:val="footer"/>
    <w:basedOn w:val="1"/>
    <w:link w:val="9"/>
    <w:semiHidden/>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4">
    <w:name w:val="header"/>
    <w:basedOn w:val="1"/>
    <w:link w:val="8"/>
    <w:semiHidden/>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table" w:styleId="6">
    <w:name w:val="Table Grid"/>
    <w:basedOn w:val="5"/>
    <w:autoRedefine/>
    <w:qFormat/>
    <w:uiPriority w:val="5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8">
    <w:name w:val="页眉 Char"/>
    <w:basedOn w:val="7"/>
    <w:link w:val="4"/>
    <w:semiHidden/>
    <w:qFormat/>
    <w:uiPriority w:val="99"/>
    <w:rPr>
      <w:sz w:val="18"/>
      <w:szCs w:val="18"/>
    </w:rPr>
  </w:style>
  <w:style w:type="character" w:customStyle="1" w:styleId="9">
    <w:name w:val="页脚 Char"/>
    <w:basedOn w:val="7"/>
    <w:link w:val="3"/>
    <w:semiHidden/>
    <w:qFormat/>
    <w:uiPriority w:val="99"/>
    <w:rPr>
      <w:sz w:val="18"/>
      <w:szCs w:val="18"/>
    </w:rPr>
  </w:style>
  <w:style w:type="character" w:customStyle="1" w:styleId="10">
    <w:name w:val="font01"/>
    <w:basedOn w:val="7"/>
    <w:qFormat/>
    <w:uiPriority w:val="0"/>
    <w:rPr>
      <w:rFonts w:ascii="Arial" w:hAnsi="Arial" w:cs="Arial"/>
      <w:color w:val="000000"/>
      <w:sz w:val="20"/>
      <w:szCs w:val="20"/>
      <w:u w:val="none"/>
    </w:rPr>
  </w:style>
  <w:style w:type="character" w:customStyle="1" w:styleId="11">
    <w:name w:val="font11"/>
    <w:basedOn w:val="7"/>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HP Inc.</Company>
  <Pages>4</Pages>
  <Words>1723</Words>
  <Characters>1804</Characters>
  <Lines>9</Lines>
  <Paragraphs>2</Paragraphs>
  <TotalTime>11</TotalTime>
  <ScaleCrop>false</ScaleCrop>
  <LinksUpToDate>false</LinksUpToDate>
  <CharactersWithSpaces>1805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2024-04-10T05:03:00Z</dcterms:created>
  <dc:creator>8613121286755</dc:creator>
  <cp:lastModifiedBy>hongnongyuan</cp:lastModifiedBy>
  <dcterms:modified xsi:type="dcterms:W3CDTF">2026-07-22T07:21:30Z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eyJoZGlkIjoiNGNmN2EzZDgyNWQ4YTgwY2E0MzM2OWU5NDE1ZTM5ZjgiLCJ1c2VySWQiOiIxOTA4NjE2NzYifQ==</vt:lpwstr>
  </property>
  <property fmtid="{D5CDD505-2E9C-101B-9397-08002B2CF9AE}" pid="3" name="KSOProductBuildVer">
    <vt:lpwstr>2052-12.1.0.26895</vt:lpwstr>
  </property>
  <property fmtid="{D5CDD505-2E9C-101B-9397-08002B2CF9AE}" pid="4" name="ICV">
    <vt:lpwstr>6386BCD5B8E74AF8AC4E5F3269A30E40_13</vt:lpwstr>
  </property>
</Properties>
</file>