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2020-23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北京市朝阳区</w:t>
      </w:r>
      <w:r>
        <w:rPr>
          <w:rFonts w:hint="eastAsia" w:ascii="宋体" w:hAnsi="宋体"/>
          <w:sz w:val="32"/>
          <w:szCs w:val="32"/>
        </w:rPr>
        <w:t>迪阳大厦一层配套餐厅</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4</w:t>
      </w:r>
      <w:r>
        <w:rPr>
          <w:rFonts w:ascii="宋体" w:hAnsi="宋体"/>
          <w:sz w:val="32"/>
          <w:szCs w:val="32"/>
        </w:rPr>
        <w:t>月</w:t>
      </w:r>
      <w:r>
        <w:rPr>
          <w:rFonts w:hint="eastAsia" w:ascii="宋体" w:hAnsi="宋体"/>
          <w:sz w:val="32"/>
          <w:szCs w:val="32"/>
        </w:rPr>
        <w:t>1</w:t>
      </w:r>
      <w:r>
        <w:rPr>
          <w:rFonts w:hint="eastAsia" w:ascii="宋体" w:hAnsi="宋体"/>
          <w:sz w:val="32"/>
          <w:szCs w:val="32"/>
          <w:lang w:val="en-US" w:eastAsia="zh-CN"/>
        </w:rPr>
        <w:t>5</w:t>
      </w:r>
      <w:bookmarkStart w:id="4" w:name="_GoBack"/>
      <w:bookmarkEnd w:id="4"/>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rPr>
          <w:trHeight w:val="11082"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4" w:space="0"/>
              <w:left w:val="single" w:color="auto" w:sz="4"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4" w:space="0"/>
              <w:right w:val="single" w:color="auto" w:sz="4"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4"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4"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     出租</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440.78㎡</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配套餐厅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原承租方装修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4"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4"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r>
              <w:rPr>
                <w:rFonts w:hint="eastAsia" w:ascii="宋体" w:hAnsi="宋体"/>
                <w:sz w:val="24"/>
                <w:szCs w:val="24"/>
                <w:u w:val="single"/>
              </w:rPr>
              <w:t>上级单位经理办公会决议</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4"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4"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4"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4"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4"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4"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4"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60000元/年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4"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4"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75" w:type="dxa"/>
            <w:tcBorders>
              <w:left w:val="single" w:color="auto" w:sz="4" w:space="0"/>
              <w:bottom w:val="single" w:color="auto" w:sz="4"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4" w:space="0"/>
              <w:right w:val="single" w:color="auto" w:sz="4"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该房屋原租赁合同将于2020年5月31日到期，</w:t>
            </w:r>
            <w:r>
              <w:rPr>
                <w:rFonts w:hint="eastAsia" w:ascii="宋体" w:hAnsi="宋体"/>
                <w:sz w:val="24"/>
                <w:szCs w:val="24"/>
                <w:lang w:eastAsia="zh-CN"/>
              </w:rPr>
              <w:t>同等条件下</w:t>
            </w:r>
            <w:r>
              <w:rPr>
                <w:rFonts w:hint="eastAsia" w:ascii="宋体" w:hAnsi="宋体"/>
                <w:sz w:val="24"/>
                <w:szCs w:val="24"/>
              </w:rPr>
              <w:t>原租赁方享有优先承租权</w:t>
            </w:r>
            <w:r>
              <w:rPr>
                <w:rFonts w:hint="eastAsia" w:ascii="宋体" w:hAnsi="宋体"/>
                <w:sz w:val="24"/>
                <w:szCs w:val="24"/>
                <w:lang w:eastAsia="zh-CN"/>
              </w:rPr>
              <w:t>。</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5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9" w:hRule="exact"/>
          <w:jc w:val="center"/>
        </w:trPr>
        <w:tc>
          <w:tcPr>
            <w:tcW w:w="1360" w:type="dxa"/>
            <w:vMerge w:val="restart"/>
            <w:tcBorders>
              <w:top w:val="single" w:color="auto" w:sz="4" w:space="0"/>
              <w:left w:val="single" w:color="auto" w:sz="4" w:space="0"/>
            </w:tcBorders>
            <w:vAlign w:val="center"/>
          </w:tcPr>
          <w:p>
            <w:pPr>
              <w:jc w:val="center"/>
              <w:rPr>
                <w:rFonts w:ascii="宋体" w:hAnsi="宋体"/>
                <w:b/>
                <w:sz w:val="24"/>
                <w:szCs w:val="24"/>
              </w:rPr>
            </w:pPr>
            <w:r>
              <w:rPr>
                <w:rFonts w:hint="eastAsia" w:ascii="宋体" w:hAnsi="宋体"/>
                <w:b/>
                <w:sz w:val="24"/>
                <w:szCs w:val="24"/>
              </w:rPr>
              <w:t>出租条件</w:t>
            </w:r>
          </w:p>
        </w:tc>
        <w:tc>
          <w:tcPr>
            <w:tcW w:w="1797"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租金挂牌价</w:t>
            </w:r>
          </w:p>
        </w:tc>
        <w:tc>
          <w:tcPr>
            <w:tcW w:w="6352" w:type="dxa"/>
            <w:tcBorders>
              <w:top w:val="single" w:color="auto" w:sz="4" w:space="0"/>
              <w:right w:val="single" w:color="auto" w:sz="4" w:space="0"/>
            </w:tcBorders>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60000元/年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tcBorders>
              <w:right w:val="single" w:color="auto" w:sz="4" w:space="0"/>
            </w:tcBorders>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tcBorders>
              <w:right w:val="single" w:color="auto" w:sz="4" w:space="0"/>
            </w:tcBorders>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440.78平方米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tcBorders>
              <w:right w:val="single" w:color="auto" w:sz="4" w:space="0"/>
            </w:tcBorders>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tcBorders>
              <w:right w:val="single" w:color="auto" w:sz="4" w:space="0"/>
            </w:tcBorders>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tcBorders>
              <w:right w:val="single" w:color="auto" w:sz="4" w:space="0"/>
            </w:tcBorders>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签订合同后，五个工作日内将租金支付于甲方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tcBorders>
              <w:right w:val="single" w:color="auto" w:sz="4" w:space="0"/>
            </w:tcBorders>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tcBorders>
              <w:right w:val="single" w:color="auto" w:sz="4" w:space="0"/>
            </w:tcBorders>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押一付一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tcBorders>
              <w:right w:val="single" w:color="auto" w:sz="4" w:space="0"/>
            </w:tcBorders>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5"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tcBorders>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作为大厦配套餐厅使用，向大厦客户提供工作餐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25" w:hRule="exact"/>
          <w:jc w:val="center"/>
        </w:trPr>
        <w:tc>
          <w:tcPr>
            <w:tcW w:w="1360" w:type="dxa"/>
            <w:vMerge w:val="continue"/>
            <w:tcBorders>
              <w:left w:val="single" w:color="auto" w:sz="4" w:space="0"/>
            </w:tcBorders>
          </w:tcPr>
          <w:p>
            <w:pPr>
              <w:rPr>
                <w:rFonts w:ascii="宋体" w:hAnsi="宋体"/>
                <w:sz w:val="24"/>
                <w:szCs w:val="24"/>
              </w:rPr>
            </w:pPr>
          </w:p>
        </w:tc>
        <w:tc>
          <w:tcPr>
            <w:tcW w:w="1797" w:type="dxa"/>
            <w:vAlign w:val="center"/>
          </w:tcPr>
          <w:p>
            <w:pPr>
              <w:pStyle w:val="13"/>
              <w:spacing w:before="0" w:after="0"/>
              <w:jc w:val="cente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是否允许装修改造</w:t>
            </w:r>
          </w:p>
        </w:tc>
        <w:tc>
          <w:tcPr>
            <w:tcW w:w="6352" w:type="dxa"/>
            <w:tcBorders>
              <w:right w:val="single" w:color="auto" w:sz="4" w:space="0"/>
            </w:tcBorders>
            <w:vAlign w:val="center"/>
          </w:tcPr>
          <w:p>
            <w:pPr>
              <w:jc w:val="left"/>
              <w:rPr>
                <w:rFonts w:asciiTheme="minorEastAsia" w:hAnsiTheme="minorEastAsia" w:eastAsiaTheme="minorEastAsia"/>
                <w:color w:val="000000" w:themeColor="text1"/>
                <w:sz w:val="24"/>
                <w:szCs w:val="24"/>
              </w:rPr>
            </w:pPr>
            <w:r>
              <w:rPr>
                <w:rFonts w:asciiTheme="minorEastAsia" w:hAnsiTheme="minorEastAsia" w:eastAsiaTheme="minorEastAsia"/>
                <w:sz w:val="24"/>
                <w:szCs w:val="24"/>
              </w:rPr>
              <w:t>允许装修，承租方在对房屋装修改造前，须向出租方委托的物业公司提交书面施工改造方案，并按物业公司要求提交相关施工单位手续，承租方的装修改造方案及相关图纸经出租方委托的物业公司审核并同意后方可施工。</w:t>
            </w:r>
            <w:r>
              <w:rPr>
                <w:rFonts w:hint="eastAsia" w:asciiTheme="minorEastAsia" w:hAnsiTheme="minorEastAsia" w:eastAsiaTheme="minorEastAsia"/>
                <w:sz w:val="24"/>
                <w:szCs w:val="24"/>
              </w:rPr>
              <w:t>由承租人出资对现有装修进行提升改造，达到北京市“阳光餐饮”工程标准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82" w:hRule="exact"/>
          <w:jc w:val="center"/>
        </w:trPr>
        <w:tc>
          <w:tcPr>
            <w:tcW w:w="1360" w:type="dxa"/>
            <w:vMerge w:val="continue"/>
            <w:tcBorders>
              <w:left w:val="single" w:color="auto" w:sz="4" w:space="0"/>
              <w:bottom w:val="single" w:color="auto" w:sz="4" w:space="0"/>
            </w:tcBorders>
          </w:tcPr>
          <w:p>
            <w:pPr>
              <w:rPr>
                <w:rFonts w:ascii="宋体" w:hAnsi="宋体"/>
                <w:sz w:val="24"/>
                <w:szCs w:val="24"/>
              </w:rPr>
            </w:pPr>
          </w:p>
        </w:tc>
        <w:tc>
          <w:tcPr>
            <w:tcW w:w="1797" w:type="dxa"/>
            <w:tcBorders>
              <w:bottom w:val="single" w:color="auto" w:sz="4" w:space="0"/>
            </w:tcBorders>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right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10</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1" w:hRule="exact"/>
          <w:jc w:val="center"/>
        </w:trPr>
        <w:tc>
          <w:tcPr>
            <w:tcW w:w="1360" w:type="dxa"/>
            <w:tcBorders>
              <w:top w:val="single" w:color="auto" w:sz="4" w:space="0"/>
              <w:left w:val="single" w:color="auto" w:sz="4" w:space="0"/>
            </w:tcBorders>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tcBorders>
              <w:top w:val="single" w:color="auto" w:sz="4" w:space="0"/>
              <w:right w:val="single" w:color="auto" w:sz="4" w:space="0"/>
            </w:tcBorders>
            <w:vAlign w:val="center"/>
          </w:tcPr>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 xml:space="preserve"> 1、承租房屋用途需符合最新版《北京市新增产业的禁止和限制目录(2018年版)》的要求。</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 xml:space="preserve"> 2</w:t>
            </w:r>
            <w:r>
              <w:rPr>
                <w:rFonts w:asciiTheme="minorEastAsia" w:hAnsiTheme="minorEastAsia" w:eastAsiaTheme="minorEastAsia"/>
                <w:color w:val="000000" w:themeColor="text1"/>
                <w:szCs w:val="24"/>
                <w:shd w:val="clear" w:color="auto" w:fill="FFFFFF"/>
              </w:rPr>
              <w:t>、承租方须为在中国境内注册并依法存续的企业</w:t>
            </w:r>
            <w:r>
              <w:rPr>
                <w:rFonts w:hint="eastAsia" w:asciiTheme="minorEastAsia" w:hAnsiTheme="minorEastAsia" w:eastAsiaTheme="minorEastAsia"/>
                <w:color w:val="000000" w:themeColor="text1"/>
                <w:szCs w:val="24"/>
                <w:shd w:val="clear" w:color="auto" w:fill="FFFFFF"/>
              </w:rPr>
              <w:t>，具有餐饮行业营业执照。</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 xml:space="preserve"> 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3"/>
              <w:rPr>
                <w:rFonts w:ascii="宋体" w:hAnsi="宋体"/>
                <w:szCs w:val="24"/>
              </w:rPr>
            </w:pPr>
            <w:r>
              <w:rPr>
                <w:rFonts w:hint="eastAsia" w:asciiTheme="minorEastAsia" w:hAnsiTheme="minorEastAsia" w:eastAsiaTheme="minorEastAsia"/>
                <w:color w:val="000000" w:themeColor="text1"/>
                <w:szCs w:val="24"/>
                <w:shd w:val="clear" w:color="auto" w:fill="FFFFFF"/>
              </w:rPr>
              <w:t xml:space="preserve"> 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360" w:type="dxa"/>
            <w:vMerge w:val="restart"/>
            <w:tcBorders>
              <w:top w:val="single" w:color="auto" w:sz="4" w:space="0"/>
              <w:left w:val="single" w:color="auto" w:sz="4"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60000元整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360" w:type="dxa"/>
            <w:vMerge w:val="continue"/>
            <w:tcBorders>
              <w:left w:val="single" w:color="auto" w:sz="4"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left"/>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360" w:type="dxa"/>
            <w:vMerge w:val="continue"/>
            <w:tcBorders>
              <w:left w:val="single" w:color="auto" w:sz="4"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360" w:type="dxa"/>
            <w:vMerge w:val="continue"/>
            <w:tcBorders>
              <w:left w:val="single" w:color="auto" w:sz="4"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360" w:type="dxa"/>
            <w:vMerge w:val="continue"/>
            <w:tcBorders>
              <w:left w:val="single" w:color="auto" w:sz="4" w:space="0"/>
              <w:bottom w:val="single" w:color="auto" w:sz="4" w:space="0"/>
            </w:tcBorders>
            <w:vAlign w:val="center"/>
          </w:tcPr>
          <w:p>
            <w:pPr>
              <w:jc w:val="center"/>
              <w:rPr>
                <w:rFonts w:ascii="宋体" w:hAnsi="宋体"/>
                <w:b/>
                <w:sz w:val="24"/>
                <w:szCs w:val="24"/>
              </w:rPr>
            </w:pPr>
          </w:p>
        </w:tc>
        <w:tc>
          <w:tcPr>
            <w:tcW w:w="1797" w:type="dxa"/>
            <w:vMerge w:val="continue"/>
            <w:tcBorders>
              <w:bottom w:val="single" w:color="auto" w:sz="4" w:space="0"/>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tcBorders>
              <w:top w:val="single" w:color="auto" w:sz="4" w:space="0"/>
              <w:left w:val="single" w:color="auto" w:sz="4" w:space="0"/>
            </w:tcBorders>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tcBorders>
              <w:top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0" w:hRule="exact"/>
          <w:jc w:val="center"/>
        </w:trPr>
        <w:tc>
          <w:tcPr>
            <w:tcW w:w="2289" w:type="dxa"/>
            <w:tcBorders>
              <w:left w:val="single" w:color="auto" w:sz="4" w:space="0"/>
            </w:tcBorders>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tcBorders>
              <w:right w:val="single" w:color="auto" w:sz="4" w:space="0"/>
            </w:tcBorders>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tcBorders>
              <w:left w:val="single" w:color="auto" w:sz="4" w:space="0"/>
            </w:tcBorders>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tcBorders>
              <w:right w:val="single" w:color="auto" w:sz="4" w:space="0"/>
            </w:tcBorders>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A.现场竞价（多次报价□、一次报价</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20" w:hRule="exact"/>
          <w:jc w:val="center"/>
        </w:trPr>
        <w:tc>
          <w:tcPr>
            <w:tcW w:w="2289" w:type="dxa"/>
            <w:tcBorders>
              <w:left w:val="single" w:color="auto" w:sz="4" w:space="0"/>
            </w:tcBorders>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tcBorders>
              <w:right w:val="single" w:color="auto" w:sz="4" w:space="0"/>
            </w:tcBorders>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5" w:hRule="exact"/>
          <w:jc w:val="center"/>
        </w:trPr>
        <w:tc>
          <w:tcPr>
            <w:tcW w:w="2289" w:type="dxa"/>
            <w:tcBorders>
              <w:left w:val="single" w:color="auto" w:sz="4" w:space="0"/>
            </w:tcBorders>
            <w:vAlign w:val="center"/>
          </w:tcPr>
          <w:p>
            <w:pPr>
              <w:jc w:val="center"/>
              <w:rPr>
                <w:rFonts w:ascii="宋体" w:hAnsi="宋体"/>
                <w:b/>
                <w:sz w:val="24"/>
                <w:szCs w:val="24"/>
              </w:rPr>
            </w:pPr>
            <w:r>
              <w:rPr>
                <w:rFonts w:hint="eastAsia" w:ascii="宋体" w:hAnsi="宋体"/>
                <w:b/>
                <w:sz w:val="24"/>
                <w:szCs w:val="24"/>
                <w:lang w:eastAsia="zh-CN"/>
              </w:rPr>
              <w:t>企业</w:t>
            </w:r>
            <w:r>
              <w:rPr>
                <w:rFonts w:hint="eastAsia" w:ascii="宋体" w:hAnsi="宋体"/>
                <w:b/>
                <w:sz w:val="24"/>
                <w:szCs w:val="24"/>
              </w:rPr>
              <w:t>纪检投诉电话</w:t>
            </w:r>
          </w:p>
        </w:tc>
        <w:tc>
          <w:tcPr>
            <w:tcW w:w="7143" w:type="dxa"/>
            <w:tcBorders>
              <w:right w:val="single" w:color="auto" w:sz="4" w:space="0"/>
            </w:tcBorders>
            <w:vAlign w:val="center"/>
          </w:tcPr>
          <w:p>
            <w:pPr>
              <w:textAlignment w:val="baseline"/>
              <w:rPr>
                <w:rFonts w:ascii="宋体" w:hAnsi="宋体"/>
                <w:sz w:val="24"/>
                <w:szCs w:val="24"/>
              </w:rPr>
            </w:pPr>
            <w:r>
              <w:rPr>
                <w:rFonts w:hint="eastAsia" w:ascii="宋体" w:hAnsi="宋体"/>
                <w:sz w:val="24"/>
                <w:szCs w:val="24"/>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5" w:hRule="exact"/>
          <w:jc w:val="center"/>
        </w:trPr>
        <w:tc>
          <w:tcPr>
            <w:tcW w:w="2289" w:type="dxa"/>
            <w:tcBorders>
              <w:left w:val="single" w:color="auto" w:sz="4" w:space="0"/>
              <w:bottom w:val="single" w:color="auto" w:sz="4" w:space="0"/>
            </w:tcBorders>
            <w:vAlign w:val="center"/>
          </w:tcPr>
          <w:p>
            <w:pPr>
              <w:jc w:val="center"/>
              <w:rPr>
                <w:rFonts w:hint="eastAsia" w:ascii="宋体" w:hAnsi="宋体"/>
                <w:b/>
                <w:sz w:val="24"/>
                <w:szCs w:val="24"/>
                <w:highlight w:val="none"/>
                <w:lang w:eastAsia="zh-CN"/>
              </w:rPr>
            </w:pPr>
            <w:r>
              <w:rPr>
                <w:rFonts w:hint="eastAsia" w:ascii="宋体" w:hAnsi="宋体"/>
                <w:b/>
                <w:sz w:val="24"/>
                <w:szCs w:val="24"/>
                <w:highlight w:val="none"/>
                <w:lang w:eastAsia="zh-CN"/>
              </w:rPr>
              <w:t>国资委派驻组</w:t>
            </w:r>
          </w:p>
          <w:p>
            <w:pPr>
              <w:jc w:val="center"/>
              <w:rPr>
                <w:rFonts w:hint="eastAsia" w:ascii="宋体" w:hAnsi="宋体"/>
                <w:b/>
                <w:sz w:val="24"/>
                <w:szCs w:val="24"/>
              </w:rPr>
            </w:pPr>
            <w:r>
              <w:rPr>
                <w:rFonts w:hint="eastAsia" w:ascii="宋体" w:hAnsi="宋体"/>
                <w:b/>
                <w:sz w:val="24"/>
                <w:szCs w:val="24"/>
                <w:highlight w:val="none"/>
                <w:lang w:eastAsia="zh-CN"/>
              </w:rPr>
              <w:t>监督电话</w:t>
            </w:r>
          </w:p>
        </w:tc>
        <w:tc>
          <w:tcPr>
            <w:tcW w:w="7143" w:type="dxa"/>
            <w:tcBorders>
              <w:bottom w:val="single" w:color="auto" w:sz="4" w:space="0"/>
              <w:right w:val="single" w:color="auto" w:sz="4" w:space="0"/>
            </w:tcBorders>
            <w:vAlign w:val="center"/>
          </w:tcPr>
          <w:p>
            <w:pPr>
              <w:textAlignment w:val="baseline"/>
              <w:rPr>
                <w:rFonts w:hint="eastAsia" w:ascii="宋体" w:hAnsi="宋体"/>
                <w:sz w:val="24"/>
                <w:szCs w:val="24"/>
              </w:rPr>
            </w:pPr>
            <w:r>
              <w:rPr>
                <w:rFonts w:hint="eastAsia" w:ascii="宋体" w:hAnsi="宋体"/>
                <w:sz w:val="24"/>
                <w:szCs w:val="24"/>
                <w:highlight w:val="none"/>
                <w:lang w:val="en-US" w:eastAsia="zh-CN"/>
              </w:rPr>
              <w:t>010-65099195</w:t>
            </w:r>
          </w:p>
        </w:tc>
      </w:tr>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r>
        <w:drawing>
          <wp:inline distT="0" distB="0" distL="0" distR="0">
            <wp:extent cx="5278120" cy="3959225"/>
            <wp:effectExtent l="19050" t="0" r="0" b="0"/>
            <wp:docPr id="1" name="图片 1" descr="C:\Users\User\AppData\Local\Temp\WeChat Files\9294208d016e77af9c14af4d5ede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9294208d016e77af9c14af4d5ede287.jpg"/>
                    <pic:cNvPicPr>
                      <a:picLocks noChangeAspect="1" noChangeArrowheads="1"/>
                    </pic:cNvPicPr>
                  </pic:nvPicPr>
                  <pic:blipFill>
                    <a:blip r:embed="rId7" cstate="print"/>
                    <a:srcRect/>
                    <a:stretch>
                      <a:fillRect/>
                    </a:stretch>
                  </pic:blipFill>
                  <pic:spPr>
                    <a:xfrm>
                      <a:off x="0" y="0"/>
                      <a:ext cx="5278120" cy="3959323"/>
                    </a:xfrm>
                    <a:prstGeom prst="rect">
                      <a:avLst/>
                    </a:prstGeom>
                    <a:noFill/>
                    <a:ln w="9525">
                      <a:noFill/>
                      <a:miter lim="800000"/>
                      <a:headEnd/>
                      <a:tailEnd/>
                    </a:ln>
                  </pic:spPr>
                </pic:pic>
              </a:graphicData>
            </a:graphic>
          </wp:inline>
        </w:drawing>
      </w:r>
    </w:p>
    <w:p/>
    <w:p>
      <w:r>
        <w:drawing>
          <wp:inline distT="0" distB="0" distL="0" distR="0">
            <wp:extent cx="5278120" cy="3959225"/>
            <wp:effectExtent l="19050" t="0" r="0" b="0"/>
            <wp:docPr id="2" name="图片 2" descr="C:\Users\User\AppData\Local\Temp\WeChat Files\d942b2245225ebf8e2715b79d9a94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AppData\Local\Temp\WeChat Files\d942b2245225ebf8e2715b79d9a946d.jpg"/>
                    <pic:cNvPicPr>
                      <a:picLocks noChangeAspect="1" noChangeArrowheads="1"/>
                    </pic:cNvPicPr>
                  </pic:nvPicPr>
                  <pic:blipFill>
                    <a:blip r:embed="rId8" cstate="print"/>
                    <a:srcRect/>
                    <a:stretch>
                      <a:fillRect/>
                    </a:stretch>
                  </pic:blipFill>
                  <pic:spPr>
                    <a:xfrm>
                      <a:off x="0" y="0"/>
                      <a:ext cx="5278120" cy="3959323"/>
                    </a:xfrm>
                    <a:prstGeom prst="rect">
                      <a:avLst/>
                    </a:prstGeom>
                    <a:noFill/>
                    <a:ln w="9525">
                      <a:noFill/>
                      <a:miter lim="800000"/>
                      <a:headEnd/>
                      <a:tailEnd/>
                    </a:ln>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35281"/>
    <w:rsid w:val="00041886"/>
    <w:rsid w:val="00060CFF"/>
    <w:rsid w:val="000635A9"/>
    <w:rsid w:val="00064BAA"/>
    <w:rsid w:val="000716E6"/>
    <w:rsid w:val="000875B0"/>
    <w:rsid w:val="000A7172"/>
    <w:rsid w:val="000B6431"/>
    <w:rsid w:val="000E19E3"/>
    <w:rsid w:val="00100572"/>
    <w:rsid w:val="00102F35"/>
    <w:rsid w:val="001245E5"/>
    <w:rsid w:val="00146E57"/>
    <w:rsid w:val="001529BE"/>
    <w:rsid w:val="001648CF"/>
    <w:rsid w:val="001722F0"/>
    <w:rsid w:val="0017532B"/>
    <w:rsid w:val="001A63BF"/>
    <w:rsid w:val="001B55C8"/>
    <w:rsid w:val="001E1DE3"/>
    <w:rsid w:val="00210E0A"/>
    <w:rsid w:val="00221253"/>
    <w:rsid w:val="00247A73"/>
    <w:rsid w:val="002540AD"/>
    <w:rsid w:val="00265504"/>
    <w:rsid w:val="0026747F"/>
    <w:rsid w:val="00280DDC"/>
    <w:rsid w:val="002F0582"/>
    <w:rsid w:val="002F2712"/>
    <w:rsid w:val="002F4173"/>
    <w:rsid w:val="00301224"/>
    <w:rsid w:val="00307222"/>
    <w:rsid w:val="00316EAD"/>
    <w:rsid w:val="00321544"/>
    <w:rsid w:val="003566FF"/>
    <w:rsid w:val="00356AF4"/>
    <w:rsid w:val="00364FFB"/>
    <w:rsid w:val="00371DB1"/>
    <w:rsid w:val="003B4261"/>
    <w:rsid w:val="003D2D64"/>
    <w:rsid w:val="003E1A07"/>
    <w:rsid w:val="003F2F15"/>
    <w:rsid w:val="003F4B54"/>
    <w:rsid w:val="0041008B"/>
    <w:rsid w:val="004123EA"/>
    <w:rsid w:val="00424F6F"/>
    <w:rsid w:val="004416A7"/>
    <w:rsid w:val="0049086E"/>
    <w:rsid w:val="004A2948"/>
    <w:rsid w:val="004B2F88"/>
    <w:rsid w:val="004F22E9"/>
    <w:rsid w:val="005059DA"/>
    <w:rsid w:val="005169EE"/>
    <w:rsid w:val="005358DA"/>
    <w:rsid w:val="00545A52"/>
    <w:rsid w:val="00564754"/>
    <w:rsid w:val="005726CE"/>
    <w:rsid w:val="005D424C"/>
    <w:rsid w:val="005F5178"/>
    <w:rsid w:val="005F7D36"/>
    <w:rsid w:val="00601FF6"/>
    <w:rsid w:val="00604BD3"/>
    <w:rsid w:val="00616D89"/>
    <w:rsid w:val="00631532"/>
    <w:rsid w:val="006453E7"/>
    <w:rsid w:val="00654AB3"/>
    <w:rsid w:val="006556B2"/>
    <w:rsid w:val="0066332A"/>
    <w:rsid w:val="006656C8"/>
    <w:rsid w:val="00685152"/>
    <w:rsid w:val="006C3D01"/>
    <w:rsid w:val="006D35A4"/>
    <w:rsid w:val="0070172A"/>
    <w:rsid w:val="00702F03"/>
    <w:rsid w:val="0072080F"/>
    <w:rsid w:val="00741C23"/>
    <w:rsid w:val="00746D4B"/>
    <w:rsid w:val="00747EB2"/>
    <w:rsid w:val="0076497D"/>
    <w:rsid w:val="00782710"/>
    <w:rsid w:val="00790464"/>
    <w:rsid w:val="00794649"/>
    <w:rsid w:val="0079672C"/>
    <w:rsid w:val="007E1A8B"/>
    <w:rsid w:val="007F1CE5"/>
    <w:rsid w:val="008013FB"/>
    <w:rsid w:val="008062BC"/>
    <w:rsid w:val="008255E5"/>
    <w:rsid w:val="00856501"/>
    <w:rsid w:val="008D52CA"/>
    <w:rsid w:val="008F4193"/>
    <w:rsid w:val="008F613A"/>
    <w:rsid w:val="009028A5"/>
    <w:rsid w:val="009136EA"/>
    <w:rsid w:val="00921630"/>
    <w:rsid w:val="0092445D"/>
    <w:rsid w:val="00935D53"/>
    <w:rsid w:val="00941225"/>
    <w:rsid w:val="00943543"/>
    <w:rsid w:val="0095228C"/>
    <w:rsid w:val="009877DF"/>
    <w:rsid w:val="00997B62"/>
    <w:rsid w:val="009A1990"/>
    <w:rsid w:val="009E1B22"/>
    <w:rsid w:val="009F1683"/>
    <w:rsid w:val="00A04956"/>
    <w:rsid w:val="00A073A5"/>
    <w:rsid w:val="00A249BB"/>
    <w:rsid w:val="00A31C9D"/>
    <w:rsid w:val="00A35A95"/>
    <w:rsid w:val="00A45A1C"/>
    <w:rsid w:val="00A5335B"/>
    <w:rsid w:val="00A642AB"/>
    <w:rsid w:val="00A67F47"/>
    <w:rsid w:val="00A771EA"/>
    <w:rsid w:val="00A83362"/>
    <w:rsid w:val="00A938CA"/>
    <w:rsid w:val="00AA0C24"/>
    <w:rsid w:val="00AB23CF"/>
    <w:rsid w:val="00AB6AEE"/>
    <w:rsid w:val="00AB6BC0"/>
    <w:rsid w:val="00AC4652"/>
    <w:rsid w:val="00B3697A"/>
    <w:rsid w:val="00B50466"/>
    <w:rsid w:val="00B70335"/>
    <w:rsid w:val="00B81AF7"/>
    <w:rsid w:val="00BB3859"/>
    <w:rsid w:val="00BB533E"/>
    <w:rsid w:val="00BB6A79"/>
    <w:rsid w:val="00C23865"/>
    <w:rsid w:val="00C4088E"/>
    <w:rsid w:val="00C41597"/>
    <w:rsid w:val="00C41ABC"/>
    <w:rsid w:val="00C5070A"/>
    <w:rsid w:val="00C72A96"/>
    <w:rsid w:val="00CA68B8"/>
    <w:rsid w:val="00CB41CB"/>
    <w:rsid w:val="00CE6125"/>
    <w:rsid w:val="00CF2403"/>
    <w:rsid w:val="00D0214A"/>
    <w:rsid w:val="00D12980"/>
    <w:rsid w:val="00D26DAD"/>
    <w:rsid w:val="00D30132"/>
    <w:rsid w:val="00D4454F"/>
    <w:rsid w:val="00D62196"/>
    <w:rsid w:val="00D677E4"/>
    <w:rsid w:val="00D71965"/>
    <w:rsid w:val="00D83573"/>
    <w:rsid w:val="00D83E9F"/>
    <w:rsid w:val="00D97B5F"/>
    <w:rsid w:val="00DA0614"/>
    <w:rsid w:val="00DB6E2D"/>
    <w:rsid w:val="00DC1BBC"/>
    <w:rsid w:val="00DF36ED"/>
    <w:rsid w:val="00E10AA2"/>
    <w:rsid w:val="00E10D1E"/>
    <w:rsid w:val="00E17C36"/>
    <w:rsid w:val="00E21CB9"/>
    <w:rsid w:val="00E21D6A"/>
    <w:rsid w:val="00E2477A"/>
    <w:rsid w:val="00E27958"/>
    <w:rsid w:val="00E33544"/>
    <w:rsid w:val="00E41A46"/>
    <w:rsid w:val="00E51D01"/>
    <w:rsid w:val="00EB0F18"/>
    <w:rsid w:val="00EB5EBA"/>
    <w:rsid w:val="00EC7773"/>
    <w:rsid w:val="00ED779A"/>
    <w:rsid w:val="00EF0476"/>
    <w:rsid w:val="00EF1790"/>
    <w:rsid w:val="00F0022D"/>
    <w:rsid w:val="00F1041F"/>
    <w:rsid w:val="00F2290A"/>
    <w:rsid w:val="00F334D6"/>
    <w:rsid w:val="00F420B0"/>
    <w:rsid w:val="00F73551"/>
    <w:rsid w:val="00F8103D"/>
    <w:rsid w:val="00F821FB"/>
    <w:rsid w:val="00F869E3"/>
    <w:rsid w:val="00F95822"/>
    <w:rsid w:val="00FC5468"/>
    <w:rsid w:val="00FD7F29"/>
    <w:rsid w:val="00FE7341"/>
    <w:rsid w:val="00FF391D"/>
    <w:rsid w:val="07083B55"/>
    <w:rsid w:val="0E713697"/>
    <w:rsid w:val="0F5D3426"/>
    <w:rsid w:val="12E73246"/>
    <w:rsid w:val="204329AC"/>
    <w:rsid w:val="2911278E"/>
    <w:rsid w:val="2AAE2E3B"/>
    <w:rsid w:val="2B7F5D00"/>
    <w:rsid w:val="2B8D1469"/>
    <w:rsid w:val="2EC84921"/>
    <w:rsid w:val="349E10A4"/>
    <w:rsid w:val="34F525C2"/>
    <w:rsid w:val="3C7118D2"/>
    <w:rsid w:val="3DB4036E"/>
    <w:rsid w:val="3E89680D"/>
    <w:rsid w:val="427266D2"/>
    <w:rsid w:val="435F662A"/>
    <w:rsid w:val="461F2A85"/>
    <w:rsid w:val="4AB05276"/>
    <w:rsid w:val="4D1F6B5D"/>
    <w:rsid w:val="4F00505F"/>
    <w:rsid w:val="50730603"/>
    <w:rsid w:val="53AA4FCD"/>
    <w:rsid w:val="546D7F3A"/>
    <w:rsid w:val="5AC33241"/>
    <w:rsid w:val="5D510EBC"/>
    <w:rsid w:val="6162524E"/>
    <w:rsid w:val="61B114E3"/>
    <w:rsid w:val="61B46732"/>
    <w:rsid w:val="63905999"/>
    <w:rsid w:val="692E30C5"/>
    <w:rsid w:val="695A48F1"/>
    <w:rsid w:val="6E61503C"/>
    <w:rsid w:val="70AD7C30"/>
    <w:rsid w:val="751676E5"/>
    <w:rsid w:val="77506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367</Words>
  <Characters>2092</Characters>
  <Lines>17</Lines>
  <Paragraphs>4</Paragraphs>
  <ScaleCrop>false</ScaleCrop>
  <LinksUpToDate>false</LinksUpToDate>
  <CharactersWithSpaces>2455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2020-03-19T01:23:00Z</dcterms:created>
  <dc:creator>yjhe</dc:creator>
  <cp:lastModifiedBy>贾思渊</cp:lastModifiedBy>
  <cp:lastPrinted>2020-04-01T05:26:00Z</cp:lastPrinted>
  <dcterms:modified xsi:type="dcterms:W3CDTF">2020-04-15T02:56:08Z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