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存在发现违法犯罪行为未按照《娱乐场所管理条例》规定报告的行为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是否存在发现违法犯罪行为未按照《娱乐场所管理条例》规定报告的行为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娱乐场所建立了巡查制度，发现娱乐场所内有违法犯罪活动的，立即向所在地县级公安部门、县级人民政府文化主管部门进行报告。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不合格情形：a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娱乐场所未按照本条例规定建立巡察制度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</w:rPr>
        <w:t>发现违法犯罪行为未按照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《娱乐场所管理条例》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规定报告的。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13FB1B0B"/>
    <w:rsid w:val="15E81B19"/>
    <w:rsid w:val="18864DF2"/>
    <w:rsid w:val="1EC3056E"/>
    <w:rsid w:val="394D43E6"/>
    <w:rsid w:val="3E3331BE"/>
    <w:rsid w:val="4D4F114B"/>
    <w:rsid w:val="5D5D1D9E"/>
    <w:rsid w:val="716B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2021-09-09T06:40:04Z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AB20ED9F2D3B465D9B98270B76F08E63</vt:lpwstr>
  </property>
</Properties>
</file>