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exact"/>
        <w:jc w:val="center"/>
        <w:rPr>
          <w:rFonts w:ascii="方正小标宋简体" w:eastAsia="方正小标宋简体"/>
          <w:sz w:val="36"/>
          <w:szCs w:val="36"/>
        </w:rPr>
      </w:pPr>
      <w:r>
        <w:rPr>
          <w:rFonts w:hint="eastAsia" w:ascii="方正小标宋简体" w:eastAsia="方正小标宋简体"/>
          <w:sz w:val="36"/>
          <w:szCs w:val="36"/>
        </w:rPr>
        <w:t>北京市朝阳区农村合作经济经营管理站</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项目支出绩效评价报告</w:t>
      </w:r>
    </w:p>
    <w:p>
      <w:pPr>
        <w:jc w:val="center"/>
        <w:rPr>
          <w:rFonts w:ascii="仿宋_GB2312" w:eastAsia="仿宋_GB2312"/>
          <w:sz w:val="32"/>
          <w:szCs w:val="32"/>
        </w:rPr>
      </w:pPr>
    </w:p>
    <w:p>
      <w:pPr>
        <w:numPr>
          <w:ilvl w:val="0"/>
          <w:numId w:val="1"/>
        </w:num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基本情况</w:t>
      </w:r>
    </w:p>
    <w:p>
      <w:pPr>
        <w:spacing w:line="600" w:lineRule="exact"/>
        <w:ind w:firstLine="640"/>
        <w:rPr>
          <w:rFonts w:ascii="楷体_GB2312" w:hAnsi="楷体_GB2312" w:eastAsia="楷体_GB2312" w:cs="楷体_GB2312"/>
          <w:sz w:val="32"/>
          <w:szCs w:val="32"/>
        </w:rPr>
      </w:pPr>
      <w:r>
        <w:rPr>
          <w:rFonts w:hint="eastAsia" w:ascii="楷体_GB2312" w:hAnsi="楷体_GB2312" w:eastAsia="楷体_GB2312" w:cs="楷体_GB2312"/>
          <w:sz w:val="32"/>
          <w:szCs w:val="32"/>
        </w:rPr>
        <w:t>（一）项目概况。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朝阳区村级记账系统年度运维项目运维的村级记账系统包括会计核算、财务报表模块，该系统已经使用14年，系统的稳定运行关系着朝阳区各乡经管站和各个村集体会计核算及日常财务管理工作的正常运行、数据是否能够准确收集等，做好U8村级记账系统的运维服务工作对于保障各乡和各村的业务正常运作有着重要的意义。本项目委托北京用友政务软件股份有限公司提供运维服务并与之签订协议。主要包括日常技术支持服务、系统日常运维服务、系统BUG修改服务、应急事件保障服务等服务内容。2023年度全年运维服务费37.5万元，北京用友政务软件股份有限公司2023年共讲解模块功能、指导用户进行操作348次，提供初级业务问题咨询和讲解465次，涉及用户/权限新增、变更等相关管理工作168次，基础资料新增或变更87次，定期数据备份等后台数据处理21次，系统维护25次，完成日常运维或新增、调整需求前期的沟通及协助工作467次，提供后台支持22次，提供客户端安装124次。</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（二）项目绩效目标。</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参照北京市电子政务运维服务支撑系统规范要求，对村级记账系统进行年度运维工作。通过日常技术支持、系统日常服务、系统运行状态监控、系统故障处理等运维内容，有效保障村级记账系统可靠、安全、平稳、高效运行。</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两个方面。一是账务处理。通过高质量的运维服务工作，保障会计核算要求及实现各种账簿查询的要求，满足本单位、各乡经管站和各村财务管理的需要。二是电子报表。提供按照规定的财务报表相关科目进行取数的工作，实现为各村集体经济组织自动生成财务报表的需求。</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（一）绩效评价目的、对象和范围。</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提升北京用友政务软件股份有限公司服务质量，保证U8村级记账系统平稳有效运行，对北京用友政务软件股份有限公司提供的U8村级记账系统2023年度运维服务开展绩效评价，评价范围为与该公司签订的协议中所包含的全部服务内容、完成质量及其产生的影响。</w:t>
      </w:r>
    </w:p>
    <w:p>
      <w:pPr>
        <w:numPr>
          <w:ilvl w:val="0"/>
          <w:numId w:val="2"/>
        </w:num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绩效评价原则、评价指标体系（附表说明）、评价方法、评价标准等。</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对本项目开展绩效评价时遵循三个原则。一是相关性原则，绩效评价指标体系设定与绩效目标有直接的联系，能够恰当反映目标的实现程度。二是重要性原则，根据绩效评价的对象和内容优先使用最具代表性、最能反映评价要求的核心指标，即系统维护用户数量、故障率等。三是系统性原则，绩效评价指标体系设定要将定性指标和定量指标相结合，系统反映项目所产生的各种效益。</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基于上述原则，对该项目事前设立了评价指标体系，详见下表。</w:t>
      </w:r>
    </w:p>
    <w:tbl>
      <w:tblPr>
        <w:tblStyle w:val="6"/>
        <w:tblpPr w:leftFromText="180" w:rightFromText="180" w:vertAnchor="text" w:horzAnchor="page" w:tblpX="1835" w:tblpY="197"/>
        <w:tblOverlap w:val="never"/>
        <w:tblW w:w="8379" w:type="dxa"/>
        <w:tblInd w:w="0" w:type="dxa"/>
        <w:tblLayout w:type="fixed"/>
        <w:tblCellMar>
          <w:top w:w="15" w:type="dxa"/>
          <w:left w:w="15" w:type="dxa"/>
          <w:bottom w:w="15" w:type="dxa"/>
          <w:right w:w="15" w:type="dxa"/>
        </w:tblCellMar>
      </w:tblPr>
      <w:tblGrid>
        <w:gridCol w:w="931"/>
        <w:gridCol w:w="1865"/>
        <w:gridCol w:w="1663"/>
        <w:gridCol w:w="943"/>
        <w:gridCol w:w="1059"/>
        <w:gridCol w:w="1066"/>
        <w:gridCol w:w="852"/>
      </w:tblGrid>
      <w:tr>
        <w:tblPrEx>
          <w:tblLayout w:type="fixed"/>
          <w:tblCellMar>
            <w:top w:w="15" w:type="dxa"/>
            <w:left w:w="15" w:type="dxa"/>
            <w:bottom w:w="15" w:type="dxa"/>
            <w:right w:w="15" w:type="dxa"/>
          </w:tblCellMar>
        </w:tblPrEx>
        <w:trPr>
          <w:trHeight w:val="722" w:hRule="atLeast"/>
        </w:trPr>
        <w:tc>
          <w:tcPr>
            <w:tcW w:w="931" w:type="dxa"/>
            <w:tcBorders>
              <w:top w:val="single" w:color="000000" w:sz="4" w:space="0"/>
              <w:left w:val="single" w:color="000000" w:sz="4" w:space="0"/>
              <w:bottom w:val="single" w:color="000000" w:sz="4" w:space="0"/>
              <w:right w:val="single" w:color="000000" w:sz="4" w:space="0"/>
            </w:tcBorders>
            <w:shd w:val="clear" w:color="EBEFF3" w:fill="EBEFF3"/>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一级指标</w:t>
            </w:r>
          </w:p>
        </w:tc>
        <w:tc>
          <w:tcPr>
            <w:tcW w:w="1865" w:type="dxa"/>
            <w:tcBorders>
              <w:top w:val="single" w:color="000000" w:sz="4" w:space="0"/>
              <w:left w:val="single" w:color="000000" w:sz="4" w:space="0"/>
              <w:bottom w:val="single" w:color="000000" w:sz="4" w:space="0"/>
              <w:right w:val="single" w:color="000000" w:sz="4" w:space="0"/>
            </w:tcBorders>
            <w:shd w:val="clear" w:color="EBEFF3" w:fill="EBEFF3"/>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二级指标</w:t>
            </w:r>
          </w:p>
        </w:tc>
        <w:tc>
          <w:tcPr>
            <w:tcW w:w="1663" w:type="dxa"/>
            <w:tcBorders>
              <w:top w:val="single" w:color="000000" w:sz="4" w:space="0"/>
              <w:left w:val="single" w:color="000000" w:sz="4" w:space="0"/>
              <w:bottom w:val="single" w:color="000000" w:sz="4" w:space="0"/>
              <w:right w:val="single" w:color="000000" w:sz="4" w:space="0"/>
            </w:tcBorders>
            <w:shd w:val="clear" w:color="EBEFF3" w:fill="EBEFF3"/>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三级指标</w:t>
            </w:r>
          </w:p>
        </w:tc>
        <w:tc>
          <w:tcPr>
            <w:tcW w:w="943" w:type="dxa"/>
            <w:tcBorders>
              <w:top w:val="single" w:color="000000" w:sz="4" w:space="0"/>
              <w:left w:val="single" w:color="000000" w:sz="4" w:space="0"/>
              <w:bottom w:val="single" w:color="000000" w:sz="4" w:space="0"/>
              <w:right w:val="single" w:color="000000" w:sz="4" w:space="0"/>
            </w:tcBorders>
            <w:shd w:val="clear" w:color="EBEFF3" w:fill="EBEFF3"/>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指标性质</w:t>
            </w:r>
          </w:p>
        </w:tc>
        <w:tc>
          <w:tcPr>
            <w:tcW w:w="1059" w:type="dxa"/>
            <w:tcBorders>
              <w:top w:val="single" w:color="000000" w:sz="4" w:space="0"/>
              <w:left w:val="single" w:color="000000" w:sz="4" w:space="0"/>
              <w:bottom w:val="single" w:color="000000" w:sz="4" w:space="0"/>
              <w:right w:val="single" w:color="000000" w:sz="4" w:space="0"/>
            </w:tcBorders>
            <w:shd w:val="clear" w:color="EBEFF3" w:fill="EBEFF3"/>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本年指标值</w:t>
            </w:r>
          </w:p>
        </w:tc>
        <w:tc>
          <w:tcPr>
            <w:tcW w:w="1066" w:type="dxa"/>
            <w:tcBorders>
              <w:top w:val="single" w:color="000000" w:sz="4" w:space="0"/>
              <w:left w:val="single" w:color="000000" w:sz="4" w:space="0"/>
              <w:bottom w:val="single" w:color="000000" w:sz="4" w:space="0"/>
              <w:right w:val="single" w:color="000000" w:sz="4" w:space="0"/>
            </w:tcBorders>
            <w:shd w:val="clear" w:color="EBEFF3" w:fill="EBEFF3"/>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度量单位</w:t>
            </w:r>
          </w:p>
        </w:tc>
        <w:tc>
          <w:tcPr>
            <w:tcW w:w="852" w:type="dxa"/>
            <w:tcBorders>
              <w:top w:val="single" w:color="000000" w:sz="4" w:space="0"/>
              <w:left w:val="single" w:color="000000" w:sz="4" w:space="0"/>
              <w:bottom w:val="single" w:color="000000" w:sz="4" w:space="0"/>
              <w:right w:val="single" w:color="000000" w:sz="4" w:space="0"/>
            </w:tcBorders>
            <w:shd w:val="clear" w:color="EBEFF3" w:fill="EBEFF3"/>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本年权重（%）</w:t>
            </w:r>
          </w:p>
        </w:tc>
      </w:tr>
      <w:tr>
        <w:tblPrEx>
          <w:tblLayout w:type="fixed"/>
          <w:tblCellMar>
            <w:top w:w="15" w:type="dxa"/>
            <w:left w:w="15" w:type="dxa"/>
            <w:bottom w:w="15" w:type="dxa"/>
            <w:right w:w="15" w:type="dxa"/>
          </w:tblCellMar>
        </w:tblPrEx>
        <w:trPr>
          <w:trHeight w:val="279" w:hRule="atLeast"/>
        </w:trPr>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产出指标</w:t>
            </w:r>
          </w:p>
        </w:tc>
        <w:tc>
          <w:tcPr>
            <w:tcW w:w="18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时效指标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运维期限</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年</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15</w:t>
            </w:r>
          </w:p>
        </w:tc>
      </w:tr>
      <w:tr>
        <w:tblPrEx>
          <w:tblLayout w:type="fixed"/>
          <w:tblCellMar>
            <w:top w:w="15" w:type="dxa"/>
            <w:left w:w="15" w:type="dxa"/>
            <w:bottom w:w="15" w:type="dxa"/>
            <w:right w:w="15" w:type="dxa"/>
          </w:tblCellMar>
        </w:tblPrEx>
        <w:trPr>
          <w:trHeight w:val="279" w:hRule="atLeast"/>
        </w:trPr>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产出指标</w:t>
            </w:r>
          </w:p>
        </w:tc>
        <w:tc>
          <w:tcPr>
            <w:tcW w:w="18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数量指标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系统维护用户数量</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176</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户</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r>
      <w:tr>
        <w:tblPrEx>
          <w:tblLayout w:type="fixed"/>
          <w:tblCellMar>
            <w:top w:w="15" w:type="dxa"/>
            <w:left w:w="15" w:type="dxa"/>
            <w:bottom w:w="15" w:type="dxa"/>
            <w:right w:w="15" w:type="dxa"/>
          </w:tblCellMar>
        </w:tblPrEx>
        <w:trPr>
          <w:trHeight w:val="279" w:hRule="atLeast"/>
        </w:trPr>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产出指标</w:t>
            </w:r>
          </w:p>
        </w:tc>
        <w:tc>
          <w:tcPr>
            <w:tcW w:w="18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质量指标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系统故障率</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15</w:t>
            </w:r>
          </w:p>
        </w:tc>
      </w:tr>
      <w:tr>
        <w:tblPrEx>
          <w:tblLayout w:type="fixed"/>
          <w:tblCellMar>
            <w:top w:w="15" w:type="dxa"/>
            <w:left w:w="15" w:type="dxa"/>
            <w:bottom w:w="15" w:type="dxa"/>
            <w:right w:w="15" w:type="dxa"/>
          </w:tblCellMar>
        </w:tblPrEx>
        <w:trPr>
          <w:trHeight w:val="279" w:hRule="atLeast"/>
        </w:trPr>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产出指标</w:t>
            </w:r>
          </w:p>
        </w:tc>
        <w:tc>
          <w:tcPr>
            <w:tcW w:w="18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成本指标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总成本</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375000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元</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r>
      <w:tr>
        <w:tblPrEx>
          <w:tblLayout w:type="fixed"/>
          <w:tblCellMar>
            <w:top w:w="15" w:type="dxa"/>
            <w:left w:w="15" w:type="dxa"/>
            <w:bottom w:w="15" w:type="dxa"/>
            <w:right w:w="15" w:type="dxa"/>
          </w:tblCellMar>
        </w:tblPrEx>
        <w:trPr>
          <w:trHeight w:val="279" w:hRule="atLeast"/>
        </w:trPr>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效益指标</w:t>
            </w:r>
          </w:p>
        </w:tc>
        <w:tc>
          <w:tcPr>
            <w:tcW w:w="18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可持续影响指标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保持系统运行稳定</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定性</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高中低</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30</w:t>
            </w:r>
          </w:p>
        </w:tc>
      </w:tr>
      <w:tr>
        <w:tblPrEx>
          <w:tblLayout w:type="fixed"/>
          <w:tblCellMar>
            <w:top w:w="15" w:type="dxa"/>
            <w:left w:w="15" w:type="dxa"/>
            <w:bottom w:w="15" w:type="dxa"/>
            <w:right w:w="15" w:type="dxa"/>
          </w:tblCellMar>
        </w:tblPrEx>
        <w:trPr>
          <w:trHeight w:val="287" w:hRule="atLeast"/>
        </w:trPr>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满意度指标</w:t>
            </w:r>
          </w:p>
        </w:tc>
        <w:tc>
          <w:tcPr>
            <w:tcW w:w="18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服务对象满意度指标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用户满意度</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95</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r>
    </w:tbl>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评价方法采取定性和定量结合的方式对该项目进行绩效评价。其中，对于产出指标中的时效指标、数量指标、质量指标、成本指标以及满意度指标中的服务对象满意度指标采用定量的方法进行评价，分别通过其运维期限、系统维护用户数量、系统故障率、总成本、用户满意度体现。对于效益指标中的可持续影响指标采用定性的方法进行评价，针对保持系统运行稳定程度设立高中低三个等级，根据实际运维情况客观、公正评价。朝阳区村级记账系统年度运维项目以实际服务完成情况为评价标准，结合各项服务内容记录表、项目验收情况，各乡经管站和各村的反馈等进行评价。</w:t>
      </w:r>
    </w:p>
    <w:p>
      <w:pPr>
        <w:numPr>
          <w:ilvl w:val="0"/>
          <w:numId w:val="2"/>
        </w:num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绩效评价工作过程。</w:t>
      </w:r>
    </w:p>
    <w:p>
      <w:pPr>
        <w:spacing w:line="600" w:lineRule="exact"/>
        <w:rPr>
          <w:rFonts w:ascii="仿宋_GB2312" w:hAnsi="仿宋_GB2312" w:eastAsia="仿宋_GB2312" w:cs="仿宋_GB2312"/>
          <w:sz w:val="32"/>
          <w:szCs w:val="32"/>
        </w:rPr>
      </w:pPr>
      <w:r>
        <w:rPr>
          <w:rFonts w:hint="eastAsia" w:ascii="楷体_GB2312" w:hAnsi="楷体_GB2312" w:eastAsia="楷体_GB2312" w:cs="楷体_GB2312"/>
          <w:sz w:val="32"/>
          <w:szCs w:val="32"/>
        </w:rPr>
        <w:t xml:space="preserve">   </w:t>
      </w:r>
      <w:r>
        <w:rPr>
          <w:rFonts w:hint="eastAsia" w:ascii="仿宋_GB2312" w:hAnsi="仿宋_GB2312" w:eastAsia="仿宋_GB2312" w:cs="仿宋_GB2312"/>
          <w:sz w:val="32"/>
          <w:szCs w:val="32"/>
        </w:rPr>
        <w:t xml:space="preserve"> 本单位严格按照规定，对该项目开展绩效评价。财务管理科根据项目内容设立绩效评价指标体系，运维期间督促北京用友政务软件股份有限公司按照协议对176个单位主体提供系统运维服务，定期开展系统排查，严格控制系统故障率。该公司在完成1年的运维服务时向本单位提供验收资料，包括运维服务专人负责情况、系统日志清理情况记录表、U8村级记账系统漏洞扫描记录、U8村级记账系统病毒查杀记录、资金监管系统数据备份记录、U8村级记账年度运维服务产品内容、U8村级记账系统运维项目总结报告等。我单位于2023年11月17日组织验收组对该公司的运维服务进行验收，验收合格。</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自评打分由资金执行率评分和绩效指标评分两部分构成，分别占比10%和90%，总分100分。其中，项目资金部分年初预算数为37.5万元，全年预算数为37.5万元，全年执行数为37.5万元，资金执行率100%，得分10分。绩效指标评分部分包括六个方面。系统维护用户数量指标值176户，实际维护用户176户，得分10分；系统故障率指标值≤10%，实际故障率≤10%，得分15分；运维期限指标值为1年，实际服务时间为1年，得分15分；项目总成本指标值≤37.5万元，实际总成本为37.5万元，得分10分；保持系统运行稳定指标值设为高中低三个等次，较高水平完成该指标，得分30分；用户满意度指标值设为≥95%，经核实用户问题能够得到解决，整体满意度≥95%，得分10分。该项目绩效评价整体得分100分，完成了项目设定目标，确保U8村级记账系统稳定、有效的为本单位和各乡经管站、各个村及代理记账公司所使用。</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朝阳区村级记账系统年度运维项目支出绩效自评表详见下表：</w:t>
      </w:r>
    </w:p>
    <w:tbl>
      <w:tblPr>
        <w:tblStyle w:val="6"/>
        <w:tblW w:w="8300" w:type="dxa"/>
        <w:tblInd w:w="0" w:type="dxa"/>
        <w:tblLayout w:type="fixed"/>
        <w:tblCellMar>
          <w:top w:w="15" w:type="dxa"/>
          <w:left w:w="15" w:type="dxa"/>
          <w:bottom w:w="15" w:type="dxa"/>
          <w:right w:w="15" w:type="dxa"/>
        </w:tblCellMar>
      </w:tblPr>
      <w:tblGrid>
        <w:gridCol w:w="360"/>
        <w:gridCol w:w="491"/>
        <w:gridCol w:w="767"/>
        <w:gridCol w:w="763"/>
        <w:gridCol w:w="1295"/>
        <w:gridCol w:w="996"/>
        <w:gridCol w:w="840"/>
        <w:gridCol w:w="624"/>
        <w:gridCol w:w="552"/>
        <w:gridCol w:w="639"/>
        <w:gridCol w:w="973"/>
      </w:tblGrid>
      <w:tr>
        <w:tblPrEx>
          <w:tblLayout w:type="fixed"/>
          <w:tblCellMar>
            <w:top w:w="15" w:type="dxa"/>
            <w:left w:w="15" w:type="dxa"/>
            <w:bottom w:w="15" w:type="dxa"/>
            <w:right w:w="15" w:type="dxa"/>
          </w:tblCellMar>
        </w:tblPrEx>
        <w:trPr>
          <w:trHeight w:val="416" w:hRule="atLeast"/>
        </w:trPr>
        <w:tc>
          <w:tcPr>
            <w:tcW w:w="8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项目资金</w:t>
            </w:r>
            <w:r>
              <w:rPr>
                <w:rFonts w:hint="eastAsia" w:ascii="仿宋_GB2312" w:hAnsi="仿宋_GB2312" w:eastAsia="仿宋_GB2312" w:cs="仿宋_GB2312"/>
                <w:b/>
                <w:color w:val="000000"/>
                <w:kern w:val="0"/>
                <w:sz w:val="20"/>
                <w:szCs w:val="20"/>
                <w:lang w:bidi="ar"/>
              </w:rPr>
              <w:br w:type="textWrapping"/>
            </w:r>
            <w:r>
              <w:rPr>
                <w:rFonts w:hint="eastAsia" w:ascii="仿宋_GB2312" w:hAnsi="仿宋_GB2312" w:eastAsia="仿宋_GB2312" w:cs="仿宋_GB2312"/>
                <w:b/>
                <w:color w:val="000000"/>
                <w:kern w:val="0"/>
                <w:sz w:val="20"/>
                <w:szCs w:val="20"/>
                <w:lang w:bidi="ar"/>
              </w:rPr>
              <w:t>（万元）</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年初预算数</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全年预算数</w:t>
            </w:r>
          </w:p>
        </w:tc>
        <w:tc>
          <w:tcPr>
            <w:tcW w:w="1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全年执行数</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分值</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执行率</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得分</w:t>
            </w:r>
          </w:p>
        </w:tc>
      </w:tr>
      <w:tr>
        <w:tblPrEx>
          <w:tblLayout w:type="fixed"/>
          <w:tblCellMar>
            <w:top w:w="15" w:type="dxa"/>
            <w:left w:w="15" w:type="dxa"/>
            <w:bottom w:w="15" w:type="dxa"/>
            <w:right w:w="15" w:type="dxa"/>
          </w:tblCellMar>
        </w:tblPrEx>
        <w:trPr>
          <w:trHeight w:val="544" w:hRule="atLeast"/>
        </w:trPr>
        <w:tc>
          <w:tcPr>
            <w:tcW w:w="8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年度资金总额</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37.5</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37.5</w:t>
            </w:r>
          </w:p>
        </w:tc>
        <w:tc>
          <w:tcPr>
            <w:tcW w:w="1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37.5</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10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r>
      <w:tr>
        <w:tblPrEx>
          <w:tblLayout w:type="fixed"/>
          <w:tblCellMar>
            <w:top w:w="15" w:type="dxa"/>
            <w:left w:w="15" w:type="dxa"/>
            <w:bottom w:w="15" w:type="dxa"/>
            <w:right w:w="15" w:type="dxa"/>
          </w:tblCellMar>
        </w:tblPrEx>
        <w:trPr>
          <w:trHeight w:val="544" w:hRule="atLeast"/>
        </w:trPr>
        <w:tc>
          <w:tcPr>
            <w:tcW w:w="8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其中：当年财政拨款</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37.5</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37.5</w:t>
            </w:r>
          </w:p>
        </w:tc>
        <w:tc>
          <w:tcPr>
            <w:tcW w:w="1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37.5</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r>
      <w:tr>
        <w:tblPrEx>
          <w:tblLayout w:type="fixed"/>
          <w:tblCellMar>
            <w:top w:w="15" w:type="dxa"/>
            <w:left w:w="15" w:type="dxa"/>
            <w:bottom w:w="15" w:type="dxa"/>
            <w:right w:w="15" w:type="dxa"/>
          </w:tblCellMar>
        </w:tblPrEx>
        <w:trPr>
          <w:trHeight w:val="376" w:hRule="atLeast"/>
        </w:trPr>
        <w:tc>
          <w:tcPr>
            <w:tcW w:w="8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 xml:space="preserve">     上年结转资金</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r>
      <w:tr>
        <w:tblPrEx>
          <w:tblLayout w:type="fixed"/>
          <w:tblCellMar>
            <w:top w:w="15" w:type="dxa"/>
            <w:left w:w="15" w:type="dxa"/>
            <w:bottom w:w="15" w:type="dxa"/>
            <w:right w:w="15" w:type="dxa"/>
          </w:tblCellMar>
        </w:tblPrEx>
        <w:trPr>
          <w:trHeight w:val="184" w:hRule="atLeast"/>
        </w:trPr>
        <w:tc>
          <w:tcPr>
            <w:tcW w:w="8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 xml:space="preserve">  其他资金</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w:t>
            </w:r>
          </w:p>
        </w:tc>
      </w:tr>
      <w:tr>
        <w:tblPrEx>
          <w:tblLayout w:type="fixed"/>
          <w:tblCellMar>
            <w:top w:w="15" w:type="dxa"/>
            <w:left w:w="15" w:type="dxa"/>
            <w:bottom w:w="15" w:type="dxa"/>
            <w:right w:w="15" w:type="dxa"/>
          </w:tblCellMar>
        </w:tblPrEx>
        <w:trPr>
          <w:trHeight w:val="392" w:hRule="atLeast"/>
        </w:trPr>
        <w:tc>
          <w:tcPr>
            <w:tcW w:w="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绩</w:t>
            </w:r>
            <w:r>
              <w:rPr>
                <w:rFonts w:hint="eastAsia" w:ascii="仿宋_GB2312" w:hAnsi="仿宋_GB2312" w:eastAsia="仿宋_GB2312" w:cs="仿宋_GB2312"/>
                <w:b/>
                <w:color w:val="000000"/>
                <w:kern w:val="0"/>
                <w:sz w:val="20"/>
                <w:szCs w:val="20"/>
                <w:lang w:bidi="ar"/>
              </w:rPr>
              <w:br w:type="textWrapping"/>
            </w:r>
            <w:r>
              <w:rPr>
                <w:rFonts w:hint="eastAsia" w:ascii="仿宋_GB2312" w:hAnsi="仿宋_GB2312" w:eastAsia="仿宋_GB2312" w:cs="仿宋_GB2312"/>
                <w:b/>
                <w:color w:val="000000"/>
                <w:kern w:val="0"/>
                <w:sz w:val="20"/>
                <w:szCs w:val="20"/>
                <w:lang w:bidi="ar"/>
              </w:rPr>
              <w:t>效</w:t>
            </w:r>
            <w:r>
              <w:rPr>
                <w:rFonts w:hint="eastAsia" w:ascii="仿宋_GB2312" w:hAnsi="仿宋_GB2312" w:eastAsia="仿宋_GB2312" w:cs="仿宋_GB2312"/>
                <w:b/>
                <w:color w:val="000000"/>
                <w:kern w:val="0"/>
                <w:sz w:val="20"/>
                <w:szCs w:val="20"/>
                <w:lang w:bidi="ar"/>
              </w:rPr>
              <w:br w:type="textWrapping"/>
            </w:r>
            <w:r>
              <w:rPr>
                <w:rFonts w:hint="eastAsia" w:ascii="仿宋_GB2312" w:hAnsi="仿宋_GB2312" w:eastAsia="仿宋_GB2312" w:cs="仿宋_GB2312"/>
                <w:b/>
                <w:color w:val="000000"/>
                <w:kern w:val="0"/>
                <w:sz w:val="20"/>
                <w:szCs w:val="20"/>
                <w:lang w:bidi="ar"/>
              </w:rPr>
              <w:t>指</w:t>
            </w:r>
            <w:r>
              <w:rPr>
                <w:rFonts w:hint="eastAsia" w:ascii="仿宋_GB2312" w:hAnsi="仿宋_GB2312" w:eastAsia="仿宋_GB2312" w:cs="仿宋_GB2312"/>
                <w:b/>
                <w:color w:val="000000"/>
                <w:kern w:val="0"/>
                <w:sz w:val="20"/>
                <w:szCs w:val="20"/>
                <w:lang w:bidi="ar"/>
              </w:rPr>
              <w:br w:type="textWrapping"/>
            </w:r>
            <w:r>
              <w:rPr>
                <w:rFonts w:hint="eastAsia" w:ascii="仿宋_GB2312" w:hAnsi="仿宋_GB2312" w:eastAsia="仿宋_GB2312" w:cs="仿宋_GB2312"/>
                <w:b/>
                <w:color w:val="000000"/>
                <w:kern w:val="0"/>
                <w:sz w:val="20"/>
                <w:szCs w:val="20"/>
                <w:lang w:bidi="ar"/>
              </w:rPr>
              <w:t>标</w:t>
            </w:r>
          </w:p>
        </w:tc>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一级指标</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二级指标</w:t>
            </w:r>
          </w:p>
        </w:tc>
        <w:tc>
          <w:tcPr>
            <w:tcW w:w="2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三级指标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年度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实际</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分值</w:t>
            </w:r>
          </w:p>
        </w:tc>
        <w:tc>
          <w:tcPr>
            <w:tcW w:w="11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得分</w:t>
            </w:r>
          </w:p>
        </w:tc>
        <w:tc>
          <w:tcPr>
            <w:tcW w:w="9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偏差原因分析及改进措施</w:t>
            </w:r>
          </w:p>
        </w:tc>
      </w:tr>
      <w:tr>
        <w:tblPrEx>
          <w:tblLayout w:type="fixed"/>
          <w:tblCellMar>
            <w:top w:w="15" w:type="dxa"/>
            <w:left w:w="15" w:type="dxa"/>
            <w:bottom w:w="15" w:type="dxa"/>
            <w:right w:w="15" w:type="dxa"/>
          </w:tblCellMar>
        </w:tblPrEx>
        <w:trPr>
          <w:trHeight w:val="90"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2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指标值</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完成值</w:t>
            </w: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11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9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r>
      <w:tr>
        <w:tblPrEx>
          <w:tblLayout w:type="fixed"/>
          <w:tblCellMar>
            <w:top w:w="15" w:type="dxa"/>
            <w:left w:w="15" w:type="dxa"/>
            <w:bottom w:w="15" w:type="dxa"/>
            <w:right w:w="15" w:type="dxa"/>
          </w:tblCellMar>
        </w:tblPrEx>
        <w:trPr>
          <w:trHeight w:val="400"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产出指标</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数量指标</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指标1</w:t>
            </w:r>
            <w:r>
              <w:rPr>
                <w:rFonts w:hint="eastAsia" w:ascii="仿宋_GB2312" w:hAnsi="仿宋_GB2312" w:eastAsia="仿宋_GB2312" w:cs="仿宋_GB2312"/>
                <w:color w:val="000000"/>
                <w:kern w:val="0"/>
                <w:sz w:val="20"/>
                <w:szCs w:val="20"/>
                <w:lang w:bidi="ar"/>
              </w:rPr>
              <w:t>：系统维护用户数量</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176</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176</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90"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316"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质量指标</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指标1</w:t>
            </w:r>
            <w:r>
              <w:rPr>
                <w:rFonts w:hint="eastAsia" w:ascii="仿宋_GB2312" w:hAnsi="仿宋_GB2312" w:eastAsia="仿宋_GB2312" w:cs="仿宋_GB2312"/>
                <w:color w:val="000000"/>
                <w:kern w:val="0"/>
                <w:sz w:val="20"/>
                <w:szCs w:val="20"/>
                <w:lang w:bidi="ar"/>
              </w:rPr>
              <w:t>：系统故障率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15</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148"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376"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时效指标</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指标1</w:t>
            </w:r>
            <w:r>
              <w:rPr>
                <w:rFonts w:hint="eastAsia" w:ascii="仿宋_GB2312" w:hAnsi="仿宋_GB2312" w:eastAsia="仿宋_GB2312" w:cs="仿宋_GB2312"/>
                <w:color w:val="000000"/>
                <w:kern w:val="0"/>
                <w:sz w:val="20"/>
                <w:szCs w:val="20"/>
                <w:lang w:bidi="ar"/>
              </w:rPr>
              <w:t>：运维期限</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1年</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1年</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15</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292"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264"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成本指标</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指标1</w:t>
            </w:r>
            <w:r>
              <w:rPr>
                <w:rFonts w:hint="eastAsia" w:ascii="仿宋_GB2312" w:hAnsi="仿宋_GB2312" w:eastAsia="仿宋_GB2312" w:cs="仿宋_GB2312"/>
                <w:color w:val="000000"/>
                <w:kern w:val="0"/>
                <w:sz w:val="20"/>
                <w:szCs w:val="20"/>
                <w:lang w:bidi="ar"/>
              </w:rPr>
              <w:t>：总成本</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≤37.5万元</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37.5万元</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172"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112"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效益指标</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经济效益指标</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指标1</w:t>
            </w:r>
            <w:r>
              <w:rPr>
                <w:rFonts w:hint="eastAsia" w:ascii="仿宋_GB2312" w:hAnsi="仿宋_GB2312" w:eastAsia="仿宋_GB2312" w:cs="仿宋_GB2312"/>
                <w:color w:val="000000"/>
                <w:kern w:val="0"/>
                <w:sz w:val="20"/>
                <w:szCs w:val="20"/>
                <w:lang w:bidi="ar"/>
              </w:rPr>
              <w:t>：</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90"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268"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社会效益指标</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指标1</w:t>
            </w:r>
            <w:r>
              <w:rPr>
                <w:rFonts w:hint="eastAsia" w:ascii="仿宋_GB2312" w:hAnsi="仿宋_GB2312" w:eastAsia="仿宋_GB2312" w:cs="仿宋_GB2312"/>
                <w:color w:val="000000"/>
                <w:kern w:val="0"/>
                <w:sz w:val="20"/>
                <w:szCs w:val="20"/>
                <w:lang w:bidi="ar"/>
              </w:rPr>
              <w:t>：</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121"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196"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生态效益指标</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指标1</w:t>
            </w:r>
            <w:r>
              <w:rPr>
                <w:rFonts w:hint="eastAsia" w:ascii="仿宋_GB2312" w:hAnsi="仿宋_GB2312" w:eastAsia="仿宋_GB2312" w:cs="仿宋_GB2312"/>
                <w:color w:val="000000"/>
                <w:kern w:val="0"/>
                <w:sz w:val="20"/>
                <w:szCs w:val="20"/>
                <w:lang w:bidi="ar"/>
              </w:rPr>
              <w:t>：</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289"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436"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可持续影响指标</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指标1</w:t>
            </w:r>
            <w:r>
              <w:rPr>
                <w:rFonts w:hint="eastAsia" w:ascii="仿宋_GB2312" w:hAnsi="仿宋_GB2312" w:eastAsia="仿宋_GB2312" w:cs="仿宋_GB2312"/>
                <w:color w:val="000000"/>
                <w:kern w:val="0"/>
                <w:sz w:val="20"/>
                <w:szCs w:val="20"/>
                <w:lang w:bidi="ar"/>
              </w:rPr>
              <w:t>：保持系统运行稳定</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高中低</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高</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30</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30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121"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90"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满意度指标</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服务对象满意度指标</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指标1</w:t>
            </w:r>
            <w:r>
              <w:rPr>
                <w:rFonts w:hint="eastAsia" w:ascii="仿宋_GB2312" w:hAnsi="仿宋_GB2312" w:eastAsia="仿宋_GB2312" w:cs="仿宋_GB2312"/>
                <w:color w:val="000000"/>
                <w:kern w:val="0"/>
                <w:sz w:val="20"/>
                <w:szCs w:val="20"/>
                <w:lang w:bidi="ar"/>
              </w:rPr>
              <w:t>：用户满意度</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≥95%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≥95%</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313" w:hRule="atLeast"/>
        </w:trPr>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color w:val="000000"/>
                <w:sz w:val="20"/>
                <w:szCs w:val="20"/>
              </w:rPr>
            </w:pP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color w:val="000000"/>
                <w:sz w:val="20"/>
                <w:szCs w:val="20"/>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000000"/>
                <w:sz w:val="20"/>
                <w:szCs w:val="20"/>
              </w:rPr>
            </w:pPr>
          </w:p>
        </w:tc>
      </w:tr>
      <w:tr>
        <w:tblPrEx>
          <w:tblLayout w:type="fixed"/>
          <w:tblCellMar>
            <w:top w:w="15" w:type="dxa"/>
            <w:left w:w="15" w:type="dxa"/>
            <w:bottom w:w="15" w:type="dxa"/>
            <w:right w:w="15" w:type="dxa"/>
          </w:tblCellMar>
        </w:tblPrEx>
        <w:trPr>
          <w:trHeight w:val="418" w:hRule="atLeast"/>
        </w:trPr>
        <w:tc>
          <w:tcPr>
            <w:tcW w:w="55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总分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100</w:t>
            </w:r>
          </w:p>
        </w:tc>
        <w:tc>
          <w:tcPr>
            <w:tcW w:w="1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b/>
                <w:color w:val="000000"/>
                <w:sz w:val="20"/>
                <w:szCs w:val="20"/>
              </w:rPr>
            </w:pPr>
            <w:r>
              <w:rPr>
                <w:rFonts w:hint="eastAsia" w:ascii="仿宋_GB2312" w:hAnsi="仿宋_GB2312" w:eastAsia="仿宋_GB2312" w:cs="仿宋_GB2312"/>
                <w:b/>
                <w:color w:val="000000"/>
                <w:kern w:val="0"/>
                <w:sz w:val="20"/>
                <w:szCs w:val="20"/>
                <w:lang w:bidi="ar"/>
              </w:rPr>
              <w:t>100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color w:val="000000"/>
                <w:sz w:val="20"/>
                <w:szCs w:val="20"/>
              </w:rPr>
            </w:pPr>
          </w:p>
        </w:tc>
      </w:tr>
    </w:tbl>
    <w:p>
      <w:pPr>
        <w:spacing w:line="600" w:lineRule="exact"/>
        <w:rPr>
          <w:rFonts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四、绩效评价指标分析</w:t>
      </w:r>
    </w:p>
    <w:p>
      <w:pPr>
        <w:spacing w:line="600" w:lineRule="exact"/>
        <w:ind w:firstLine="640" w:firstLineChars="200"/>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（一）项目决策情况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U8村级记账</w:t>
      </w:r>
      <w:bookmarkStart w:id="0" w:name="_GoBack"/>
      <w:bookmarkEnd w:id="0"/>
      <w:r>
        <w:rPr>
          <w:rFonts w:hint="eastAsia" w:ascii="仿宋_GB2312" w:hAnsi="仿宋_GB2312" w:eastAsia="仿宋_GB2312" w:cs="仿宋_GB2312"/>
          <w:sz w:val="32"/>
          <w:szCs w:val="32"/>
        </w:rPr>
        <w:t>系统的稳定运行是朝阳区各乡经管站、各村集体会计核算日常管理工作的重要保障，因此我单位委托原系统开发方北京用友政务软件有限公司对朝阳区村级记账系统进行年度运行维护，确保村级记账系统安全平稳运行。</w:t>
      </w:r>
    </w:p>
    <w:p>
      <w:pPr>
        <w:numPr>
          <w:ilvl w:val="0"/>
          <w:numId w:val="3"/>
        </w:numPr>
        <w:spacing w:line="600" w:lineRule="exact"/>
        <w:ind w:firstLine="640" w:firstLineChars="200"/>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项目过程情况。</w:t>
      </w:r>
    </w:p>
    <w:p>
      <w:pPr>
        <w:spacing w:line="600" w:lineRule="exact"/>
        <w:outlineLvl w:val="0"/>
        <w:rPr>
          <w:rFonts w:ascii="仿宋_GB2312" w:hAnsi="仿宋_GB2312" w:eastAsia="仿宋_GB2312" w:cs="仿宋_GB2312"/>
          <w:sz w:val="32"/>
          <w:szCs w:val="32"/>
        </w:rPr>
      </w:pPr>
      <w:r>
        <w:rPr>
          <w:rFonts w:hint="eastAsia" w:ascii="楷体_GB2312" w:hAnsi="楷体_GB2312" w:eastAsia="楷体_GB2312" w:cs="楷体_GB2312"/>
          <w:sz w:val="32"/>
          <w:szCs w:val="32"/>
        </w:rPr>
        <w:t xml:space="preserve">    </w:t>
      </w:r>
      <w:r>
        <w:rPr>
          <w:rFonts w:hint="eastAsia" w:ascii="仿宋_GB2312" w:hAnsi="仿宋_GB2312" w:eastAsia="仿宋_GB2312" w:cs="仿宋_GB2312"/>
          <w:sz w:val="32"/>
          <w:szCs w:val="32"/>
        </w:rPr>
        <w:t>2023年1月，我单位与北京用友政务软件有限公司签订2023年度运维服务合同。合同中规定双方权利义务，明确该公司需提供的年度运维服务内容及验收标准等。在1年的服务时间内，该公司每日进行系统日志清理，每周对服务器和村级记账系统进行全面漏洞扫描，发现漏洞及时修复；每周对服务器和村级记账系统进行病毒查杀；每月对系统数据进行备份；每季度进行一次现场巡检；遇到紧急情况时2小时内作出应急响应，4小时内报告进展情况。服务期结束后提供了本年度系统运维情况工作报告，结合实际服务完成情况，开展了项目验收。</w:t>
      </w:r>
    </w:p>
    <w:p>
      <w:pPr>
        <w:numPr>
          <w:ilvl w:val="0"/>
          <w:numId w:val="3"/>
        </w:numPr>
        <w:spacing w:line="600" w:lineRule="exact"/>
        <w:ind w:firstLine="640" w:firstLineChars="200"/>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项目产出情况。</w:t>
      </w:r>
    </w:p>
    <w:p>
      <w:pPr>
        <w:spacing w:line="600" w:lineRule="exact"/>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2023年度</w:t>
      </w:r>
      <w:r>
        <w:rPr>
          <w:rFonts w:hint="eastAsia" w:ascii="仿宋_GB2312" w:hAnsi="仿宋_GB2312" w:eastAsia="仿宋_GB2312" w:cs="仿宋_GB2312"/>
          <w:sz w:val="32"/>
          <w:szCs w:val="32"/>
        </w:rPr>
        <w:t>朝阳区村级记账系统年度运维项目开展周期为12个月，根据服务内容主要生成了三个项目成果，包括系统日常运维服务、系统故障处理和辅助项目管理，形成了《事件问题汇总表》，包括处理约19类1148多次问题，以及《用户权限变更表》，处理了156次用户变更。系统维护用户包括朝阳区各乡经管站、各村会计核算单位共176户。系统维护质量高，响应及时，系统故障率控制在10%以下。</w:t>
      </w:r>
    </w:p>
    <w:p>
      <w:pPr>
        <w:numPr>
          <w:ilvl w:val="0"/>
          <w:numId w:val="3"/>
        </w:numPr>
        <w:spacing w:line="600" w:lineRule="exact"/>
        <w:ind w:firstLine="640" w:firstLineChars="200"/>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项目效益情况。</w:t>
      </w:r>
    </w:p>
    <w:p>
      <w:pPr>
        <w:spacing w:line="600" w:lineRule="exact"/>
        <w:outlineLvl w:val="0"/>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2023年度</w:t>
      </w:r>
      <w:r>
        <w:rPr>
          <w:rFonts w:hint="eastAsia" w:ascii="仿宋_GB2312" w:hAnsi="仿宋_GB2312" w:eastAsia="仿宋_GB2312" w:cs="仿宋_GB2312"/>
          <w:sz w:val="32"/>
          <w:szCs w:val="32"/>
        </w:rPr>
        <w:t>朝阳区村级记账系统年度运维项目具有可持续影响力，有效促进U8村级记账系统的稳定运行，较高的完成了预期目标，保障了朝阳区各乡经管站和各个村集体会计核算日常管理工作的正常运行，对</w:t>
      </w:r>
      <w:r>
        <w:rPr>
          <w:rFonts w:hint="eastAsia" w:eastAsia="仿宋_GB2312"/>
          <w:sz w:val="32"/>
          <w:szCs w:val="32"/>
        </w:rPr>
        <w:t>规范农村集体资金管理</w:t>
      </w:r>
      <w:r>
        <w:rPr>
          <w:rFonts w:hint="eastAsia" w:ascii="仿宋_GB2312" w:hAnsi="仿宋_GB2312" w:eastAsia="仿宋_GB2312" w:cs="仿宋_GB2312"/>
          <w:sz w:val="32"/>
          <w:szCs w:val="32"/>
        </w:rPr>
        <w:t>、促进高质量发展具有重要意义。</w:t>
      </w:r>
    </w:p>
    <w:p>
      <w:pPr>
        <w:numPr>
          <w:ilvl w:val="0"/>
          <w:numId w:val="4"/>
        </w:num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主要经验及做法、存在的问题及原因分析</w:t>
      </w:r>
    </w:p>
    <w:p>
      <w:pPr>
        <w:spacing w:line="600" w:lineRule="exact"/>
        <w:rPr>
          <w:rFonts w:ascii="黑体" w:hAnsi="黑体" w:eastAsia="黑体" w:cs="黑体"/>
          <w:sz w:val="32"/>
          <w:szCs w:val="32"/>
        </w:rPr>
      </w:pPr>
      <w:r>
        <w:rPr>
          <w:rFonts w:hint="eastAsia" w:ascii="黑体" w:hAnsi="黑体" w:eastAsia="黑体" w:cs="黑体"/>
          <w:sz w:val="32"/>
          <w:szCs w:val="32"/>
        </w:rPr>
        <w:t xml:space="preserve">    </w:t>
      </w:r>
      <w:r>
        <w:rPr>
          <w:rFonts w:hint="eastAsia" w:ascii="楷体_GB2312" w:hAnsi="楷体_GB2312" w:eastAsia="楷体_GB2312" w:cs="楷体_GB2312"/>
          <w:sz w:val="32"/>
          <w:szCs w:val="32"/>
        </w:rPr>
        <w:t>2023年度</w:t>
      </w:r>
      <w:r>
        <w:rPr>
          <w:rFonts w:hint="eastAsia" w:ascii="仿宋_GB2312" w:hAnsi="仿宋_GB2312" w:eastAsia="仿宋_GB2312" w:cs="仿宋_GB2312"/>
          <w:sz w:val="32"/>
          <w:szCs w:val="32"/>
        </w:rPr>
        <w:t>朝阳区村级记账系统年度运维项目的顺利开展提示了三点经验。一是科学设定项目绩效评价指标。遵循相关性、重要性、系统性原则，结合实际情况，科学设定绩效评价的相关指标和评价方法。二是明确项目内容。本单位与北京用友政务软件有限公司签订的协议中明确具体的阐述了U8村级记账系统运维服务的内容，包括交付流程、交付标准、质量要求等，责任到人，保证了项目的顺利开展，为绩效自评提供依据。三是绩效自评打分时客观公正。结合项目完成实际情况、各乡反馈以及验收报告等材料，全部工作成果细化量化，对项目进行客观公正的绩效自评打分，结合打分情况对项目实施进行复盘，总结经验。</w:t>
      </w:r>
    </w:p>
    <w:p>
      <w:pPr>
        <w:numPr>
          <w:ilvl w:val="0"/>
          <w:numId w:val="4"/>
        </w:num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有关建议</w:t>
      </w:r>
    </w:p>
    <w:p>
      <w:pPr>
        <w:spacing w:line="600" w:lineRule="exact"/>
        <w:rPr>
          <w:rFonts w:ascii="黑体" w:hAnsi="黑体" w:eastAsia="黑体" w:cs="黑体"/>
          <w:sz w:val="32"/>
          <w:szCs w:val="32"/>
        </w:rPr>
      </w:pPr>
      <w:r>
        <w:rPr>
          <w:rFonts w:hint="eastAsia" w:ascii="黑体" w:hAnsi="黑体" w:eastAsia="黑体" w:cs="黑体"/>
          <w:sz w:val="32"/>
          <w:szCs w:val="32"/>
        </w:rPr>
        <w:t xml:space="preserve">   </w:t>
      </w:r>
      <w:r>
        <w:rPr>
          <w:rFonts w:hint="eastAsia" w:ascii="仿宋_GB2312" w:hAnsi="仿宋_GB2312" w:eastAsia="仿宋_GB2312" w:cs="仿宋_GB2312"/>
          <w:sz w:val="32"/>
          <w:szCs w:val="32"/>
        </w:rPr>
        <w:t xml:space="preserve"> 无。</w:t>
      </w:r>
    </w:p>
    <w:p>
      <w:pPr>
        <w:numPr>
          <w:ilvl w:val="0"/>
          <w:numId w:val="4"/>
        </w:num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其他需要说明的问题</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600" w:lineRule="exact"/>
        <w:ind w:firstLine="640"/>
        <w:rPr>
          <w:rFonts w:hint="eastAsia" w:ascii="仿宋_GB2312" w:hAnsi="仿宋_GB2312" w:eastAsia="仿宋_GB2312" w:cs="仿宋_GB2312"/>
          <w:sz w:val="32"/>
          <w:szCs w:val="32"/>
        </w:rPr>
      </w:pPr>
    </w:p>
    <w:p>
      <w:pPr>
        <w:spacing w:line="600" w:lineRule="exact"/>
        <w:ind w:firstLine="640"/>
        <w:jc w:val="righ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北京市朝阳区农村合作经济经营管理站</w:t>
      </w:r>
    </w:p>
    <w:p>
      <w:pPr>
        <w:spacing w:line="600" w:lineRule="exac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2024年3月20日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0"/>
    <w:family w:val="roman"/>
    <w:pitch w:val="default"/>
    <w:sig w:usb0="00007A87" w:usb1="80000000" w:usb2="00000008" w:usb3="00000000" w:csb0="400001FF" w:csb1="FFFF0000"/>
  </w:font>
  <w:font w:name="黑体">
    <w:panose1 w:val="02010600030101010101"/>
    <w:charset w:val="86"/>
    <w:family w:val="decorative"/>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sz w:val="20"/>
                            </w:rPr>
                            <w:fldChar w:fldCharType="begin"/>
                          </w:r>
                          <w:r>
                            <w:rPr>
                              <w:sz w:val="20"/>
                            </w:rPr>
                            <w:instrText xml:space="preserve">PAGE   \* MERGEFORMAT</w:instrText>
                          </w:r>
                          <w:r>
                            <w:rPr>
                              <w:sz w:val="20"/>
                            </w:rPr>
                            <w:fldChar w:fldCharType="separate"/>
                          </w:r>
                          <w:r>
                            <w:rPr>
                              <w:sz w:val="20"/>
                              <w:lang w:val="zh-CN"/>
                            </w:rPr>
                            <w:t>8</w:t>
                          </w:r>
                          <w:r>
                            <w:rPr>
                              <w:sz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jc w:val="right"/>
                    </w:pPr>
                    <w:r>
                      <w:rPr>
                        <w:sz w:val="20"/>
                      </w:rPr>
                      <w:fldChar w:fldCharType="begin"/>
                    </w:r>
                    <w:r>
                      <w:rPr>
                        <w:sz w:val="20"/>
                      </w:rPr>
                      <w:instrText xml:space="preserve">PAGE   \* MERGEFORMAT</w:instrText>
                    </w:r>
                    <w:r>
                      <w:rPr>
                        <w:sz w:val="20"/>
                      </w:rPr>
                      <w:fldChar w:fldCharType="separate"/>
                    </w:r>
                    <w:r>
                      <w:rPr>
                        <w:sz w:val="20"/>
                        <w:lang w:val="zh-CN"/>
                      </w:rPr>
                      <w:t>8</w:t>
                    </w:r>
                    <w:r>
                      <w:rPr>
                        <w:sz w:val="2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10822331">
    <w:nsid w:val="65F913BB"/>
    <w:multiLevelType w:val="singleLevel"/>
    <w:tmpl w:val="65F913BB"/>
    <w:lvl w:ilvl="0" w:tentative="1">
      <w:start w:val="2"/>
      <w:numFmt w:val="chineseCounting"/>
      <w:suff w:val="nothing"/>
      <w:lvlText w:val="（%1）"/>
      <w:lvlJc w:val="left"/>
    </w:lvl>
  </w:abstractNum>
  <w:abstractNum w:abstractNumId="1710844408">
    <w:nsid w:val="65F969F8"/>
    <w:multiLevelType w:val="singleLevel"/>
    <w:tmpl w:val="65F969F8"/>
    <w:lvl w:ilvl="0" w:tentative="1">
      <w:start w:val="5"/>
      <w:numFmt w:val="chineseCounting"/>
      <w:suff w:val="nothing"/>
      <w:lvlText w:val="%1、"/>
      <w:lvlJc w:val="left"/>
    </w:lvl>
  </w:abstractNum>
  <w:abstractNum w:abstractNumId="1710842053">
    <w:nsid w:val="65F960C5"/>
    <w:multiLevelType w:val="singleLevel"/>
    <w:tmpl w:val="65F960C5"/>
    <w:lvl w:ilvl="0" w:tentative="1">
      <w:start w:val="2"/>
      <w:numFmt w:val="chineseCounting"/>
      <w:suff w:val="nothing"/>
      <w:lvlText w:val="（%1）"/>
      <w:lvlJc w:val="left"/>
    </w:lvl>
  </w:abstractNum>
  <w:abstractNum w:abstractNumId="1710750313">
    <w:nsid w:val="65F7FA69"/>
    <w:multiLevelType w:val="singleLevel"/>
    <w:tmpl w:val="65F7FA69"/>
    <w:lvl w:ilvl="0" w:tentative="1">
      <w:start w:val="1"/>
      <w:numFmt w:val="chineseCounting"/>
      <w:suff w:val="nothing"/>
      <w:lvlText w:val="%1、"/>
      <w:lvlJc w:val="left"/>
    </w:lvl>
  </w:abstractNum>
  <w:num w:numId="1">
    <w:abstractNumId w:val="1710750313"/>
  </w:num>
  <w:num w:numId="2">
    <w:abstractNumId w:val="1710822331"/>
  </w:num>
  <w:num w:numId="3">
    <w:abstractNumId w:val="1710842053"/>
  </w:num>
  <w:num w:numId="4">
    <w:abstractNumId w:val="17108444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0A27AF"/>
    <w:rsid w:val="00161C76"/>
    <w:rsid w:val="004045BC"/>
    <w:rsid w:val="005678A8"/>
    <w:rsid w:val="007E0055"/>
    <w:rsid w:val="00880B3C"/>
    <w:rsid w:val="008F5DD7"/>
    <w:rsid w:val="00A42746"/>
    <w:rsid w:val="00A739DD"/>
    <w:rsid w:val="00B40A65"/>
    <w:rsid w:val="00B60FF5"/>
    <w:rsid w:val="00BB3BDA"/>
    <w:rsid w:val="00D33560"/>
    <w:rsid w:val="00DD17A6"/>
    <w:rsid w:val="00DF4DB1"/>
    <w:rsid w:val="00F84B2A"/>
    <w:rsid w:val="0D2072BE"/>
    <w:rsid w:val="1D7D6F8A"/>
    <w:rsid w:val="257F5962"/>
    <w:rsid w:val="2C154FA3"/>
    <w:rsid w:val="37173543"/>
    <w:rsid w:val="3FF76880"/>
    <w:rsid w:val="43371476"/>
    <w:rsid w:val="43744EF9"/>
    <w:rsid w:val="4CF37BED"/>
    <w:rsid w:val="50290C58"/>
    <w:rsid w:val="5C073259"/>
    <w:rsid w:val="71AE6998"/>
    <w:rsid w:val="73BD6240"/>
    <w:rsid w:val="79A304E1"/>
    <w:rsid w:val="7AB7FF50"/>
    <w:rsid w:val="7AE44085"/>
    <w:rsid w:val="7BFEB0DB"/>
    <w:rsid w:val="CEFD3F3D"/>
    <w:rsid w:val="EA3F77F2"/>
    <w:rsid w:val="EEFE5989"/>
    <w:rsid w:val="EFCF3EAE"/>
    <w:rsid w:val="F5B764A2"/>
    <w:rsid w:val="F77F09F4"/>
    <w:rsid w:val="FFD7BFFC"/>
    <w:rsid w:val="FFFA6B0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 w:type="character" w:customStyle="1" w:styleId="8">
    <w:name w:val="font01"/>
    <w:basedOn w:val="5"/>
    <w:qFormat/>
    <w:uiPriority w:val="0"/>
    <w:rPr>
      <w:rFonts w:hint="eastAsia" w:ascii="宋体" w:hAnsi="宋体" w:eastAsia="宋体" w:cs="宋体"/>
      <w:b/>
      <w:color w:val="000000"/>
      <w:sz w:val="18"/>
      <w:szCs w:val="18"/>
      <w:u w:val="none"/>
    </w:rPr>
  </w:style>
  <w:style w:type="character" w:customStyle="1" w:styleId="9">
    <w:name w:val="font31"/>
    <w:basedOn w:val="5"/>
    <w:qFormat/>
    <w:uiPriority w:val="0"/>
    <w:rPr>
      <w:rFonts w:hint="default" w:ascii="Times New Roman" w:hAnsi="Times New Roman" w:cs="Times New Roman"/>
      <w:b/>
      <w:color w:val="000000"/>
      <w:sz w:val="18"/>
      <w:szCs w:val="18"/>
      <w:u w:val="none"/>
    </w:rPr>
  </w:style>
  <w:style w:type="character" w:customStyle="1" w:styleId="10">
    <w:name w:val="font91"/>
    <w:basedOn w:val="5"/>
    <w:qFormat/>
    <w:uiPriority w:val="0"/>
    <w:rPr>
      <w:rFonts w:hint="eastAsia" w:ascii="宋体" w:hAnsi="宋体" w:eastAsia="宋体" w:cs="宋体"/>
      <w:b/>
      <w:color w:val="000000"/>
      <w:sz w:val="18"/>
      <w:szCs w:val="18"/>
      <w:u w:val="none"/>
    </w:rPr>
  </w:style>
  <w:style w:type="character" w:customStyle="1" w:styleId="11">
    <w:name w:val="font61"/>
    <w:basedOn w:val="5"/>
    <w:qFormat/>
    <w:uiPriority w:val="0"/>
    <w:rPr>
      <w:rFonts w:hint="default" w:ascii="Times New Roman" w:hAnsi="Times New Roman" w:cs="Times New Roman"/>
      <w:b/>
      <w:color w:val="000000"/>
      <w:sz w:val="18"/>
      <w:szCs w:val="18"/>
      <w:u w:val="none"/>
    </w:rPr>
  </w:style>
  <w:style w:type="character" w:customStyle="1" w:styleId="12">
    <w:name w:val="font71"/>
    <w:basedOn w:val="5"/>
    <w:qFormat/>
    <w:uiPriority w:val="0"/>
    <w:rPr>
      <w:rFonts w:hint="eastAsia" w:ascii="宋体" w:hAnsi="宋体" w:eastAsia="宋体" w:cs="宋体"/>
      <w:color w:val="000000"/>
      <w:sz w:val="18"/>
      <w:szCs w:val="18"/>
      <w:u w:val="none"/>
    </w:rPr>
  </w:style>
  <w:style w:type="character" w:customStyle="1" w:styleId="13">
    <w:name w:val="font81"/>
    <w:basedOn w:val="5"/>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586</Words>
  <Characters>3343</Characters>
  <Lines>27</Lines>
  <Paragraphs>7</Paragraphs>
  <ScaleCrop>false</ScaleCrop>
  <LinksUpToDate>false</LinksUpToDate>
  <CharactersWithSpaces>3922</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2024-03-20T02:11:00Z</dcterms:created>
  <dc:creator>user</dc:creator>
  <cp:lastModifiedBy>Lenovo</cp:lastModifiedBy>
  <cp:lastPrinted>2024-03-20T03:14:00Z</cp:lastPrinted>
  <dcterms:modified xsi:type="dcterms:W3CDTF">2024-03-20T07:43:34Z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