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eastAsia="仿宋_GB2312"/>
          <w:b w:val="0"/>
          <w:sz w:val="32"/>
          <w:szCs w:val="32"/>
        </w:rPr>
      </w:pPr>
      <w:r>
        <w:rPr>
          <w:rFonts w:eastAsia="仿宋_GB2312"/>
          <w:b w:val="0"/>
          <w:sz w:val="32"/>
          <w:szCs w:val="32"/>
        </w:rPr>
        <w:t>附件1</w:t>
      </w:r>
    </w:p>
    <w:tbl>
      <w:tblPr>
        <w:tblStyle w:val="7"/>
        <w:tblW w:w="8928" w:type="dxa"/>
        <w:jc w:val="center"/>
        <w:tblInd w:w="0" w:type="dxa"/>
        <w:tblLayout w:type="fixed"/>
        <w:tblCellMar>
          <w:top w:w="0" w:type="dxa"/>
          <w:left w:w="108" w:type="dxa"/>
          <w:bottom w:w="0" w:type="dxa"/>
          <w:right w:w="108" w:type="dxa"/>
        </w:tblCellMar>
      </w:tblPr>
      <w:tblGrid>
        <w:gridCol w:w="578"/>
        <w:gridCol w:w="963"/>
        <w:gridCol w:w="1092"/>
        <w:gridCol w:w="718"/>
        <w:gridCol w:w="653"/>
        <w:gridCol w:w="461"/>
        <w:gridCol w:w="1118"/>
        <w:gridCol w:w="837"/>
        <w:gridCol w:w="277"/>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kern w:val="0"/>
                <w:sz w:val="22"/>
              </w:rPr>
            </w:pPr>
            <w:r>
              <w:rPr>
                <w:kern w:val="0"/>
                <w:sz w:val="22"/>
              </w:rPr>
              <w:t>（</w:t>
            </w:r>
            <w:r>
              <w:rPr>
                <w:rFonts w:hint="eastAsia"/>
                <w:kern w:val="0"/>
                <w:sz w:val="22"/>
              </w:rPr>
              <w:t>2021</w:t>
            </w:r>
            <w:r>
              <w:rPr>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2020永久基本农田生态补贴及管理费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朝阳区农业农村局</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朝阳区农业农村局</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朱建国</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010-65099271</w:t>
            </w:r>
          </w:p>
        </w:tc>
      </w:tr>
      <w:tr>
        <w:tblPrEx>
          <w:tblLayout w:type="fixed"/>
          <w:tblCellMar>
            <w:top w:w="0" w:type="dxa"/>
            <w:left w:w="108" w:type="dxa"/>
            <w:bottom w:w="0" w:type="dxa"/>
            <w:right w:w="108" w:type="dxa"/>
          </w:tblCellMar>
        </w:tblPrEx>
        <w:trPr>
          <w:trHeight w:val="505"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118"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rPr>
              <w:t>2234.556</w:t>
            </w:r>
          </w:p>
        </w:tc>
        <w:tc>
          <w:tcPr>
            <w:tcW w:w="11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rPr>
              <w:t>2234.556</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1472.818</w:t>
            </w:r>
          </w:p>
        </w:tc>
        <w:tc>
          <w:tcPr>
            <w:tcW w:w="696"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kern w:val="0"/>
                <w:sz w:val="18"/>
                <w:szCs w:val="18"/>
              </w:rPr>
            </w:pPr>
            <w:r>
              <w:rPr>
                <w:kern w:val="0"/>
                <w:sz w:val="18"/>
                <w:szCs w:val="18"/>
              </w:rPr>
              <w:t>10</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65.91%</w:t>
            </w:r>
          </w:p>
        </w:tc>
        <w:tc>
          <w:tcPr>
            <w:tcW w:w="69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rPr>
              <w:t>2234.556</w:t>
            </w:r>
          </w:p>
        </w:tc>
        <w:tc>
          <w:tcPr>
            <w:tcW w:w="11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rPr>
              <w:t>2234.556</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1472.818</w:t>
            </w:r>
          </w:p>
        </w:tc>
        <w:tc>
          <w:tcPr>
            <w:tcW w:w="696"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val="en-US" w:eastAsia="zh-CN"/>
              </w:rPr>
              <w:t>65.91%</w:t>
            </w:r>
          </w:p>
        </w:tc>
        <w:tc>
          <w:tcPr>
            <w:tcW w:w="69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11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696"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c>
          <w:tcPr>
            <w:tcW w:w="69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11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111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0</w:t>
            </w:r>
          </w:p>
        </w:tc>
        <w:tc>
          <w:tcPr>
            <w:tcW w:w="696"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c>
          <w:tcPr>
            <w:tcW w:w="69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Layout w:type="fixed"/>
          <w:tblCellMar>
            <w:top w:w="0" w:type="dxa"/>
            <w:left w:w="108" w:type="dxa"/>
            <w:bottom w:w="0" w:type="dxa"/>
            <w:right w:w="108" w:type="dxa"/>
          </w:tblCellMar>
        </w:tblPrEx>
        <w:trPr>
          <w:trHeight w:val="138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b w:val="0"/>
                <w:kern w:val="0"/>
                <w:sz w:val="18"/>
                <w:szCs w:val="18"/>
              </w:rPr>
            </w:pPr>
            <w:r>
              <w:rPr>
                <w:rFonts w:hint="eastAsia"/>
                <w:b w:val="0"/>
                <w:kern w:val="0"/>
                <w:sz w:val="18"/>
                <w:szCs w:val="18"/>
              </w:rPr>
              <w:t>按照《关于印发加强基本农田保护和监管工作的意见的通知》（朝政办发[2012]4号），落实区级集体土地永久基本农田生态补贴及管理费</w:t>
            </w:r>
            <w:r>
              <w:rPr>
                <w:rFonts w:hint="eastAsia"/>
                <w:b w:val="0"/>
                <w:kern w:val="0"/>
                <w:sz w:val="18"/>
                <w:szCs w:val="18"/>
                <w:lang w:eastAsia="zh-CN"/>
              </w:rPr>
              <w:t>，加强永久基本农田保护和监管。</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b w:val="0"/>
                <w:kern w:val="0"/>
                <w:sz w:val="18"/>
                <w:szCs w:val="18"/>
              </w:rPr>
            </w:pPr>
            <w:r>
              <w:rPr>
                <w:rFonts w:hint="eastAsia"/>
                <w:b w:val="0"/>
                <w:kern w:val="0"/>
                <w:sz w:val="18"/>
                <w:szCs w:val="18"/>
                <w:lang w:eastAsia="zh-CN"/>
              </w:rPr>
              <w:t>已</w:t>
            </w:r>
            <w:r>
              <w:rPr>
                <w:rFonts w:hint="eastAsia"/>
                <w:b w:val="0"/>
                <w:kern w:val="0"/>
                <w:sz w:val="18"/>
                <w:szCs w:val="18"/>
              </w:rPr>
              <w:t>按照《关于印发加强基本农田保护和监管工作的意见的通知》，落实区级集体土地永久基本农田生态补贴及管理费</w:t>
            </w:r>
            <w:r>
              <w:rPr>
                <w:rFonts w:hint="eastAsia"/>
                <w:b w:val="0"/>
                <w:kern w:val="0"/>
                <w:sz w:val="18"/>
                <w:szCs w:val="18"/>
                <w:lang w:eastAsia="zh-CN"/>
              </w:rPr>
              <w:t>，加强永久基本农田保护和监管。</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Layout w:type="fixed"/>
          <w:tblCellMar>
            <w:top w:w="0" w:type="dxa"/>
            <w:left w:w="108" w:type="dxa"/>
            <w:bottom w:w="0" w:type="dxa"/>
            <w:right w:w="108" w:type="dxa"/>
          </w:tblCellMar>
        </w:tblPrEx>
        <w:trPr>
          <w:trHeight w:val="163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rFonts w:hint="eastAsia"/>
                <w:color w:val="000000"/>
                <w:kern w:val="0"/>
                <w:sz w:val="18"/>
                <w:szCs w:val="18"/>
              </w:rPr>
              <w:t>资金补贴面积</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根据实测结果中集体永久基本农田中按政策需要补贴的面积</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已根据实测结果，按政策拨付补贴。</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10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rFonts w:hint="eastAsia"/>
                <w:color w:val="000000"/>
                <w:kern w:val="0"/>
                <w:sz w:val="18"/>
                <w:szCs w:val="18"/>
              </w:rPr>
              <w:t>资金补贴政策落实情况</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按照政策进行资金补贴发放</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已按政策拨付补贴。</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10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rFonts w:hint="eastAsia"/>
                <w:color w:val="000000"/>
                <w:kern w:val="0"/>
                <w:sz w:val="18"/>
                <w:szCs w:val="18"/>
              </w:rPr>
              <w:t>资金补贴完成时间</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2021年11月</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2021年6月完成资金拨付。</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14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kern w:val="0"/>
                <w:sz w:val="18"/>
                <w:szCs w:val="18"/>
              </w:rPr>
            </w:pPr>
            <w:r>
              <w:rPr>
                <w:rFonts w:hint="eastAsia"/>
                <w:color w:val="000000"/>
                <w:kern w:val="0"/>
                <w:sz w:val="18"/>
                <w:szCs w:val="18"/>
              </w:rPr>
              <w:t>需拨付补贴资金</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根据实测结果中集体永久基本农田中按政策需要补贴的面积进行补贴资金测算</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已根据实测结果，按政策拨付补贴。</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87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kern w:val="0"/>
                <w:sz w:val="18"/>
                <w:szCs w:val="18"/>
              </w:rPr>
            </w:pPr>
            <w:r>
              <w:rPr>
                <w:rFonts w:hint="eastAsia"/>
                <w:color w:val="000000"/>
                <w:kern w:val="0"/>
                <w:sz w:val="18"/>
                <w:szCs w:val="18"/>
                <w:lang w:eastAsia="zh-CN"/>
              </w:rPr>
              <w:t>社会效益</w:t>
            </w:r>
          </w:p>
        </w:tc>
        <w:tc>
          <w:tcPr>
            <w:tcW w:w="157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加强我区永久基本农田保护</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加强我区农田保护。</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11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kern w:val="0"/>
                <w:sz w:val="18"/>
                <w:szCs w:val="18"/>
              </w:rPr>
            </w:pPr>
            <w:r>
              <w:rPr>
                <w:rFonts w:hint="eastAsia"/>
                <w:color w:val="000000"/>
                <w:kern w:val="0"/>
                <w:sz w:val="18"/>
                <w:szCs w:val="18"/>
              </w:rPr>
              <w:t>永久基本农田使用及监管者满意度</w:t>
            </w:r>
          </w:p>
        </w:tc>
        <w:tc>
          <w:tcPr>
            <w:tcW w:w="15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90%</w:t>
            </w:r>
          </w:p>
        </w:tc>
        <w:tc>
          <w:tcPr>
            <w:tcW w:w="83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90%以上</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b w:val="0"/>
                <w:kern w:val="0"/>
                <w:sz w:val="18"/>
                <w:szCs w:val="18"/>
              </w:rPr>
            </w:pPr>
            <w:r>
              <w:rPr>
                <w:rFonts w:hint="eastAsia"/>
                <w:b w:val="0"/>
                <w:kern w:val="0"/>
                <w:sz w:val="18"/>
                <w:szCs w:val="18"/>
                <w:lang w:eastAsia="zh-CN"/>
              </w:rPr>
              <w:t>—</w:t>
            </w: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color w:val="000000"/>
                <w:kern w:val="0"/>
                <w:sz w:val="18"/>
                <w:szCs w:val="18"/>
                <w:lang w:val="en-US" w:eastAsia="zh-CN"/>
              </w:rPr>
            </w:pPr>
            <w:r>
              <w:rPr>
                <w:rFonts w:hint="eastAsia"/>
                <w:b w:val="0"/>
                <w:color w:val="000000"/>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ascii="宋体" w:hAnsi="宋体"/>
          <w:sz w:val="24"/>
          <w:szCs w:val="32"/>
        </w:rPr>
      </w:pPr>
      <w:r>
        <w:rPr>
          <w:rFonts w:ascii="宋体" w:hAnsi="宋体"/>
          <w:sz w:val="24"/>
          <w:szCs w:val="32"/>
        </w:rPr>
        <w:t>填表人：</w:t>
      </w:r>
      <w:r>
        <w:rPr>
          <w:rFonts w:hint="eastAsia" w:ascii="宋体" w:hAnsi="宋体"/>
          <w:sz w:val="24"/>
          <w:szCs w:val="32"/>
          <w:lang w:eastAsia="zh-CN"/>
        </w:rPr>
        <w:t>梁湟琴</w:t>
      </w:r>
      <w:r>
        <w:rPr>
          <w:rFonts w:ascii="宋体" w:hAnsi="宋体"/>
          <w:sz w:val="24"/>
          <w:szCs w:val="32"/>
        </w:rPr>
        <w:t xml:space="preserve">  </w:t>
      </w:r>
      <w:r>
        <w:rPr>
          <w:rFonts w:hint="eastAsia" w:ascii="宋体" w:hAnsi="宋体"/>
          <w:sz w:val="24"/>
          <w:szCs w:val="32"/>
        </w:rPr>
        <w:t xml:space="preserve">    </w:t>
      </w:r>
      <w:r>
        <w:rPr>
          <w:rFonts w:hint="eastAsia" w:ascii="宋体" w:hAnsi="宋体"/>
          <w:sz w:val="24"/>
          <w:szCs w:val="32"/>
          <w:lang w:val="en-US" w:eastAsia="zh-CN"/>
        </w:rPr>
        <w:t xml:space="preserve">  </w:t>
      </w:r>
      <w:r>
        <w:rPr>
          <w:rFonts w:ascii="宋体" w:hAnsi="宋体"/>
          <w:sz w:val="24"/>
          <w:szCs w:val="32"/>
        </w:rPr>
        <w:t>联系电话：</w:t>
      </w:r>
      <w:r>
        <w:rPr>
          <w:rFonts w:hint="eastAsia" w:ascii="宋体" w:hAnsi="宋体"/>
          <w:sz w:val="24"/>
          <w:szCs w:val="32"/>
          <w:lang w:val="en-US" w:eastAsia="zh-CN"/>
        </w:rPr>
        <w:t>65090204</w:t>
      </w:r>
      <w:r>
        <w:rPr>
          <w:rFonts w:hint="eastAsia" w:ascii="宋体" w:hAnsi="宋体"/>
          <w:sz w:val="24"/>
          <w:szCs w:val="32"/>
        </w:rPr>
        <w:t xml:space="preserve">     </w:t>
      </w:r>
      <w:r>
        <w:rPr>
          <w:rFonts w:hint="eastAsia" w:ascii="宋体" w:hAnsi="宋体"/>
          <w:sz w:val="24"/>
          <w:szCs w:val="32"/>
          <w:lang w:val="en-US" w:eastAsia="zh-CN"/>
        </w:rPr>
        <w:t xml:space="preserve">  </w:t>
      </w:r>
      <w:r>
        <w:rPr>
          <w:rFonts w:ascii="宋体" w:hAnsi="宋体"/>
          <w:sz w:val="24"/>
          <w:szCs w:val="32"/>
        </w:rPr>
        <w:t>填写日期：</w:t>
      </w:r>
      <w:r>
        <w:rPr>
          <w:rFonts w:hint="eastAsia" w:ascii="宋体" w:hAnsi="宋体"/>
          <w:sz w:val="24"/>
          <w:szCs w:val="32"/>
          <w:lang w:val="en-US" w:eastAsia="zh-CN"/>
        </w:rPr>
        <w:t>2022.1.13</w:t>
      </w:r>
    </w:p>
    <w:p>
      <w:pPr>
        <w:widowControl/>
        <w:spacing w:line="360" w:lineRule="auto"/>
        <w:ind w:firstLine="241" w:firstLineChars="100"/>
        <w:jc w:val="left"/>
        <w:rPr>
          <w:rFonts w:ascii="宋体" w:hAnsi="宋体"/>
          <w:sz w:val="24"/>
          <w:szCs w:val="32"/>
        </w:rPr>
      </w:pPr>
      <w:r>
        <w:rPr>
          <w:rFonts w:hint="eastAsia" w:ascii="宋体" w:hAnsi="宋体"/>
          <w:sz w:val="24"/>
          <w:szCs w:val="32"/>
        </w:rPr>
        <w:t>填表注意事项：</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该表总分共计100分，其中预算执行率为10分，绩效指标部分为90分；</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预期指标情况要严格按照年初或项目追加时的绩效目标填报，不得随意调整；</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单位自评采用定量和定性评价相结合的比较法,总分由各项指标得分</w:t>
      </w:r>
      <w:bookmarkStart w:id="0" w:name="_GoBack"/>
      <w:bookmarkEnd w:id="0"/>
      <w:r>
        <w:rPr>
          <w:rFonts w:hint="eastAsia" w:ascii="宋体" w:hAnsi="宋体"/>
          <w:b w:val="0"/>
          <w:bCs w:val="0"/>
          <w:sz w:val="24"/>
          <w:szCs w:val="32"/>
        </w:rPr>
        <w:t>汇总形成。</w:t>
      </w:r>
    </w:p>
    <w:p>
      <w:pPr>
        <w:widowControl/>
        <w:spacing w:line="360" w:lineRule="auto"/>
        <w:ind w:firstLine="480" w:firstLineChars="200"/>
        <w:jc w:val="left"/>
        <w:rPr>
          <w:rFonts w:ascii="宋体" w:hAnsi="宋体"/>
          <w:b w:val="0"/>
          <w:bCs w:val="0"/>
          <w:sz w:val="24"/>
          <w:szCs w:val="32"/>
        </w:rPr>
      </w:pPr>
      <w:r>
        <w:rPr>
          <w:rFonts w:hint="eastAsia" w:ascii="宋体" w:hAnsi="宋体"/>
          <w:b w:val="0"/>
          <w:bCs w:val="0"/>
          <w:sz w:val="24"/>
          <w:szCs w:val="32"/>
        </w:rPr>
        <w:t>定量指标得分按照以下方法评定：与年初指标值相比，完成指标值的，记该指标所赋全部分值；如果是由于年初指标值设定明显偏低造成的，要按照偏离度适度调减分值；未完成指标值的，按照完成值在指标值中所占比例记分。</w:t>
      </w:r>
    </w:p>
    <w:p>
      <w:pPr>
        <w:widowControl/>
        <w:spacing w:line="360" w:lineRule="auto"/>
        <w:ind w:firstLine="480" w:firstLineChars="200"/>
        <w:jc w:val="left"/>
        <w:rPr>
          <w:rFonts w:ascii="宋体" w:hAnsi="宋体"/>
          <w:b w:val="0"/>
          <w:bCs w:val="0"/>
          <w:sz w:val="24"/>
          <w:szCs w:val="32"/>
        </w:rPr>
      </w:pPr>
      <w:r>
        <w:rPr>
          <w:rFonts w:hint="eastAsia" w:ascii="宋体" w:hAnsi="宋体"/>
          <w:b w:val="0"/>
          <w:bCs w:val="0"/>
          <w:sz w:val="24"/>
          <w:szCs w:val="32"/>
        </w:rPr>
        <w:t>定性指标得分按照以下方法评定：根据指标完成情况分为达成年度指标、部分达成年度指标且有一定效果、未达成年度指标且效果较差3档，分别按照该指标对应分值区间100%-80%（含80%）、80-60%（含60%）、60%-0%合理确定分值。各项绩效指标得分汇总成该项目自评的总分。</w:t>
      </w:r>
    </w:p>
    <w:p>
      <w:pPr>
        <w:rPr>
          <w:rFonts w:eastAsia="仿宋_GB2312"/>
          <w:b w:val="0"/>
          <w:sz w:val="32"/>
          <w:szCs w:val="32"/>
        </w:rPr>
      </w:pPr>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3FAEA"/>
    <w:multiLevelType w:val="singleLevel"/>
    <w:tmpl w:val="61D3FA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776"/>
    <w:rsid w:val="00001B5D"/>
    <w:rsid w:val="00015052"/>
    <w:rsid w:val="00031CEE"/>
    <w:rsid w:val="00057190"/>
    <w:rsid w:val="00080BB1"/>
    <w:rsid w:val="0008562A"/>
    <w:rsid w:val="00086F72"/>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93E47"/>
    <w:rsid w:val="003A56F5"/>
    <w:rsid w:val="003B3305"/>
    <w:rsid w:val="003B7516"/>
    <w:rsid w:val="003D0D38"/>
    <w:rsid w:val="003F2606"/>
    <w:rsid w:val="00427CFF"/>
    <w:rsid w:val="004343B0"/>
    <w:rsid w:val="00462ED5"/>
    <w:rsid w:val="00492123"/>
    <w:rsid w:val="00492568"/>
    <w:rsid w:val="004C6CC2"/>
    <w:rsid w:val="004E131E"/>
    <w:rsid w:val="004E26A7"/>
    <w:rsid w:val="004E7C1C"/>
    <w:rsid w:val="00522946"/>
    <w:rsid w:val="00525DE4"/>
    <w:rsid w:val="005400B0"/>
    <w:rsid w:val="00541040"/>
    <w:rsid w:val="005525D9"/>
    <w:rsid w:val="00557B43"/>
    <w:rsid w:val="00563D78"/>
    <w:rsid w:val="00567FD5"/>
    <w:rsid w:val="00595CAE"/>
    <w:rsid w:val="005C6773"/>
    <w:rsid w:val="005D0885"/>
    <w:rsid w:val="005D59CE"/>
    <w:rsid w:val="00627AF6"/>
    <w:rsid w:val="00653120"/>
    <w:rsid w:val="006721BB"/>
    <w:rsid w:val="0067443B"/>
    <w:rsid w:val="00676E0B"/>
    <w:rsid w:val="006C6289"/>
    <w:rsid w:val="006C7A52"/>
    <w:rsid w:val="007033FE"/>
    <w:rsid w:val="00751683"/>
    <w:rsid w:val="00763132"/>
    <w:rsid w:val="007668EF"/>
    <w:rsid w:val="00795620"/>
    <w:rsid w:val="007B6FEF"/>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C7A17"/>
    <w:rsid w:val="008D17FF"/>
    <w:rsid w:val="008D246E"/>
    <w:rsid w:val="008D4A6A"/>
    <w:rsid w:val="008E3A64"/>
    <w:rsid w:val="00903B4C"/>
    <w:rsid w:val="00920C7B"/>
    <w:rsid w:val="00931776"/>
    <w:rsid w:val="00940DE9"/>
    <w:rsid w:val="00942504"/>
    <w:rsid w:val="0095165C"/>
    <w:rsid w:val="00954082"/>
    <w:rsid w:val="00960611"/>
    <w:rsid w:val="00990E1C"/>
    <w:rsid w:val="00994DE8"/>
    <w:rsid w:val="009A65F2"/>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2F04"/>
    <w:rsid w:val="00C86B6D"/>
    <w:rsid w:val="00C92503"/>
    <w:rsid w:val="00C94E71"/>
    <w:rsid w:val="00CD6026"/>
    <w:rsid w:val="00CF6D7B"/>
    <w:rsid w:val="00D0072D"/>
    <w:rsid w:val="00D242B6"/>
    <w:rsid w:val="00D470BD"/>
    <w:rsid w:val="00D50FB7"/>
    <w:rsid w:val="00D63F94"/>
    <w:rsid w:val="00D8204C"/>
    <w:rsid w:val="00DA2B2E"/>
    <w:rsid w:val="00DB17E4"/>
    <w:rsid w:val="00DE5F9B"/>
    <w:rsid w:val="00E15B86"/>
    <w:rsid w:val="00E63A10"/>
    <w:rsid w:val="00E821B8"/>
    <w:rsid w:val="00EA2619"/>
    <w:rsid w:val="00EC6FB7"/>
    <w:rsid w:val="00EE2A07"/>
    <w:rsid w:val="00EF5211"/>
    <w:rsid w:val="00F74CFE"/>
    <w:rsid w:val="00F849D5"/>
    <w:rsid w:val="00FA72DB"/>
    <w:rsid w:val="032957F5"/>
    <w:rsid w:val="0CC97EC6"/>
    <w:rsid w:val="0D4E44D4"/>
    <w:rsid w:val="0FD71D45"/>
    <w:rsid w:val="10E72CEF"/>
    <w:rsid w:val="193F288E"/>
    <w:rsid w:val="19D112F7"/>
    <w:rsid w:val="21866767"/>
    <w:rsid w:val="27476F64"/>
    <w:rsid w:val="28A82627"/>
    <w:rsid w:val="32DE5719"/>
    <w:rsid w:val="357B59EF"/>
    <w:rsid w:val="382B6775"/>
    <w:rsid w:val="3AE35C15"/>
    <w:rsid w:val="3CE509A9"/>
    <w:rsid w:val="3F1F6AC5"/>
    <w:rsid w:val="414E2D1B"/>
    <w:rsid w:val="45EA6449"/>
    <w:rsid w:val="460359DE"/>
    <w:rsid w:val="4A490D40"/>
    <w:rsid w:val="4A7D46D1"/>
    <w:rsid w:val="4B4E1C15"/>
    <w:rsid w:val="4CBA109B"/>
    <w:rsid w:val="4D0F0E47"/>
    <w:rsid w:val="536369BE"/>
    <w:rsid w:val="557B6719"/>
    <w:rsid w:val="5D617737"/>
    <w:rsid w:val="603764FC"/>
    <w:rsid w:val="6406075E"/>
    <w:rsid w:val="66AB7D75"/>
    <w:rsid w:val="670E155B"/>
    <w:rsid w:val="696B68DD"/>
    <w:rsid w:val="6A261F45"/>
    <w:rsid w:val="6D125E72"/>
    <w:rsid w:val="6FB32B39"/>
    <w:rsid w:val="733A4E9A"/>
    <w:rsid w:val="74277F58"/>
    <w:rsid w:val="76EF5736"/>
    <w:rsid w:val="7D16648A"/>
    <w:rsid w:val="7DBA2D67"/>
    <w:rsid w:val="7DD153BC"/>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1"/>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6"/>
    <w:link w:val="5"/>
    <w:qFormat/>
    <w:uiPriority w:val="99"/>
    <w:rPr>
      <w:rFonts w:ascii="Times New Roman" w:hAnsi="Times New Roman" w:eastAsia="宋体" w:cs="Times New Roman"/>
      <w:b/>
      <w:bCs/>
      <w:sz w:val="18"/>
      <w:szCs w:val="18"/>
    </w:rPr>
  </w:style>
  <w:style w:type="character" w:customStyle="1" w:styleId="10">
    <w:name w:val="页脚 Char"/>
    <w:basedOn w:val="6"/>
    <w:link w:val="4"/>
    <w:qFormat/>
    <w:uiPriority w:val="99"/>
    <w:rPr>
      <w:rFonts w:ascii="Times New Roman" w:hAnsi="Times New Roman" w:eastAsia="宋体" w:cs="Times New Roman"/>
      <w:b/>
      <w:bCs/>
      <w:sz w:val="18"/>
      <w:szCs w:val="18"/>
    </w:rPr>
  </w:style>
  <w:style w:type="character" w:customStyle="1" w:styleId="11">
    <w:name w:val="批注框文本 Char"/>
    <w:basedOn w:val="6"/>
    <w:link w:val="3"/>
    <w:semiHidden/>
    <w:uiPriority w:val="99"/>
    <w:rPr>
      <w:b/>
      <w:bCs/>
      <w:kern w:val="2"/>
      <w:sz w:val="18"/>
      <w:szCs w:val="18"/>
    </w:r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324</Words>
  <Characters>1852</Characters>
  <Lines>15</Lines>
  <Paragraphs>4</Paragraphs>
  <ScaleCrop>false</ScaleCrop>
  <LinksUpToDate>false</LinksUpToDate>
  <CharactersWithSpaces>2172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2016-07-25T08:47:00Z</dcterms:created>
  <dc:creator>User</dc:creator>
  <cp:lastModifiedBy>Administrator</cp:lastModifiedBy>
  <cp:lastPrinted>2022-01-05T07:56:00Z</cp:lastPrinted>
  <dcterms:modified xsi:type="dcterms:W3CDTF">2022-01-13T02:37:54Z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5D6F74655E0944B5A98C5F01635A9564</vt:lpwstr>
  </property>
</Properties>
</file>