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auto"/>
          <w:sz w:val="44"/>
          <w:szCs w:val="44"/>
        </w:rPr>
      </w:pPr>
      <w:r>
        <w:rPr>
          <w:rFonts w:hint="eastAsia" w:asciiTheme="majorEastAsia" w:hAnsiTheme="majorEastAsia" w:eastAsiaTheme="majorEastAsia"/>
          <w:b/>
          <w:color w:val="auto"/>
          <w:sz w:val="44"/>
          <w:szCs w:val="44"/>
        </w:rPr>
        <w:t>202</w:t>
      </w:r>
      <w:r>
        <w:rPr>
          <w:rFonts w:hint="eastAsia" w:asciiTheme="majorEastAsia" w:hAnsiTheme="majorEastAsia" w:eastAsiaTheme="majorEastAsia"/>
          <w:b/>
          <w:color w:val="auto"/>
          <w:sz w:val="44"/>
          <w:szCs w:val="44"/>
          <w:lang w:val="en-US" w:eastAsia="zh-CN"/>
        </w:rPr>
        <w:t>3</w:t>
      </w:r>
      <w:r>
        <w:rPr>
          <w:rFonts w:hint="eastAsia" w:asciiTheme="majorEastAsia" w:hAnsiTheme="majorEastAsia" w:eastAsiaTheme="majorEastAsia"/>
          <w:b/>
          <w:color w:val="auto"/>
          <w:sz w:val="44"/>
          <w:szCs w:val="44"/>
        </w:rPr>
        <w:t>年企业创新调查培训要点</w:t>
      </w:r>
    </w:p>
    <w:p>
      <w:pPr>
        <w:rPr>
          <w:rFonts w:asciiTheme="majorEastAsia" w:hAnsiTheme="majorEastAsia" w:eastAsiaTheme="majorEastAsia"/>
          <w:b/>
          <w:color w:val="auto"/>
          <w:sz w:val="44"/>
          <w:szCs w:val="44"/>
        </w:rPr>
      </w:pPr>
    </w:p>
    <w:p>
      <w:pPr>
        <w:ind w:firstLine="548" w:firstLineChars="196"/>
        <w:rPr>
          <w:rFonts w:asciiTheme="minorEastAsia" w:hAnsiTheme="minorEastAsia"/>
          <w:color w:val="auto"/>
          <w:sz w:val="28"/>
          <w:szCs w:val="28"/>
        </w:rPr>
      </w:pPr>
      <w:r>
        <w:rPr>
          <w:rFonts w:hint="eastAsia" w:asciiTheme="minorEastAsia" w:hAnsiTheme="minorEastAsia"/>
          <w:color w:val="auto"/>
          <w:sz w:val="28"/>
          <w:szCs w:val="28"/>
        </w:rPr>
        <w:t>企业创新调查工作与企业研发年报同时布置、同时上报。平台开网时间为202</w:t>
      </w:r>
      <w:r>
        <w:rPr>
          <w:rFonts w:hint="eastAsia" w:asciiTheme="minorEastAsia" w:hAnsiTheme="minorEastAsia"/>
          <w:color w:val="auto"/>
          <w:sz w:val="28"/>
          <w:szCs w:val="28"/>
          <w:lang w:val="en-US" w:eastAsia="zh-CN"/>
        </w:rPr>
        <w:t>4</w:t>
      </w:r>
      <w:r>
        <w:rPr>
          <w:rFonts w:hint="eastAsia" w:asciiTheme="minorEastAsia" w:hAnsiTheme="minorEastAsia"/>
          <w:color w:val="auto"/>
          <w:sz w:val="28"/>
          <w:szCs w:val="28"/>
        </w:rPr>
        <w:t>年1月</w:t>
      </w:r>
      <w:r>
        <w:rPr>
          <w:rFonts w:hint="eastAsia" w:asciiTheme="minorEastAsia" w:hAnsiTheme="minorEastAsia"/>
          <w:color w:val="auto"/>
          <w:sz w:val="28"/>
          <w:szCs w:val="28"/>
          <w:lang w:val="en-US" w:eastAsia="zh-CN"/>
        </w:rPr>
        <w:t>1</w:t>
      </w:r>
      <w:r>
        <w:rPr>
          <w:rFonts w:hint="eastAsia" w:asciiTheme="minorEastAsia" w:hAnsiTheme="minorEastAsia"/>
          <w:color w:val="auto"/>
          <w:sz w:val="28"/>
          <w:szCs w:val="28"/>
        </w:rPr>
        <w:t>日，企业填报截止时间为202</w:t>
      </w:r>
      <w:r>
        <w:rPr>
          <w:rFonts w:hint="eastAsia" w:asciiTheme="minorEastAsia" w:hAnsiTheme="minorEastAsia"/>
          <w:color w:val="auto"/>
          <w:sz w:val="28"/>
          <w:szCs w:val="28"/>
          <w:lang w:val="en-US" w:eastAsia="zh-CN"/>
        </w:rPr>
        <w:t>4</w:t>
      </w:r>
      <w:r>
        <w:rPr>
          <w:rFonts w:hint="eastAsia" w:asciiTheme="minorEastAsia" w:hAnsiTheme="minorEastAsia"/>
          <w:color w:val="auto"/>
          <w:sz w:val="28"/>
          <w:szCs w:val="28"/>
        </w:rPr>
        <w:t>年3月10日，上报率为100%。</w:t>
      </w:r>
    </w:p>
    <w:p>
      <w:pPr>
        <w:ind w:firstLine="550" w:firstLineChars="196"/>
        <w:rPr>
          <w:rFonts w:asciiTheme="minorEastAsia" w:hAnsiTheme="minorEastAsia"/>
          <w:color w:val="auto"/>
          <w:sz w:val="28"/>
          <w:szCs w:val="28"/>
        </w:rPr>
      </w:pPr>
      <w:r>
        <w:rPr>
          <w:rFonts w:hint="eastAsia" w:asciiTheme="minorEastAsia" w:hAnsiTheme="minorEastAsia"/>
          <w:b/>
          <w:bCs/>
          <w:color w:val="auto"/>
          <w:sz w:val="28"/>
          <w:szCs w:val="28"/>
        </w:rPr>
        <w:t>一、企业范围及表号</w:t>
      </w:r>
    </w:p>
    <w:tbl>
      <w:tblPr>
        <w:tblStyle w:val="4"/>
        <w:tblW w:w="7769" w:type="dxa"/>
        <w:jc w:val="center"/>
        <w:tblLayout w:type="autofit"/>
        <w:tblCellMar>
          <w:top w:w="0" w:type="dxa"/>
          <w:left w:w="108" w:type="dxa"/>
          <w:bottom w:w="0" w:type="dxa"/>
          <w:right w:w="108" w:type="dxa"/>
        </w:tblCellMar>
      </w:tblPr>
      <w:tblGrid>
        <w:gridCol w:w="1149"/>
        <w:gridCol w:w="1149"/>
        <w:gridCol w:w="1191"/>
        <w:gridCol w:w="4280"/>
      </w:tblGrid>
      <w:tr>
        <w:tblPrEx>
          <w:tblCellMar>
            <w:top w:w="0" w:type="dxa"/>
            <w:left w:w="108" w:type="dxa"/>
            <w:bottom w:w="0" w:type="dxa"/>
            <w:right w:w="108" w:type="dxa"/>
          </w:tblCellMar>
        </w:tblPrEx>
        <w:trPr>
          <w:trHeight w:val="285" w:hRule="atLeast"/>
          <w:jc w:val="center"/>
        </w:trPr>
        <w:tc>
          <w:tcPr>
            <w:tcW w:w="1149"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hint="eastAsia" w:ascii="宋体" w:hAnsi="宋体" w:eastAsia="宋体" w:cs="宋体"/>
                <w:b/>
                <w:bCs/>
                <w:color w:val="auto"/>
                <w:kern w:val="0"/>
                <w:sz w:val="22"/>
                <w:lang w:eastAsia="zh-CN"/>
              </w:rPr>
            </w:pPr>
            <w:r>
              <w:rPr>
                <w:rFonts w:hint="eastAsia" w:ascii="宋体" w:hAnsi="宋体" w:eastAsia="宋体" w:cs="宋体"/>
                <w:b/>
                <w:bCs/>
                <w:color w:val="auto"/>
                <w:kern w:val="0"/>
                <w:sz w:val="22"/>
                <w:lang w:eastAsia="zh-CN"/>
              </w:rPr>
              <w:t>填报平台</w:t>
            </w:r>
          </w:p>
        </w:tc>
        <w:tc>
          <w:tcPr>
            <w:tcW w:w="1149"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行业</w:t>
            </w:r>
          </w:p>
        </w:tc>
        <w:tc>
          <w:tcPr>
            <w:tcW w:w="1191" w:type="dxa"/>
            <w:tcBorders>
              <w:top w:val="single" w:color="auto" w:sz="8" w:space="0"/>
              <w:left w:val="nil"/>
              <w:bottom w:val="single" w:color="auto" w:sz="8" w:space="0"/>
              <w:right w:val="single" w:color="auto" w:sz="8" w:space="0"/>
            </w:tcBorders>
            <w:shd w:val="clear" w:color="auto" w:fill="auto"/>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表号</w:t>
            </w:r>
          </w:p>
        </w:tc>
        <w:tc>
          <w:tcPr>
            <w:tcW w:w="4280" w:type="dxa"/>
            <w:tcBorders>
              <w:top w:val="single" w:color="auto" w:sz="8" w:space="0"/>
              <w:left w:val="nil"/>
              <w:bottom w:val="single" w:color="auto" w:sz="8" w:space="0"/>
              <w:right w:val="nil"/>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门类</w:t>
            </w:r>
          </w:p>
        </w:tc>
      </w:tr>
      <w:tr>
        <w:tblPrEx>
          <w:tblCellMar>
            <w:top w:w="0" w:type="dxa"/>
            <w:left w:w="108" w:type="dxa"/>
            <w:bottom w:w="0" w:type="dxa"/>
            <w:right w:w="108" w:type="dxa"/>
          </w:tblCellMar>
        </w:tblPrEx>
        <w:trPr>
          <w:trHeight w:val="285" w:hRule="atLeast"/>
          <w:jc w:val="center"/>
        </w:trPr>
        <w:tc>
          <w:tcPr>
            <w:tcW w:w="1149" w:type="dxa"/>
            <w:vMerge w:val="restart"/>
            <w:tcBorders>
              <w:top w:val="nil"/>
              <w:left w:val="nil"/>
              <w:right w:val="single" w:color="auto" w:sz="8" w:space="0"/>
            </w:tcBorders>
            <w:shd w:val="clear" w:color="auto" w:fill="auto"/>
            <w:vAlign w:val="center"/>
          </w:tcPr>
          <w:p>
            <w:pPr>
              <w:widowControl/>
              <w:jc w:val="center"/>
              <w:rPr>
                <w:rFonts w:hint="eastAsia" w:ascii="宋体" w:hAnsi="宋体" w:eastAsia="宋体" w:cs="宋体"/>
                <w:b/>
                <w:bCs/>
                <w:color w:val="auto"/>
                <w:kern w:val="0"/>
                <w:sz w:val="22"/>
                <w:lang w:val="en-US" w:eastAsia="zh-CN"/>
              </w:rPr>
            </w:pPr>
            <w:r>
              <w:rPr>
                <w:rFonts w:hint="eastAsia" w:ascii="宋体" w:hAnsi="宋体" w:eastAsia="宋体" w:cs="宋体"/>
                <w:b/>
                <w:bCs/>
                <w:color w:val="auto"/>
                <w:kern w:val="0"/>
                <w:sz w:val="22"/>
                <w:lang w:val="en-US" w:eastAsia="zh-CN"/>
              </w:rPr>
              <w:t>统</w:t>
            </w:r>
          </w:p>
          <w:p>
            <w:pPr>
              <w:widowControl/>
              <w:jc w:val="center"/>
              <w:rPr>
                <w:rFonts w:hint="eastAsia" w:ascii="宋体" w:hAnsi="宋体" w:eastAsia="宋体" w:cs="宋体"/>
                <w:b/>
                <w:bCs/>
                <w:color w:val="auto"/>
                <w:kern w:val="0"/>
                <w:sz w:val="22"/>
                <w:lang w:val="en-US" w:eastAsia="zh-CN"/>
              </w:rPr>
            </w:pPr>
            <w:r>
              <w:rPr>
                <w:rFonts w:hint="eastAsia" w:ascii="宋体" w:hAnsi="宋体" w:eastAsia="宋体" w:cs="宋体"/>
                <w:b/>
                <w:bCs/>
                <w:color w:val="auto"/>
                <w:kern w:val="0"/>
                <w:sz w:val="22"/>
                <w:lang w:val="en-US" w:eastAsia="zh-CN"/>
              </w:rPr>
              <w:t>计</w:t>
            </w:r>
          </w:p>
          <w:p>
            <w:pPr>
              <w:widowControl/>
              <w:jc w:val="center"/>
              <w:rPr>
                <w:rFonts w:hint="default" w:ascii="宋体" w:hAnsi="宋体" w:eastAsia="宋体" w:cs="宋体"/>
                <w:color w:val="auto"/>
                <w:kern w:val="0"/>
                <w:sz w:val="22"/>
                <w:lang w:val="en-US" w:eastAsia="zh-CN"/>
              </w:rPr>
            </w:pPr>
            <w:r>
              <w:rPr>
                <w:rFonts w:hint="eastAsia" w:ascii="宋体" w:hAnsi="宋体" w:eastAsia="宋体" w:cs="宋体"/>
                <w:b/>
                <w:bCs/>
                <w:color w:val="auto"/>
                <w:kern w:val="0"/>
                <w:sz w:val="22"/>
                <w:lang w:val="en-US" w:eastAsia="zh-CN"/>
              </w:rPr>
              <w:t>云</w:t>
            </w:r>
          </w:p>
        </w:tc>
        <w:tc>
          <w:tcPr>
            <w:tcW w:w="1149" w:type="dxa"/>
            <w:vMerge w:val="restart"/>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工业   (规上)</w:t>
            </w:r>
          </w:p>
        </w:tc>
        <w:tc>
          <w:tcPr>
            <w:tcW w:w="1191" w:type="dxa"/>
            <w:vMerge w:val="restart"/>
            <w:tcBorders>
              <w:top w:val="nil"/>
              <w:left w:val="single" w:color="auto" w:sz="8" w:space="0"/>
              <w:bottom w:val="single" w:color="auto" w:sz="8" w:space="0"/>
              <w:right w:val="single" w:color="auto" w:sz="8" w:space="0"/>
            </w:tcBorders>
            <w:shd w:val="clear" w:color="auto" w:fill="auto"/>
          </w:tcPr>
          <w:p>
            <w:pPr>
              <w:widowControl/>
              <w:jc w:val="left"/>
              <w:rPr>
                <w:rFonts w:ascii="宋体" w:hAnsi="宋体" w:eastAsia="宋体" w:cs="宋体"/>
                <w:color w:val="auto"/>
                <w:kern w:val="0"/>
                <w:sz w:val="22"/>
              </w:rPr>
            </w:pPr>
          </w:p>
          <w:p>
            <w:pPr>
              <w:widowControl/>
              <w:jc w:val="left"/>
              <w:rPr>
                <w:rFonts w:ascii="宋体" w:hAnsi="宋体" w:eastAsia="宋体" w:cs="宋体"/>
                <w:color w:val="auto"/>
                <w:kern w:val="0"/>
                <w:sz w:val="22"/>
              </w:rPr>
            </w:pPr>
            <w:r>
              <w:rPr>
                <w:rFonts w:hint="eastAsia" w:ascii="宋体" w:hAnsi="宋体" w:eastAsia="宋体" w:cs="宋体"/>
                <w:color w:val="auto"/>
                <w:kern w:val="0"/>
                <w:sz w:val="22"/>
              </w:rPr>
              <w:t>L121</w:t>
            </w:r>
          </w:p>
        </w:tc>
        <w:tc>
          <w:tcPr>
            <w:tcW w:w="4280" w:type="dxa"/>
            <w:tcBorders>
              <w:top w:val="nil"/>
              <w:left w:val="nil"/>
              <w:bottom w:val="single" w:color="auto" w:sz="8" w:space="0"/>
              <w:right w:val="nil"/>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采矿业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vAlign w:val="center"/>
          </w:tcPr>
          <w:p>
            <w:pPr>
              <w:widowControl/>
              <w:jc w:val="left"/>
              <w:rPr>
                <w:rFonts w:ascii="宋体" w:hAnsi="宋体" w:eastAsia="宋体" w:cs="宋体"/>
                <w:color w:val="auto"/>
                <w:kern w:val="0"/>
                <w:sz w:val="22"/>
              </w:rPr>
            </w:pPr>
          </w:p>
        </w:tc>
        <w:tc>
          <w:tcPr>
            <w:tcW w:w="1149" w:type="dxa"/>
            <w:vMerge w:val="continue"/>
            <w:tcBorders>
              <w:top w:val="nil"/>
              <w:left w:val="nil"/>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1191"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4280" w:type="dxa"/>
            <w:tcBorders>
              <w:top w:val="nil"/>
              <w:left w:val="nil"/>
              <w:bottom w:val="single" w:color="auto" w:sz="8" w:space="0"/>
              <w:right w:val="nil"/>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制造业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vAlign w:val="center"/>
          </w:tcPr>
          <w:p>
            <w:pPr>
              <w:widowControl/>
              <w:jc w:val="left"/>
              <w:rPr>
                <w:rFonts w:ascii="宋体" w:hAnsi="宋体" w:eastAsia="宋体" w:cs="宋体"/>
                <w:color w:val="auto"/>
                <w:kern w:val="0"/>
                <w:sz w:val="22"/>
              </w:rPr>
            </w:pPr>
          </w:p>
        </w:tc>
        <w:tc>
          <w:tcPr>
            <w:tcW w:w="1149" w:type="dxa"/>
            <w:vMerge w:val="continue"/>
            <w:tcBorders>
              <w:top w:val="nil"/>
              <w:left w:val="nil"/>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1191"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电力、燃气及水的生产和供应业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49"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建筑业</w:t>
            </w:r>
          </w:p>
        </w:tc>
        <w:tc>
          <w:tcPr>
            <w:tcW w:w="1191" w:type="dxa"/>
            <w:tcBorders>
              <w:top w:val="nil"/>
              <w:left w:val="nil"/>
              <w:bottom w:val="single" w:color="auto" w:sz="8" w:space="0"/>
              <w:right w:val="single" w:color="auto" w:sz="8" w:space="0"/>
            </w:tcBorders>
            <w:shd w:val="clear" w:color="auto" w:fill="auto"/>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L123</w:t>
            </w: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特、一、二级资质建筑业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shd w:val="clear" w:color="auto" w:fill="auto"/>
            <w:noWrap/>
            <w:vAlign w:val="center"/>
          </w:tcPr>
          <w:p>
            <w:pPr>
              <w:widowControl/>
              <w:jc w:val="center"/>
              <w:rPr>
                <w:rFonts w:hint="eastAsia" w:ascii="宋体" w:hAnsi="宋体" w:eastAsia="宋体" w:cs="宋体"/>
                <w:color w:val="auto"/>
                <w:kern w:val="0"/>
                <w:sz w:val="22"/>
              </w:rPr>
            </w:pPr>
          </w:p>
        </w:tc>
        <w:tc>
          <w:tcPr>
            <w:tcW w:w="1149"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商业</w:t>
            </w:r>
          </w:p>
        </w:tc>
        <w:tc>
          <w:tcPr>
            <w:tcW w:w="1191" w:type="dxa"/>
            <w:vMerge w:val="restart"/>
            <w:tcBorders>
              <w:top w:val="nil"/>
              <w:left w:val="single" w:color="auto" w:sz="8" w:space="0"/>
              <w:bottom w:val="single" w:color="auto" w:sz="8" w:space="0"/>
              <w:right w:val="single" w:color="auto" w:sz="8" w:space="0"/>
            </w:tcBorders>
            <w:shd w:val="clear" w:color="auto" w:fill="auto"/>
          </w:tcPr>
          <w:p>
            <w:pPr>
              <w:widowControl/>
              <w:jc w:val="left"/>
              <w:rPr>
                <w:rFonts w:ascii="宋体" w:hAnsi="宋体" w:eastAsia="宋体" w:cs="宋体"/>
                <w:color w:val="auto"/>
                <w:kern w:val="0"/>
                <w:sz w:val="22"/>
              </w:rPr>
            </w:pPr>
          </w:p>
          <w:p>
            <w:pPr>
              <w:widowControl/>
              <w:jc w:val="left"/>
              <w:rPr>
                <w:rFonts w:ascii="宋体" w:hAnsi="宋体" w:eastAsia="宋体" w:cs="宋体"/>
                <w:color w:val="auto"/>
                <w:kern w:val="0"/>
                <w:sz w:val="22"/>
              </w:rPr>
            </w:pPr>
          </w:p>
          <w:p>
            <w:pPr>
              <w:widowControl/>
              <w:jc w:val="left"/>
              <w:rPr>
                <w:rFonts w:ascii="宋体" w:hAnsi="宋体" w:eastAsia="宋体" w:cs="宋体"/>
                <w:color w:val="auto"/>
                <w:kern w:val="0"/>
                <w:sz w:val="22"/>
              </w:rPr>
            </w:pPr>
          </w:p>
          <w:p>
            <w:pPr>
              <w:widowControl/>
              <w:jc w:val="left"/>
              <w:rPr>
                <w:rFonts w:ascii="宋体" w:hAnsi="宋体" w:eastAsia="宋体" w:cs="宋体"/>
                <w:color w:val="auto"/>
                <w:kern w:val="0"/>
                <w:sz w:val="22"/>
              </w:rPr>
            </w:pPr>
            <w:r>
              <w:rPr>
                <w:rFonts w:hint="eastAsia" w:ascii="宋体" w:hAnsi="宋体" w:eastAsia="宋体" w:cs="宋体"/>
                <w:color w:val="auto"/>
                <w:kern w:val="0"/>
                <w:sz w:val="22"/>
              </w:rPr>
              <w:t>L125</w:t>
            </w: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批发和零售业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shd w:val="clear" w:color="auto" w:fill="auto"/>
            <w:vAlign w:val="center"/>
          </w:tcPr>
          <w:p>
            <w:pPr>
              <w:widowControl/>
              <w:jc w:val="center"/>
              <w:rPr>
                <w:rFonts w:hint="eastAsia" w:ascii="宋体" w:hAnsi="宋体" w:eastAsia="宋体" w:cs="宋体"/>
                <w:color w:val="auto"/>
                <w:kern w:val="0"/>
                <w:sz w:val="22"/>
              </w:rPr>
            </w:pPr>
          </w:p>
        </w:tc>
        <w:tc>
          <w:tcPr>
            <w:tcW w:w="1149" w:type="dxa"/>
            <w:vMerge w:val="restart"/>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服务业  (规上)</w:t>
            </w:r>
          </w:p>
        </w:tc>
        <w:tc>
          <w:tcPr>
            <w:tcW w:w="1191"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交通运输、仓储和邮政业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vAlign w:val="center"/>
          </w:tcPr>
          <w:p>
            <w:pPr>
              <w:widowControl/>
              <w:jc w:val="left"/>
              <w:rPr>
                <w:rFonts w:ascii="宋体" w:hAnsi="宋体" w:eastAsia="宋体" w:cs="宋体"/>
                <w:color w:val="auto"/>
                <w:kern w:val="0"/>
                <w:sz w:val="22"/>
              </w:rPr>
            </w:pPr>
          </w:p>
        </w:tc>
        <w:tc>
          <w:tcPr>
            <w:tcW w:w="1149" w:type="dxa"/>
            <w:vMerge w:val="continue"/>
            <w:tcBorders>
              <w:top w:val="nil"/>
              <w:left w:val="nil"/>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1191"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信息传输、软件和信息技术服务业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vAlign w:val="center"/>
          </w:tcPr>
          <w:p>
            <w:pPr>
              <w:widowControl/>
              <w:jc w:val="left"/>
              <w:rPr>
                <w:rFonts w:ascii="宋体" w:hAnsi="宋体" w:eastAsia="宋体" w:cs="宋体"/>
                <w:color w:val="auto"/>
                <w:kern w:val="0"/>
                <w:sz w:val="22"/>
              </w:rPr>
            </w:pPr>
          </w:p>
        </w:tc>
        <w:tc>
          <w:tcPr>
            <w:tcW w:w="1149" w:type="dxa"/>
            <w:vMerge w:val="continue"/>
            <w:tcBorders>
              <w:top w:val="nil"/>
              <w:left w:val="nil"/>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1191"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租赁和商务服务业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vAlign w:val="center"/>
          </w:tcPr>
          <w:p>
            <w:pPr>
              <w:widowControl/>
              <w:jc w:val="left"/>
              <w:rPr>
                <w:rFonts w:ascii="宋体" w:hAnsi="宋体" w:eastAsia="宋体" w:cs="宋体"/>
                <w:color w:val="auto"/>
                <w:kern w:val="0"/>
                <w:sz w:val="22"/>
              </w:rPr>
            </w:pPr>
          </w:p>
        </w:tc>
        <w:tc>
          <w:tcPr>
            <w:tcW w:w="1149" w:type="dxa"/>
            <w:vMerge w:val="continue"/>
            <w:tcBorders>
              <w:top w:val="nil"/>
              <w:left w:val="nil"/>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1191"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科学研究和技术服务业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right w:val="single" w:color="auto" w:sz="8" w:space="0"/>
            </w:tcBorders>
            <w:vAlign w:val="center"/>
          </w:tcPr>
          <w:p>
            <w:pPr>
              <w:widowControl/>
              <w:jc w:val="left"/>
              <w:rPr>
                <w:rFonts w:ascii="宋体" w:hAnsi="宋体" w:eastAsia="宋体" w:cs="宋体"/>
                <w:color w:val="auto"/>
                <w:kern w:val="0"/>
                <w:sz w:val="22"/>
              </w:rPr>
            </w:pPr>
          </w:p>
        </w:tc>
        <w:tc>
          <w:tcPr>
            <w:tcW w:w="1149" w:type="dxa"/>
            <w:vMerge w:val="continue"/>
            <w:tcBorders>
              <w:top w:val="nil"/>
              <w:left w:val="nil"/>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1191"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p>
        </w:tc>
        <w:tc>
          <w:tcPr>
            <w:tcW w:w="4280" w:type="dxa"/>
            <w:tcBorders>
              <w:top w:val="nil"/>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水利、环境和公共设施管理业</w:t>
            </w:r>
          </w:p>
        </w:tc>
      </w:tr>
      <w:tr>
        <w:tblPrEx>
          <w:tblCellMar>
            <w:top w:w="0" w:type="dxa"/>
            <w:left w:w="108" w:type="dxa"/>
            <w:bottom w:w="0" w:type="dxa"/>
            <w:right w:w="108" w:type="dxa"/>
          </w:tblCellMar>
        </w:tblPrEx>
        <w:trPr>
          <w:trHeight w:val="285" w:hRule="atLeast"/>
          <w:jc w:val="center"/>
        </w:trPr>
        <w:tc>
          <w:tcPr>
            <w:tcW w:w="1149" w:type="dxa"/>
            <w:vMerge w:val="continue"/>
            <w:tcBorders>
              <w:left w:val="nil"/>
              <w:bottom w:val="single" w:color="auto" w:sz="8" w:space="0"/>
              <w:right w:val="single" w:color="auto" w:sz="8" w:space="0"/>
            </w:tcBorders>
            <w:vAlign w:val="center"/>
          </w:tcPr>
          <w:p>
            <w:pPr>
              <w:widowControl/>
              <w:jc w:val="left"/>
              <w:rPr>
                <w:rFonts w:hint="eastAsia" w:ascii="宋体" w:hAnsi="宋体" w:eastAsia="宋体" w:cs="宋体"/>
                <w:color w:val="auto"/>
                <w:kern w:val="0"/>
                <w:sz w:val="22"/>
              </w:rPr>
            </w:pPr>
          </w:p>
        </w:tc>
        <w:tc>
          <w:tcPr>
            <w:tcW w:w="1149" w:type="dxa"/>
            <w:tcBorders>
              <w:top w:val="single" w:color="auto" w:sz="8" w:space="0"/>
              <w:left w:val="nil"/>
              <w:bottom w:val="single" w:color="auto" w:sz="8" w:space="0"/>
              <w:right w:val="single" w:color="auto" w:sz="8" w:space="0"/>
            </w:tcBorders>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以上行业</w:t>
            </w:r>
          </w:p>
        </w:tc>
        <w:tc>
          <w:tcPr>
            <w:tcW w:w="1191" w:type="dxa"/>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L122</w:t>
            </w:r>
          </w:p>
        </w:tc>
        <w:tc>
          <w:tcPr>
            <w:tcW w:w="4280" w:type="dxa"/>
            <w:tcBorders>
              <w:top w:val="single" w:color="auto" w:sz="8" w:space="0"/>
              <w:left w:val="nil"/>
              <w:bottom w:val="single" w:color="auto" w:sz="8" w:space="0"/>
              <w:right w:val="nil"/>
            </w:tcBorders>
            <w:shd w:val="clear" w:color="auto" w:fill="auto"/>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创新调查企业</w:t>
            </w:r>
            <w:r>
              <w:rPr>
                <w:rFonts w:hint="eastAsia" w:ascii="宋体" w:hAnsi="宋体" w:eastAsia="宋体" w:cs="宋体"/>
                <w:color w:val="auto"/>
                <w:kern w:val="0"/>
                <w:sz w:val="22"/>
                <w:lang w:eastAsia="zh-CN"/>
              </w:rPr>
              <w:t>家问卷（抽样调查）</w:t>
            </w:r>
          </w:p>
        </w:tc>
      </w:tr>
    </w:tbl>
    <w:p>
      <w:pPr>
        <w:ind w:firstLine="550" w:firstLineChars="196"/>
        <w:rPr>
          <w:rFonts w:asciiTheme="minorEastAsia" w:hAnsiTheme="minorEastAsia"/>
          <w:b/>
          <w:bCs/>
          <w:color w:val="auto"/>
          <w:sz w:val="28"/>
          <w:szCs w:val="28"/>
        </w:rPr>
      </w:pPr>
      <w:r>
        <w:rPr>
          <w:rFonts w:hint="eastAsia" w:asciiTheme="minorEastAsia" w:hAnsiTheme="minorEastAsia"/>
          <w:b/>
          <w:bCs/>
          <w:color w:val="auto"/>
          <w:sz w:val="28"/>
          <w:szCs w:val="28"/>
        </w:rPr>
        <w:t>二、填报顺序如下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1、《研发统计报表》(</w:t>
      </w:r>
      <w:r>
        <w:rPr>
          <w:rFonts w:hint="eastAsia" w:asciiTheme="minorEastAsia" w:hAnsiTheme="minorEastAsia"/>
          <w:color w:val="auto"/>
          <w:sz w:val="28"/>
          <w:szCs w:val="28"/>
          <w:lang w:val="en-US" w:eastAsia="zh-CN"/>
        </w:rPr>
        <w:t>6</w:t>
      </w:r>
      <w:r>
        <w:rPr>
          <w:rFonts w:hint="eastAsia" w:asciiTheme="minorEastAsia" w:hAnsiTheme="minorEastAsia"/>
          <w:color w:val="auto"/>
          <w:sz w:val="28"/>
          <w:szCs w:val="28"/>
        </w:rPr>
        <w:t>07-1和</w:t>
      </w:r>
      <w:r>
        <w:rPr>
          <w:rFonts w:hint="eastAsia" w:asciiTheme="minorEastAsia" w:hAnsiTheme="minorEastAsia"/>
          <w:color w:val="auto"/>
          <w:sz w:val="28"/>
          <w:szCs w:val="28"/>
          <w:lang w:val="en-US" w:eastAsia="zh-CN"/>
        </w:rPr>
        <w:t>6</w:t>
      </w:r>
      <w:r>
        <w:rPr>
          <w:rFonts w:hint="eastAsia" w:asciiTheme="minorEastAsia" w:hAnsiTheme="minorEastAsia"/>
          <w:color w:val="auto"/>
          <w:sz w:val="28"/>
          <w:szCs w:val="28"/>
        </w:rPr>
        <w:t>07-2表)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2</w:t>
      </w:r>
      <w:r>
        <w:rPr>
          <w:rFonts w:hint="eastAsia" w:asciiTheme="minorEastAsia" w:hAnsiTheme="minorEastAsia"/>
          <w:bCs/>
          <w:color w:val="auto"/>
          <w:sz w:val="28"/>
          <w:szCs w:val="28"/>
        </w:rPr>
        <w:t>、</w:t>
      </w:r>
      <w:r>
        <w:rPr>
          <w:rFonts w:hint="eastAsia" w:asciiTheme="minorEastAsia" w:hAnsiTheme="minorEastAsia"/>
          <w:color w:val="auto"/>
          <w:sz w:val="28"/>
          <w:szCs w:val="28"/>
        </w:rPr>
        <w:t>《企业创新情况表》(L121或L123或L125表)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3</w:t>
      </w:r>
      <w:r>
        <w:rPr>
          <w:rFonts w:hint="eastAsia" w:asciiTheme="minorEastAsia" w:hAnsiTheme="minorEastAsia"/>
          <w:bCs/>
          <w:color w:val="auto"/>
          <w:sz w:val="28"/>
          <w:szCs w:val="28"/>
        </w:rPr>
        <w:t>、</w:t>
      </w:r>
      <w:r>
        <w:rPr>
          <w:rFonts w:hint="eastAsia" w:asciiTheme="minorEastAsia" w:hAnsiTheme="minorEastAsia"/>
          <w:color w:val="auto"/>
          <w:sz w:val="28"/>
          <w:szCs w:val="28"/>
        </w:rPr>
        <w:t>《创新调查企业家问卷》(L122表)</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Theme="minorEastAsia" w:hAnsiTheme="minorEastAsia"/>
          <w:b/>
          <w:bCs/>
          <w:color w:val="auto"/>
          <w:sz w:val="28"/>
          <w:szCs w:val="28"/>
          <w:lang w:eastAsia="zh-CN"/>
        </w:rPr>
      </w:pPr>
      <w:r>
        <w:rPr>
          <w:rFonts w:hint="eastAsia" w:asciiTheme="minorEastAsia" w:hAnsiTheme="minorEastAsia"/>
          <w:b/>
          <w:bCs/>
          <w:color w:val="auto"/>
          <w:sz w:val="28"/>
          <w:szCs w:val="28"/>
          <w:lang w:eastAsia="zh-CN"/>
        </w:rPr>
        <w:t>三、重点指标</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Theme="minorEastAsia" w:hAnsiTheme="minorEastAsia"/>
          <w:b/>
          <w:bCs/>
          <w:color w:val="auto"/>
          <w:sz w:val="28"/>
          <w:szCs w:val="28"/>
          <w:lang w:eastAsia="zh-CN"/>
        </w:rPr>
      </w:pPr>
      <w:r>
        <w:rPr>
          <w:rFonts w:hint="eastAsia" w:asciiTheme="minorEastAsia" w:hAnsiTheme="minorEastAsia"/>
          <w:b/>
          <w:bCs/>
          <w:color w:val="auto"/>
          <w:sz w:val="28"/>
          <w:szCs w:val="28"/>
          <w:lang w:eastAsia="zh-CN"/>
        </w:rPr>
        <w:t>（一）核心指标</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1、产品创新</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w:t>
      </w:r>
      <w:r>
        <w:rPr>
          <w:rFonts w:hint="default" w:asciiTheme="minorEastAsia" w:hAnsiTheme="minorEastAsia"/>
          <w:b w:val="0"/>
          <w:bCs w:val="0"/>
          <w:color w:val="auto"/>
          <w:sz w:val="28"/>
          <w:szCs w:val="28"/>
          <w:lang w:val="en-US" w:eastAsia="zh-CN"/>
        </w:rPr>
        <w:t>1</w:t>
      </w:r>
      <w:r>
        <w:rPr>
          <w:rFonts w:hint="eastAsia" w:asciiTheme="minorEastAsia" w:hAnsiTheme="minorEastAsia"/>
          <w:b w:val="0"/>
          <w:bCs w:val="0"/>
          <w:color w:val="auto"/>
          <w:sz w:val="28"/>
          <w:szCs w:val="28"/>
          <w:lang w:val="en-US" w:eastAsia="zh-CN"/>
        </w:rPr>
        <w:t>）</w:t>
      </w:r>
      <w:r>
        <w:rPr>
          <w:rFonts w:hint="default" w:asciiTheme="minorEastAsia" w:hAnsiTheme="minorEastAsia"/>
          <w:b w:val="0"/>
          <w:bCs w:val="0"/>
          <w:color w:val="auto"/>
          <w:sz w:val="28"/>
          <w:szCs w:val="28"/>
          <w:lang w:val="en-US" w:eastAsia="zh-CN"/>
        </w:rPr>
        <w:t>企业推出了全新的或有重大改进的产品</w:t>
      </w:r>
    </w:p>
    <w:p>
      <w:pPr>
        <w:pStyle w:val="8"/>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新产品的“新”要体现在产品的功能或特性上，包括在技术规范、材料、组件、用户友好性等方面有重大改进的产品。</w:t>
      </w:r>
    </w:p>
    <w:p>
      <w:pPr>
        <w:pStyle w:val="8"/>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不包括仅有外观变化或其他微小改变的产品，也不包括直接转销的产品。</w:t>
      </w:r>
    </w:p>
    <w:p>
      <w:pPr>
        <w:pStyle w:val="8"/>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成功推向市场是产品创新实现的必要条件</w:t>
      </w:r>
    </w:p>
    <w:p>
      <w:pPr>
        <w:pStyle w:val="8"/>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推向市场可能有多种方式，并不意味着一定要在自由竞争市场上出现。</w:t>
      </w:r>
    </w:p>
    <w:p>
      <w:pPr>
        <w:pStyle w:val="8"/>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推向市场也不要求一定要形成交易，即使销售失败也可算作成功推向市场。</w:t>
      </w:r>
    </w:p>
    <w:p>
      <w:pPr>
        <w:pStyle w:val="8"/>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jc w:val="both"/>
        <w:textAlignment w:val="auto"/>
        <w:rPr>
          <w:rFonts w:hint="default"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作为技术储备未推向市场的新产品原型可算作创新活动，但暂不算作实现产品创新。</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2、工艺/流程创新</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（1）企业采用了全新的或有重大改进的生产/施工方法、工艺设备或辅助性活动</w:t>
      </w:r>
    </w:p>
    <w:p>
      <w:pPr>
        <w:pStyle w:val="8"/>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工艺创新的“新”要体现在技术、设备、流程或软件上。</w:t>
      </w:r>
    </w:p>
    <w:p>
      <w:pPr>
        <w:pStyle w:val="8"/>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辅助性活动指企业的采购、物流、财务、信息化等活动。</w:t>
      </w:r>
    </w:p>
    <w:p>
      <w:pPr>
        <w:pStyle w:val="8"/>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不包括单纯的组织管理方式的变化。</w:t>
      </w:r>
    </w:p>
    <w:p>
      <w:pPr>
        <w:pStyle w:val="8"/>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工艺（流程）创新的主要目的是提高服务质量或降低单位成本。</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（2）信息化（仅工业和建筑业）</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自动化</w:t>
      </w:r>
      <w:r>
        <w:rPr>
          <w:rFonts w:hint="eastAsia" w:asciiTheme="minorEastAsia" w:hAnsiTheme="minorEastAsia"/>
          <w:b w:val="0"/>
          <w:bCs w:val="0"/>
          <w:color w:val="auto"/>
          <w:sz w:val="28"/>
          <w:szCs w:val="28"/>
          <w:lang w:val="en-US" w:eastAsia="zh-CN"/>
        </w:rPr>
        <w:t>、</w:t>
      </w:r>
      <w:r>
        <w:rPr>
          <w:rFonts w:hint="default" w:asciiTheme="minorEastAsia" w:hAnsiTheme="minorEastAsia"/>
          <w:b w:val="0"/>
          <w:bCs w:val="0"/>
          <w:color w:val="auto"/>
          <w:sz w:val="28"/>
          <w:szCs w:val="28"/>
          <w:lang w:val="en-US" w:eastAsia="zh-CN"/>
        </w:rPr>
        <w:t>网络化</w:t>
      </w:r>
      <w:r>
        <w:rPr>
          <w:rFonts w:hint="eastAsia" w:asciiTheme="minorEastAsia" w:hAnsiTheme="minorEastAsia"/>
          <w:b w:val="0"/>
          <w:bCs w:val="0"/>
          <w:color w:val="auto"/>
          <w:sz w:val="28"/>
          <w:szCs w:val="28"/>
          <w:lang w:val="en-US" w:eastAsia="zh-CN"/>
        </w:rPr>
        <w:t>、</w:t>
      </w:r>
      <w:r>
        <w:rPr>
          <w:rFonts w:hint="default" w:asciiTheme="minorEastAsia" w:hAnsiTheme="minorEastAsia"/>
          <w:b w:val="0"/>
          <w:bCs w:val="0"/>
          <w:color w:val="auto"/>
          <w:sz w:val="28"/>
          <w:szCs w:val="28"/>
          <w:lang w:val="en-US" w:eastAsia="zh-CN"/>
        </w:rPr>
        <w:t>在线协同</w:t>
      </w:r>
      <w:r>
        <w:rPr>
          <w:rFonts w:hint="eastAsia" w:asciiTheme="minorEastAsia" w:hAnsiTheme="minorEastAsia"/>
          <w:b w:val="0"/>
          <w:bCs w:val="0"/>
          <w:color w:val="auto"/>
          <w:sz w:val="28"/>
          <w:szCs w:val="28"/>
          <w:lang w:val="en-US" w:eastAsia="zh-CN"/>
        </w:rPr>
        <w:t>、</w:t>
      </w:r>
      <w:r>
        <w:rPr>
          <w:rFonts w:hint="default" w:asciiTheme="minorEastAsia" w:hAnsiTheme="minorEastAsia"/>
          <w:b w:val="0"/>
          <w:bCs w:val="0"/>
          <w:color w:val="auto"/>
          <w:sz w:val="28"/>
          <w:szCs w:val="28"/>
          <w:lang w:val="en-US" w:eastAsia="zh-CN"/>
        </w:rPr>
        <w:t>智能化</w:t>
      </w:r>
      <w:r>
        <w:rPr>
          <w:rFonts w:hint="eastAsia" w:asciiTheme="minorEastAsia" w:hAnsiTheme="minorEastAsia"/>
          <w:b w:val="0"/>
          <w:bCs w:val="0"/>
          <w:color w:val="auto"/>
          <w:sz w:val="28"/>
          <w:szCs w:val="28"/>
          <w:lang w:val="en-US" w:eastAsia="zh-CN"/>
        </w:rPr>
        <w:t>、</w:t>
      </w:r>
      <w:r>
        <w:rPr>
          <w:rFonts w:hint="default" w:asciiTheme="minorEastAsia" w:hAnsiTheme="minorEastAsia"/>
          <w:b w:val="0"/>
          <w:bCs w:val="0"/>
          <w:color w:val="auto"/>
          <w:sz w:val="28"/>
          <w:szCs w:val="28"/>
          <w:lang w:val="en-US" w:eastAsia="zh-CN"/>
        </w:rPr>
        <w:t>上云用云</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（3）工艺创新贡献的销售收入</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仅建筑业企业</w:t>
      </w:r>
      <w:r>
        <w:rPr>
          <w:rFonts w:hint="eastAsia" w:asciiTheme="minorEastAsia" w:hAnsiTheme="minorEastAsia"/>
          <w:b w:val="0"/>
          <w:bCs w:val="0"/>
          <w:color w:val="auto"/>
          <w:sz w:val="28"/>
          <w:szCs w:val="28"/>
          <w:lang w:val="en-US" w:eastAsia="zh-CN"/>
        </w:rPr>
        <w:t>填报</w:t>
      </w:r>
    </w:p>
    <w:p>
      <w:pPr>
        <w:pStyle w:val="8"/>
        <w:keepNext w:val="0"/>
        <w:keepLines w:val="0"/>
        <w:pageBreakBefore w:val="0"/>
        <w:widowControl w:val="0"/>
        <w:numPr>
          <w:ilvl w:val="0"/>
          <w:numId w:val="4"/>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非技术创新</w:t>
      </w:r>
    </w:p>
    <w:p>
      <w:pPr>
        <w:pStyle w:val="8"/>
        <w:keepNext w:val="0"/>
        <w:keepLines w:val="0"/>
        <w:pageBreakBefore w:val="0"/>
        <w:widowControl w:val="0"/>
        <w:numPr>
          <w:ilvl w:val="0"/>
          <w:numId w:val="5"/>
        </w:numPr>
        <w:kinsoku/>
        <w:wordWrap/>
        <w:overflowPunct/>
        <w:topLinePunct w:val="0"/>
        <w:autoSpaceDE/>
        <w:autoSpaceDN/>
        <w:bidi w:val="0"/>
        <w:adjustRightInd/>
        <w:snapToGrid/>
        <w:ind w:left="0"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非技术创新</w:t>
      </w:r>
    </w:p>
    <w:p>
      <w:pPr>
        <w:pStyle w:val="8"/>
        <w:keepNext w:val="0"/>
        <w:keepLines w:val="0"/>
        <w:pageBreakBefore w:val="0"/>
        <w:widowControl w:val="0"/>
        <w:numPr>
          <w:ilvl w:val="0"/>
          <w:numId w:val="6"/>
        </w:numPr>
        <w:kinsoku/>
        <w:wordWrap/>
        <w:overflowPunct/>
        <w:topLinePunct w:val="0"/>
        <w:autoSpaceDE/>
        <w:autoSpaceDN/>
        <w:bidi w:val="0"/>
        <w:adjustRightInd/>
        <w:snapToGrid/>
        <w:ind w:left="0" w:leftChars="0"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组织创新：经营模式、组织结构、外部关系等。</w:t>
      </w:r>
    </w:p>
    <w:p>
      <w:pPr>
        <w:pStyle w:val="8"/>
        <w:keepNext w:val="0"/>
        <w:keepLines w:val="0"/>
        <w:pageBreakBefore w:val="0"/>
        <w:widowControl w:val="0"/>
        <w:numPr>
          <w:ilvl w:val="0"/>
          <w:numId w:val="6"/>
        </w:numPr>
        <w:kinsoku/>
        <w:wordWrap/>
        <w:overflowPunct/>
        <w:topLinePunct w:val="0"/>
        <w:autoSpaceDE/>
        <w:autoSpaceDN/>
        <w:bidi w:val="0"/>
        <w:adjustRightInd/>
        <w:snapToGrid/>
        <w:ind w:left="0" w:leftChars="0" w:firstLine="560" w:firstLineChars="200"/>
        <w:jc w:val="both"/>
        <w:textAlignment w:val="auto"/>
        <w:rPr>
          <w:rFonts w:hint="eastAsia" w:asciiTheme="minorEastAsia" w:hAnsiTheme="minorEastAsia"/>
          <w:b w:val="0"/>
          <w:bCs w:val="0"/>
          <w:color w:val="auto"/>
          <w:sz w:val="28"/>
          <w:szCs w:val="28"/>
          <w:lang w:val="en-US" w:eastAsia="zh-CN"/>
        </w:rPr>
      </w:pPr>
      <w:r>
        <w:rPr>
          <w:rFonts w:hint="eastAsia" w:asciiTheme="minorEastAsia" w:hAnsiTheme="minorEastAsia"/>
          <w:b w:val="0"/>
          <w:bCs w:val="0"/>
          <w:color w:val="auto"/>
          <w:sz w:val="28"/>
          <w:szCs w:val="28"/>
          <w:lang w:val="en-US" w:eastAsia="zh-CN"/>
        </w:rPr>
        <w:t>营销创新：外观设计、产品推广、营销渠道、是产品定价等。</w:t>
      </w:r>
    </w:p>
    <w:p>
      <w:pPr>
        <w:pStyle w:val="8"/>
        <w:keepNext w:val="0"/>
        <w:keepLines w:val="0"/>
        <w:pageBreakBefore w:val="0"/>
        <w:widowControl w:val="0"/>
        <w:numPr>
          <w:ilvl w:val="0"/>
          <w:numId w:val="5"/>
        </w:numPr>
        <w:kinsoku/>
        <w:wordWrap/>
        <w:overflowPunct/>
        <w:topLinePunct w:val="0"/>
        <w:autoSpaceDE/>
        <w:autoSpaceDN/>
        <w:bidi w:val="0"/>
        <w:adjustRightInd/>
        <w:snapToGrid/>
        <w:ind w:left="0"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“首次使用”</w:t>
      </w:r>
    </w:p>
    <w:p>
      <w:pPr>
        <w:pStyle w:val="8"/>
        <w:keepNext w:val="0"/>
        <w:keepLines w:val="0"/>
        <w:pageBreakBefore w:val="0"/>
        <w:widowControl w:val="0"/>
        <w:numPr>
          <w:ilvl w:val="0"/>
          <w:numId w:val="7"/>
        </w:numPr>
        <w:kinsoku/>
        <w:wordWrap/>
        <w:overflowPunct/>
        <w:topLinePunct w:val="0"/>
        <w:autoSpaceDE/>
        <w:autoSpaceDN/>
        <w:bidi w:val="0"/>
        <w:adjustRightInd/>
        <w:snapToGrid/>
        <w:ind w:left="0" w:leftChars="0"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组织创新和营销创新等非技术创新的概念中，要在注重对“首次使用”这一概念的强调；</w:t>
      </w:r>
    </w:p>
    <w:p>
      <w:pPr>
        <w:pStyle w:val="8"/>
        <w:keepNext w:val="0"/>
        <w:keepLines w:val="0"/>
        <w:pageBreakBefore w:val="0"/>
        <w:widowControl w:val="0"/>
        <w:numPr>
          <w:ilvl w:val="0"/>
          <w:numId w:val="7"/>
        </w:numPr>
        <w:kinsoku/>
        <w:wordWrap/>
        <w:overflowPunct/>
        <w:topLinePunct w:val="0"/>
        <w:autoSpaceDE/>
        <w:autoSpaceDN/>
        <w:bidi w:val="0"/>
        <w:adjustRightInd/>
        <w:snapToGrid/>
        <w:ind w:left="0" w:leftChars="0" w:firstLine="560" w:firstLineChars="200"/>
        <w:jc w:val="both"/>
        <w:textAlignment w:val="auto"/>
        <w:rPr>
          <w:rFonts w:hint="default" w:asciiTheme="minorEastAsia" w:hAnsiTheme="minorEastAsia"/>
          <w:b w:val="0"/>
          <w:bCs w:val="0"/>
          <w:color w:val="auto"/>
          <w:sz w:val="28"/>
          <w:szCs w:val="28"/>
          <w:lang w:val="en-US" w:eastAsia="zh-CN"/>
        </w:rPr>
      </w:pPr>
      <w:r>
        <w:rPr>
          <w:rFonts w:hint="default" w:asciiTheme="minorEastAsia" w:hAnsiTheme="minorEastAsia"/>
          <w:b w:val="0"/>
          <w:bCs w:val="0"/>
          <w:color w:val="auto"/>
          <w:sz w:val="28"/>
          <w:szCs w:val="28"/>
          <w:lang w:val="en-US" w:eastAsia="zh-CN"/>
        </w:rPr>
        <w:t>对于连续多年有同一类型非技术创新“首次使用”的企业，要进行</w:t>
      </w:r>
      <w:r>
        <w:rPr>
          <w:rFonts w:hint="eastAsia" w:asciiTheme="minorEastAsia" w:hAnsiTheme="minorEastAsia"/>
          <w:b w:val="0"/>
          <w:bCs w:val="0"/>
          <w:color w:val="auto"/>
          <w:sz w:val="28"/>
          <w:szCs w:val="28"/>
          <w:lang w:val="en-US" w:eastAsia="zh-CN"/>
        </w:rPr>
        <w:t>询问</w:t>
      </w:r>
      <w:r>
        <w:rPr>
          <w:rFonts w:hint="default" w:asciiTheme="minorEastAsia" w:hAnsiTheme="minorEastAsia"/>
          <w:b w:val="0"/>
          <w:bCs w:val="0"/>
          <w:color w:val="auto"/>
          <w:sz w:val="28"/>
          <w:szCs w:val="28"/>
          <w:lang w:val="en-US" w:eastAsia="zh-CN"/>
        </w:rPr>
        <w:t>，确定正确理解相关概念内涵。</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asciiTheme="minorEastAsia" w:hAnsiTheme="minorEastAsia"/>
          <w:color w:val="auto"/>
          <w:sz w:val="28"/>
          <w:szCs w:val="28"/>
        </w:rPr>
      </w:pPr>
      <w:r>
        <w:rPr>
          <w:rFonts w:hint="eastAsia" w:asciiTheme="minorEastAsia" w:hAnsiTheme="minorEastAsia"/>
          <w:b/>
          <w:bCs/>
          <w:color w:val="auto"/>
          <w:sz w:val="28"/>
          <w:szCs w:val="28"/>
          <w:lang w:eastAsia="zh-CN"/>
        </w:rPr>
        <w:t>四、</w:t>
      </w:r>
      <w:r>
        <w:rPr>
          <w:rFonts w:hint="eastAsia" w:asciiTheme="minorEastAsia" w:hAnsiTheme="minorEastAsia"/>
          <w:b/>
          <w:bCs/>
          <w:color w:val="auto"/>
          <w:sz w:val="28"/>
          <w:szCs w:val="28"/>
        </w:rPr>
        <w:t>审核要求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1、此项调查报表平台上报前不能出现AB类强制性错误；C类核实性错误在此问卷中一般都为错误，尽量避免；D类可忽略性错误可以存在，但是要求认真查看审核内容后决定是否修改。数据上报期间应每日执行审核，提示企业进行修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2、创新报表与研发表</w:t>
      </w:r>
      <w:r>
        <w:rPr>
          <w:rFonts w:hint="eastAsia" w:asciiTheme="minorEastAsia" w:hAnsiTheme="minorEastAsia"/>
          <w:color w:val="auto"/>
          <w:sz w:val="28"/>
          <w:szCs w:val="28"/>
          <w:lang w:val="en-US" w:eastAsia="zh-CN"/>
        </w:rPr>
        <w:t>6</w:t>
      </w:r>
      <w:r>
        <w:rPr>
          <w:rFonts w:hint="eastAsia" w:asciiTheme="minorEastAsia" w:hAnsiTheme="minorEastAsia"/>
          <w:color w:val="auto"/>
          <w:sz w:val="28"/>
          <w:szCs w:val="28"/>
        </w:rPr>
        <w:t>07-1和</w:t>
      </w:r>
      <w:r>
        <w:rPr>
          <w:rFonts w:hint="eastAsia" w:asciiTheme="minorEastAsia" w:hAnsiTheme="minorEastAsia"/>
          <w:color w:val="auto"/>
          <w:sz w:val="28"/>
          <w:szCs w:val="28"/>
          <w:lang w:val="en-US" w:eastAsia="zh-CN"/>
        </w:rPr>
        <w:t>6</w:t>
      </w:r>
      <w:r>
        <w:rPr>
          <w:rFonts w:hint="eastAsia" w:asciiTheme="minorEastAsia" w:hAnsiTheme="minorEastAsia"/>
          <w:color w:val="auto"/>
          <w:sz w:val="28"/>
          <w:szCs w:val="28"/>
        </w:rPr>
        <w:t xml:space="preserve">07-2表的联审较多，一般情况下，有研发活动就有创新。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3、如果先填报创新再填报研发会因制度间的矛盾而造成逻辑审核上的错误，在公有审核上会出现“×”，需要在上面点一下。</w:t>
      </w:r>
    </w:p>
    <w:p>
      <w:pPr>
        <w:pStyle w:val="8"/>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asciiTheme="minorEastAsia" w:hAnsiTheme="minorEastAsia"/>
          <w:b/>
          <w:bCs/>
          <w:color w:val="auto"/>
          <w:sz w:val="28"/>
          <w:szCs w:val="28"/>
        </w:rPr>
      </w:pPr>
      <w:r>
        <w:rPr>
          <w:rFonts w:hint="eastAsia" w:asciiTheme="minorEastAsia" w:hAnsiTheme="minorEastAsia"/>
          <w:b/>
          <w:bCs/>
          <w:color w:val="auto"/>
          <w:sz w:val="28"/>
          <w:szCs w:val="28"/>
          <w:lang w:eastAsia="zh-CN"/>
        </w:rPr>
        <w:t>五、</w:t>
      </w:r>
      <w:r>
        <w:rPr>
          <w:rFonts w:hint="eastAsia" w:asciiTheme="minorEastAsia" w:hAnsiTheme="minorEastAsia"/>
          <w:b/>
          <w:bCs/>
          <w:color w:val="auto"/>
          <w:sz w:val="28"/>
          <w:szCs w:val="28"/>
        </w:rPr>
        <w:t>填报注意事项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1、规上企业创新调查在企业上报截止时（202</w:t>
      </w:r>
      <w:r>
        <w:rPr>
          <w:rFonts w:hint="eastAsia" w:asciiTheme="minorEastAsia" w:hAnsiTheme="minorEastAsia"/>
          <w:color w:val="auto"/>
          <w:sz w:val="28"/>
          <w:szCs w:val="28"/>
          <w:lang w:val="en-US" w:eastAsia="zh-CN"/>
        </w:rPr>
        <w:t>4</w:t>
      </w:r>
      <w:r>
        <w:rPr>
          <w:rFonts w:hint="eastAsia" w:asciiTheme="minorEastAsia" w:hAnsiTheme="minorEastAsia"/>
          <w:color w:val="auto"/>
          <w:sz w:val="28"/>
          <w:szCs w:val="28"/>
        </w:rPr>
        <w:t>年3月10日24时）</w:t>
      </w:r>
      <w:bookmarkStart w:id="0" w:name="_GoBack"/>
      <w:bookmarkEnd w:id="0"/>
      <w:r>
        <w:rPr>
          <w:rFonts w:hint="eastAsia" w:asciiTheme="minorEastAsia" w:hAnsiTheme="minorEastAsia"/>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2、L122表为抽样调查，即从填写了L121或L123或L125的企业中抽取填报，只要平台上布了L122表的企业即为抽中企业，需要填报L122表。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 xml:space="preserve">3、整体原则：一个企业有多种营业活动，应根据全部营业活动的情况填报，只要企业的众多产品或活动中有一项符合创新，即可判断为“是”，即有创新。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rPr>
        <w:t xml:space="preserve">4、法人原则：集团企业中，某项创新是由具有法人资格的集团子公司实现的，则该项创新的有关情况应由子公司填报，母公司不应重复填报相应内容。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lang w:val="en-US" w:eastAsia="zh-CN"/>
        </w:rPr>
        <w:t>5</w:t>
      </w:r>
      <w:r>
        <w:rPr>
          <w:rFonts w:hint="eastAsia" w:asciiTheme="minorEastAsia" w:hAnsiTheme="minorEastAsia"/>
          <w:color w:val="auto"/>
          <w:sz w:val="28"/>
          <w:szCs w:val="28"/>
        </w:rPr>
        <w:t>、L122表中</w:t>
      </w:r>
      <w:r>
        <w:rPr>
          <w:rFonts w:hint="eastAsia" w:asciiTheme="minorEastAsia" w:hAnsiTheme="minorEastAsia"/>
          <w:color w:val="auto"/>
          <w:sz w:val="28"/>
          <w:szCs w:val="28"/>
          <w:lang w:eastAsia="zh-CN"/>
        </w:rPr>
        <w:t>答题</w:t>
      </w:r>
      <w:r>
        <w:rPr>
          <w:rFonts w:hint="eastAsia" w:asciiTheme="minorEastAsia" w:hAnsiTheme="minorEastAsia"/>
          <w:color w:val="auto"/>
          <w:sz w:val="28"/>
          <w:szCs w:val="28"/>
        </w:rPr>
        <w:t>人应为企业负责人，即使是统计人员填报，也要以企业负责人的实际情况填写企业家问卷中企业家的基本信息。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Theme="minorEastAsia" w:hAnsiTheme="minorEastAsia"/>
          <w:color w:val="auto"/>
          <w:sz w:val="28"/>
          <w:szCs w:val="28"/>
        </w:rPr>
      </w:pPr>
      <w:r>
        <w:rPr>
          <w:rFonts w:hint="eastAsia" w:asciiTheme="minorEastAsia" w:hAnsiTheme="minorEastAsia"/>
          <w:color w:val="auto"/>
          <w:sz w:val="28"/>
          <w:szCs w:val="28"/>
          <w:lang w:val="en-US" w:eastAsia="zh-CN"/>
        </w:rPr>
        <w:t>6</w:t>
      </w:r>
      <w:r>
        <w:rPr>
          <w:rFonts w:hint="eastAsia" w:asciiTheme="minorEastAsia" w:hAnsiTheme="minorEastAsia"/>
          <w:color w:val="auto"/>
          <w:sz w:val="28"/>
          <w:szCs w:val="28"/>
        </w:rPr>
        <w:t>、报表不能漏填,注意报表填写顺序及认真阅读问卷中每一道题目要求，认真看审核提示。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E1955"/>
    <w:multiLevelType w:val="singleLevel"/>
    <w:tmpl w:val="A3DE1955"/>
    <w:lvl w:ilvl="0" w:tentative="0">
      <w:start w:val="1"/>
      <w:numFmt w:val="bullet"/>
      <w:lvlText w:val=""/>
      <w:lvlJc w:val="left"/>
      <w:pPr>
        <w:ind w:left="420" w:hanging="420"/>
      </w:pPr>
      <w:rPr>
        <w:rFonts w:hint="default" w:ascii="Wingdings" w:hAnsi="Wingdings"/>
      </w:rPr>
    </w:lvl>
  </w:abstractNum>
  <w:abstractNum w:abstractNumId="1">
    <w:nsid w:val="BD5EF486"/>
    <w:multiLevelType w:val="singleLevel"/>
    <w:tmpl w:val="BD5EF486"/>
    <w:lvl w:ilvl="0" w:tentative="0">
      <w:start w:val="1"/>
      <w:numFmt w:val="bullet"/>
      <w:lvlText w:val=""/>
      <w:lvlJc w:val="left"/>
      <w:pPr>
        <w:ind w:left="420" w:hanging="420"/>
      </w:pPr>
      <w:rPr>
        <w:rFonts w:hint="default" w:ascii="Wingdings" w:hAnsi="Wingdings"/>
      </w:rPr>
    </w:lvl>
  </w:abstractNum>
  <w:abstractNum w:abstractNumId="2">
    <w:nsid w:val="EACCA617"/>
    <w:multiLevelType w:val="singleLevel"/>
    <w:tmpl w:val="EACCA617"/>
    <w:lvl w:ilvl="0" w:tentative="0">
      <w:start w:val="2"/>
      <w:numFmt w:val="decimal"/>
      <w:suff w:val="nothing"/>
      <w:lvlText w:val="（%1）"/>
      <w:lvlJc w:val="left"/>
    </w:lvl>
  </w:abstractNum>
  <w:abstractNum w:abstractNumId="3">
    <w:nsid w:val="F2FF066D"/>
    <w:multiLevelType w:val="singleLevel"/>
    <w:tmpl w:val="F2FF066D"/>
    <w:lvl w:ilvl="0" w:tentative="0">
      <w:start w:val="1"/>
      <w:numFmt w:val="bullet"/>
      <w:lvlText w:val=""/>
      <w:lvlJc w:val="left"/>
      <w:pPr>
        <w:ind w:left="420" w:hanging="420"/>
      </w:pPr>
      <w:rPr>
        <w:rFonts w:hint="default" w:ascii="Wingdings" w:hAnsi="Wingdings"/>
      </w:rPr>
    </w:lvl>
  </w:abstractNum>
  <w:abstractNum w:abstractNumId="4">
    <w:nsid w:val="FEDEDE0C"/>
    <w:multiLevelType w:val="singleLevel"/>
    <w:tmpl w:val="FEDEDE0C"/>
    <w:lvl w:ilvl="0" w:tentative="0">
      <w:start w:val="1"/>
      <w:numFmt w:val="decimal"/>
      <w:suff w:val="nothing"/>
      <w:lvlText w:val="（%1）"/>
      <w:lvlJc w:val="left"/>
    </w:lvl>
  </w:abstractNum>
  <w:abstractNum w:abstractNumId="5">
    <w:nsid w:val="FF7625FB"/>
    <w:multiLevelType w:val="singleLevel"/>
    <w:tmpl w:val="FF7625FB"/>
    <w:lvl w:ilvl="0" w:tentative="0">
      <w:start w:val="3"/>
      <w:numFmt w:val="decimal"/>
      <w:suff w:val="nothing"/>
      <w:lvlText w:val="%1、"/>
      <w:lvlJc w:val="left"/>
    </w:lvl>
  </w:abstractNum>
  <w:abstractNum w:abstractNumId="6">
    <w:nsid w:val="FFFFEA65"/>
    <w:multiLevelType w:val="singleLevel"/>
    <w:tmpl w:val="FFFFEA65"/>
    <w:lvl w:ilvl="0" w:tentative="0">
      <w:start w:val="1"/>
      <w:numFmt w:val="bullet"/>
      <w:lvlText w:val=""/>
      <w:lvlJc w:val="left"/>
      <w:pPr>
        <w:ind w:left="420" w:hanging="420"/>
      </w:pPr>
      <w:rPr>
        <w:rFonts w:hint="default" w:ascii="Wingdings" w:hAnsi="Wingdings"/>
      </w:rPr>
    </w:lvl>
  </w:abstractNum>
  <w:num w:numId="1">
    <w:abstractNumId w:val="1"/>
  </w:num>
  <w:num w:numId="2">
    <w:abstractNumId w:val="2"/>
  </w:num>
  <w:num w:numId="3">
    <w:abstractNumId w:val="6"/>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CA7"/>
    <w:rsid w:val="000A5CB8"/>
    <w:rsid w:val="000B12AF"/>
    <w:rsid w:val="001F1A1D"/>
    <w:rsid w:val="002471BE"/>
    <w:rsid w:val="00273047"/>
    <w:rsid w:val="002C4CF6"/>
    <w:rsid w:val="002F428A"/>
    <w:rsid w:val="003065AE"/>
    <w:rsid w:val="00334125"/>
    <w:rsid w:val="003364DA"/>
    <w:rsid w:val="003A1AE2"/>
    <w:rsid w:val="003C545E"/>
    <w:rsid w:val="003D068B"/>
    <w:rsid w:val="003D174F"/>
    <w:rsid w:val="004058CE"/>
    <w:rsid w:val="00416998"/>
    <w:rsid w:val="0043666C"/>
    <w:rsid w:val="004374DA"/>
    <w:rsid w:val="00441020"/>
    <w:rsid w:val="00493CA7"/>
    <w:rsid w:val="004A6B70"/>
    <w:rsid w:val="004C7F94"/>
    <w:rsid w:val="005434E7"/>
    <w:rsid w:val="005D5ECA"/>
    <w:rsid w:val="006153D5"/>
    <w:rsid w:val="006651EE"/>
    <w:rsid w:val="006779CF"/>
    <w:rsid w:val="006E06F7"/>
    <w:rsid w:val="007668AF"/>
    <w:rsid w:val="007927D4"/>
    <w:rsid w:val="007A2107"/>
    <w:rsid w:val="008142D9"/>
    <w:rsid w:val="00846577"/>
    <w:rsid w:val="008C257B"/>
    <w:rsid w:val="00906093"/>
    <w:rsid w:val="00975D30"/>
    <w:rsid w:val="009F7756"/>
    <w:rsid w:val="00A35CA8"/>
    <w:rsid w:val="00A77397"/>
    <w:rsid w:val="00AB58CB"/>
    <w:rsid w:val="00B75638"/>
    <w:rsid w:val="00BB4084"/>
    <w:rsid w:val="00C24F9A"/>
    <w:rsid w:val="00C72610"/>
    <w:rsid w:val="00D8474A"/>
    <w:rsid w:val="00DD4DE5"/>
    <w:rsid w:val="00E14543"/>
    <w:rsid w:val="00E20CB5"/>
    <w:rsid w:val="00E531CC"/>
    <w:rsid w:val="00E754C7"/>
    <w:rsid w:val="00EE434C"/>
    <w:rsid w:val="00FA36BB"/>
    <w:rsid w:val="00FC4C69"/>
    <w:rsid w:val="6FDD8E3F"/>
    <w:rsid w:val="79FF8EA3"/>
    <w:rsid w:val="7BDF54FF"/>
    <w:rsid w:val="9D971F6B"/>
    <w:rsid w:val="AF9F4660"/>
    <w:rsid w:val="DDD82F72"/>
    <w:rsid w:val="DE77F08B"/>
    <w:rsid w:val="EA7BCAE6"/>
    <w:rsid w:val="F57D12DA"/>
    <w:rsid w:val="F7B7D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Pages>
  <Words>155</Words>
  <Characters>889</Characters>
  <Lines>7</Lines>
  <Paragraphs>2</Paragraphs>
  <TotalTime>790</TotalTime>
  <ScaleCrop>false</ScaleCrop>
  <LinksUpToDate>false</LinksUpToDate>
  <CharactersWithSpaces>1042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2019-12-19T18:29:00Z</dcterms:created>
  <dc:creator>孙盛楠</dc:creator>
  <cp:lastModifiedBy>uos</cp:lastModifiedBy>
  <dcterms:modified xsi:type="dcterms:W3CDTF">2023-12-15T09:23:48Z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