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adjustRightInd w:val="0"/>
        <w:snapToGrid w:val="0"/>
        <w:jc w:val="center"/>
        <w:rPr>
          <w:rFonts w:eastAsia="方正小标宋简体"/>
          <w:sz w:val="44"/>
          <w:szCs w:val="44"/>
        </w:rPr>
      </w:pPr>
    </w:p>
    <w:p>
      <w:pPr>
        <w:tabs>
          <w:tab w:val="left" w:pos="5220"/>
        </w:tabs>
        <w:adjustRightInd w:val="0"/>
        <w:snapToGrid w:val="0"/>
        <w:jc w:val="center"/>
        <w:rPr>
          <w:rFonts w:eastAsia="方正小标宋简体"/>
          <w:sz w:val="44"/>
          <w:szCs w:val="44"/>
        </w:rPr>
      </w:pPr>
      <w:r>
        <w:rPr>
          <w:rFonts w:hint="eastAsia" w:eastAsia="方正小标宋简体"/>
          <w:sz w:val="44"/>
          <w:szCs w:val="44"/>
        </w:rPr>
        <w:t>北京市朝阳区人民政府外事办公室</w:t>
      </w:r>
    </w:p>
    <w:p>
      <w:pPr>
        <w:tabs>
          <w:tab w:val="left" w:pos="5220"/>
        </w:tabs>
        <w:adjustRightInd w:val="0"/>
        <w:snapToGrid w:val="0"/>
        <w:jc w:val="center"/>
        <w:rPr>
          <w:rFonts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2</w:t>
      </w:r>
      <w:r>
        <w:rPr>
          <w:rFonts w:hint="eastAsia" w:eastAsia="方正小标宋简体"/>
          <w:sz w:val="44"/>
          <w:szCs w:val="44"/>
        </w:rPr>
        <w:t>年政府信息公开工作年度报告</w:t>
      </w:r>
    </w:p>
    <w:p>
      <w:pPr>
        <w:pStyle w:val="2"/>
      </w:pPr>
    </w:p>
    <w:p>
      <w:pPr>
        <w:ind w:firstLine="640" w:firstLineChars="200"/>
      </w:pPr>
      <w:r>
        <w:rPr>
          <w:rFonts w:hint="eastAsia" w:ascii="仿宋_GB2312" w:hAnsi="仿宋_GB2312" w:eastAsia="仿宋_GB2312" w:cs="仿宋_GB2312"/>
          <w:sz w:val="32"/>
          <w:szCs w:val="32"/>
        </w:rPr>
        <w:t>依据《中华人民共和国政府信息公开条例》第五十条之规定，制作本报告。</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一、总体情况 </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1.主动公开情况</w:t>
      </w:r>
    </w:p>
    <w:p>
      <w:pPr>
        <w:widowControl/>
        <w:adjustRightInd w:val="0"/>
        <w:snapToGrid w:val="0"/>
        <w:spacing w:line="560" w:lineRule="atLeast"/>
        <w:ind w:firstLine="640" w:firstLineChars="200"/>
        <w:rPr>
          <w:rFonts w:eastAsia="仿宋_GB2312"/>
          <w:sz w:val="32"/>
          <w:szCs w:val="32"/>
        </w:rPr>
      </w:pPr>
      <w:r>
        <w:rPr>
          <w:rFonts w:hint="eastAsia" w:eastAsia="仿宋_GB2312" w:cs="宋体"/>
          <w:color w:val="000000"/>
          <w:kern w:val="0"/>
          <w:sz w:val="32"/>
          <w:szCs w:val="32"/>
        </w:rPr>
        <w:t>主动公开政府信息是区政府外办一直以来十分重视的一项工作，依法推进政府信息公开</w:t>
      </w:r>
      <w:r>
        <w:rPr>
          <w:rFonts w:hint="eastAsia" w:eastAsia="仿宋_GB2312"/>
          <w:sz w:val="32"/>
          <w:szCs w:val="32"/>
        </w:rPr>
        <w:t>有利于推动朝阳区市民了解区域国际化建设情况，提高居民参与国际交往的积极性并真正享受到对外交往的成果。</w:t>
      </w:r>
    </w:p>
    <w:p>
      <w:pPr>
        <w:widowControl/>
        <w:adjustRightInd w:val="0"/>
        <w:snapToGrid w:val="0"/>
        <w:spacing w:line="560" w:lineRule="atLeast"/>
        <w:ind w:firstLine="640" w:firstLineChars="200"/>
        <w:rPr>
          <w:rFonts w:eastAsia="仿宋_GB2312" w:cs="宋体"/>
          <w:color w:val="000000"/>
          <w:kern w:val="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hint="eastAsia" w:eastAsia="仿宋_GB2312"/>
          <w:sz w:val="32"/>
          <w:szCs w:val="32"/>
        </w:rPr>
        <w:t>年</w:t>
      </w:r>
      <w:r>
        <w:rPr>
          <w:rFonts w:eastAsia="仿宋_GB2312"/>
          <w:sz w:val="32"/>
          <w:szCs w:val="32"/>
        </w:rPr>
        <w:t>，</w:t>
      </w:r>
      <w:r>
        <w:rPr>
          <w:rFonts w:hint="eastAsia" w:eastAsia="仿宋_GB2312"/>
          <w:sz w:val="32"/>
          <w:szCs w:val="32"/>
        </w:rPr>
        <w:t>区政府外办重点围绕区委、区政府中心工作和涉及公民切身利益的、广大人民群众关心的以及需要社会公众广泛知晓或者参与的信息进行公开，加强组织领导，优化公开平台，加强监测管理，取得了明显的成效，政府信息公开水平有了一定程度的提升。全年</w:t>
      </w:r>
      <w:r>
        <w:rPr>
          <w:rFonts w:hint="eastAsia" w:eastAsia="仿宋_GB2312" w:cs="宋体"/>
          <w:kern w:val="0"/>
          <w:sz w:val="32"/>
          <w:szCs w:val="32"/>
        </w:rPr>
        <w:t>主动公开部门动态42条，全文电子化率达</w:t>
      </w:r>
      <w:r>
        <w:rPr>
          <w:rFonts w:ascii="Times New Roman" w:hAnsi="Times New Roman" w:eastAsia="仿宋_GB2312"/>
          <w:sz w:val="32"/>
          <w:szCs w:val="32"/>
        </w:rPr>
        <w:t>100</w:t>
      </w:r>
      <w:r>
        <w:rPr>
          <w:rFonts w:hint="eastAsia" w:eastAsia="仿宋_GB2312" w:cs="宋体"/>
          <w:kern w:val="0"/>
          <w:sz w:val="32"/>
          <w:szCs w:val="32"/>
        </w:rPr>
        <w:t>%</w:t>
      </w:r>
      <w:r>
        <w:rPr>
          <w:rFonts w:hint="eastAsia" w:eastAsia="仿宋_GB2312" w:cs="宋体"/>
          <w:color w:val="000000"/>
          <w:kern w:val="0"/>
          <w:sz w:val="32"/>
          <w:szCs w:val="32"/>
        </w:rPr>
        <w:t>。公开内容主要为业务动态类信息，包括区大型外事活动、区领导外事会见情况、服务基层工作、疫情防控情况、冬奥会协助筹办工作以及推进朝阳区国际交往中心功能建设情况等政府信息。</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2.依申请公开办理情况</w:t>
      </w:r>
    </w:p>
    <w:p>
      <w:pPr>
        <w:spacing w:line="560" w:lineRule="atLeas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办领导对收到的信息公开申请高度重视，经与区公开办充分沟通对接后，严格按时限及流程要求予以答复。</w:t>
      </w:r>
      <w:r>
        <w:rPr>
          <w:rFonts w:ascii="Times New Roman" w:hAnsi="Times New Roman" w:eastAsia="仿宋_GB2312"/>
          <w:sz w:val="32"/>
          <w:szCs w:val="32"/>
        </w:rPr>
        <w:t>202</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 xml:space="preserve">年，区政府外办共收到政府信息公开申请2件。全年未收到针对我办政府信息公开的行政复议及行政诉讼类申请。 </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3.政府信息资源的规范化、标准化管理情况</w:t>
      </w:r>
    </w:p>
    <w:p>
      <w:pPr>
        <w:widowControl/>
        <w:adjustRightInd w:val="0"/>
        <w:snapToGrid w:val="0"/>
        <w:spacing w:line="560" w:lineRule="atLeas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 xml:space="preserve">年，我办严格落实“五公开”制度，将政府信息公开工作纳入重点行政职权清单，形成主动公开及依申请公开规范流程，建立政府信息保密审查机制，严格落实政府信息公开保密审查责任制。同时，进一步加强源头属性管理，要求各科室在发文时明确公文公开属性，确保信息公开内容合乎规范。 </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4.政府信息公开平台建设情况</w:t>
      </w:r>
    </w:p>
    <w:p>
      <w:pPr>
        <w:widowControl/>
        <w:adjustRightInd w:val="0"/>
        <w:snapToGrid w:val="0"/>
        <w:spacing w:line="560" w:lineRule="atLeas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年，我办充分运用信息公开工作平台、北京朝阳等网络阵地，加强政府信息公开工作，营造良好舆论氛围。为方便公众了解信息，我办主动通过以下主要平台公开政府信息：</w:t>
      </w:r>
      <w:r>
        <w:rPr>
          <w:rFonts w:hint="eastAsia" w:ascii="仿宋_GB2312" w:hAnsi="仿宋_GB2312" w:eastAsia="仿宋_GB2312" w:cs="仿宋_GB2312"/>
          <w:b/>
          <w:bCs/>
          <w:sz w:val="32"/>
          <w:szCs w:val="32"/>
        </w:rPr>
        <w:t>一是政府网站</w:t>
      </w:r>
      <w:r>
        <w:rPr>
          <w:rFonts w:hint="eastAsia" w:ascii="仿宋_GB2312" w:hAnsi="仿宋_GB2312" w:eastAsia="仿宋_GB2312" w:cs="仿宋_GB2312"/>
          <w:sz w:val="32"/>
          <w:szCs w:val="32"/>
        </w:rPr>
        <w:t>。及时通过北京朝阳、区政府信息公开专栏发布外事信息，并创新形式，定期向市外办、市友协积极报送信息，大力拓宽了信息公开渠道。</w:t>
      </w:r>
      <w:r>
        <w:rPr>
          <w:rFonts w:hint="eastAsia" w:ascii="仿宋_GB2312" w:hAnsi="仿宋_GB2312" w:eastAsia="仿宋_GB2312" w:cs="仿宋_GB2312"/>
          <w:b/>
          <w:bCs/>
          <w:sz w:val="32"/>
          <w:szCs w:val="32"/>
        </w:rPr>
        <w:t>二是新闻媒体</w:t>
      </w:r>
      <w:r>
        <w:rPr>
          <w:rFonts w:hint="eastAsia" w:ascii="仿宋_GB2312" w:hAnsi="仿宋_GB2312" w:eastAsia="仿宋_GB2312" w:cs="仿宋_GB2312"/>
          <w:sz w:val="32"/>
          <w:szCs w:val="32"/>
        </w:rPr>
        <w:t>。在主动公开的政府信息中，对于部分外事活动或外事会见，积极联系各级媒体，通过报纸、电视等公共媒体宣传政务信息，方便公众查询。</w:t>
      </w:r>
      <w:r>
        <w:rPr>
          <w:rFonts w:hint="eastAsia" w:ascii="仿宋_GB2312" w:hAnsi="仿宋_GB2312" w:eastAsia="仿宋_GB2312" w:cs="仿宋_GB2312"/>
          <w:b/>
          <w:bCs/>
          <w:sz w:val="32"/>
          <w:szCs w:val="32"/>
        </w:rPr>
        <w:t>三是搭建涉外服务平台</w:t>
      </w:r>
      <w:r>
        <w:rPr>
          <w:rFonts w:hint="eastAsia" w:ascii="仿宋_GB2312" w:hAnsi="仿宋_GB2312" w:eastAsia="仿宋_GB2312" w:cs="仿宋_GB2312"/>
          <w:sz w:val="32"/>
          <w:szCs w:val="32"/>
        </w:rPr>
        <w:t>。充分考虑专业国际咨询机构对生活在朝阳的外籍人士的需求调研结果，从解决投资、工作、生活、旅游等重点需求和痛点问题出发，打造场景化板块服务，图文并茂介绍朝阳区的概况和优势、投资政策、产业情况、医疗教育、文化休闲等方面信息、数据和情况，坚持务实简约的设计风格，语言模块、图文字体符合外籍人士浏览习惯，力争成为“两区建设”宣传的重要载体、驻区外籍居民和商务人士了解朝阳的重要平台，以及疫情常态化形势下，对外推介朝阳、向潜在投资者展示朝阳区形象的重要窗口。  </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5.政府信息公开监督保障及教育培训情况</w:t>
      </w:r>
    </w:p>
    <w:p>
      <w:pPr>
        <w:widowControl/>
        <w:adjustRightInd w:val="0"/>
        <w:snapToGrid w:val="0"/>
        <w:spacing w:line="560" w:lineRule="atLeas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年，我办严格按区委区政府整体部署和要求，强化组织领导，确保责任落实，始终把政府信息和政务公开工作列入重要议事日程。</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落实信息公开工作领导责任制。成立信息公开工作领导小组，由陶黎黎主任担任组长，李海波、宋晓晖副主任担任副组长，分管此项工作。全部内设科室（综合科、因公出入境管理科、国际交流和涉外管理科）工作人员为小组成员，领导小组办公室设在综合科。</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 xml:space="preserve">结合党的二十大和历届全会精神，定期在办内宣传相关政策、法规，让全体人员了解信息公开工作主要内容及其重要性，进一步做好政府信息公开工作，并提高全体人员的保密意识。 </w:t>
      </w:r>
    </w:p>
    <w:p>
      <w:pPr>
        <w:widowControl/>
        <w:adjustRightInd w:val="0"/>
        <w:snapToGrid w:val="0"/>
        <w:spacing w:line="540" w:lineRule="atLeas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8613" w:type="dxa"/>
        <w:jc w:val="center"/>
        <w:tblLayout w:type="fixed"/>
        <w:tblCellMar>
          <w:top w:w="0" w:type="dxa"/>
          <w:left w:w="108" w:type="dxa"/>
          <w:bottom w:w="0" w:type="dxa"/>
          <w:right w:w="108" w:type="dxa"/>
        </w:tblCellMar>
      </w:tblPr>
      <w:tblGrid>
        <w:gridCol w:w="1572"/>
        <w:gridCol w:w="1230"/>
        <w:gridCol w:w="2175"/>
        <w:gridCol w:w="1887"/>
        <w:gridCol w:w="1749"/>
      </w:tblGrid>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第二十条第（一）项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对外公开总数量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规章</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规范性文件</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第二十条第（五）项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行政许可</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noWrap/>
            <w:vAlign w:val="center"/>
          </w:tcPr>
          <w:p>
            <w:pPr>
              <w:jc w:val="cente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noWrap/>
            <w:vAlign w:val="center"/>
          </w:tcPr>
          <w:p>
            <w:pPr>
              <w:jc w:val="center"/>
            </w:pPr>
            <w:r>
              <w:rPr>
                <w:rFonts w:hint="eastAsia"/>
              </w:rPr>
              <w:t>行政</w:t>
            </w:r>
            <w:r>
              <w:t>检查</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noWrap/>
            <w:vAlign w:val="center"/>
          </w:tcPr>
          <w:p>
            <w:pPr>
              <w:jc w:val="center"/>
            </w:pPr>
          </w:p>
        </w:tc>
        <w:tc>
          <w:tcPr>
            <w:tcW w:w="1230" w:type="dxa"/>
            <w:tcBorders>
              <w:top w:val="nil"/>
              <w:left w:val="single" w:color="auto" w:sz="4" w:space="0"/>
              <w:bottom w:val="single" w:color="000000" w:sz="4" w:space="0"/>
              <w:right w:val="single" w:color="auto" w:sz="4" w:space="0"/>
            </w:tcBorders>
            <w:shd w:val="clear" w:color="auto" w:fill="9CC2E5"/>
            <w:noWrap/>
            <w:vAlign w:val="center"/>
          </w:tcPr>
          <w:p>
            <w:pPr>
              <w:jc w:val="center"/>
            </w:pPr>
            <w:r>
              <w:rPr>
                <w:rFonts w:hint="eastAsia"/>
              </w:rPr>
              <w:t>行政</w:t>
            </w:r>
            <w:r>
              <w:t>确认</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第二十条第（六）项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行政处罚</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行政强制</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1887" w:type="dxa"/>
            <w:tcBorders>
              <w:top w:val="nil"/>
              <w:left w:val="nil"/>
              <w:bottom w:val="single" w:color="auto" w:sz="4" w:space="0"/>
              <w:right w:val="single" w:color="auto" w:sz="4" w:space="0"/>
            </w:tcBorders>
            <w:noWrap/>
            <w:vAlign w:val="center"/>
          </w:tcPr>
          <w:p>
            <w:pPr>
              <w:jc w:val="center"/>
            </w:pPr>
            <w:r>
              <w:rPr>
                <w:rFonts w:hint="eastAsia"/>
              </w:rPr>
              <w:t>0</w:t>
            </w:r>
          </w:p>
        </w:tc>
        <w:tc>
          <w:tcPr>
            <w:tcW w:w="1749" w:type="dxa"/>
            <w:tcBorders>
              <w:top w:val="nil"/>
              <w:left w:val="nil"/>
              <w:bottom w:val="single" w:color="auto" w:sz="4" w:space="0"/>
              <w:right w:val="single" w:color="auto"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noWrap/>
            <w:vAlign w:val="center"/>
          </w:tcPr>
          <w:p>
            <w:pPr>
              <w:jc w:val="center"/>
            </w:pPr>
            <w:r>
              <w:rPr>
                <w:rFonts w:hint="eastAsia"/>
              </w:rPr>
              <w:t>第二十条第（八）项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noWrap/>
            <w:vAlign w:val="center"/>
          </w:tcPr>
          <w:p>
            <w:pPr>
              <w:jc w:val="cente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noWrap/>
            <w:vAlign w:val="center"/>
          </w:tcPr>
          <w:p>
            <w:pPr>
              <w:jc w:val="center"/>
            </w:pPr>
            <w:r>
              <w:rPr>
                <w:rFonts w:hint="eastAsia"/>
              </w:rPr>
              <w:t>本年增/减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行政事业性收费</w:t>
            </w:r>
          </w:p>
        </w:tc>
        <w:tc>
          <w:tcPr>
            <w:tcW w:w="2175" w:type="dxa"/>
            <w:tcBorders>
              <w:top w:val="single" w:color="auto" w:sz="4" w:space="0"/>
              <w:left w:val="nil"/>
              <w:bottom w:val="single" w:color="auto" w:sz="4" w:space="0"/>
              <w:right w:val="single" w:color="auto" w:sz="4" w:space="0"/>
            </w:tcBorders>
            <w:noWrap/>
            <w:vAlign w:val="center"/>
          </w:tcPr>
          <w:p>
            <w:pPr>
              <w:jc w:val="center"/>
            </w:pPr>
            <w:r>
              <w:rPr>
                <w:rFonts w:hint="eastAsia"/>
              </w:rPr>
              <w:t>0</w:t>
            </w:r>
          </w:p>
        </w:tc>
        <w:tc>
          <w:tcPr>
            <w:tcW w:w="3636" w:type="dxa"/>
            <w:gridSpan w:val="2"/>
            <w:tcBorders>
              <w:top w:val="single" w:color="auto" w:sz="4" w:space="0"/>
              <w:left w:val="nil"/>
              <w:bottom w:val="single" w:color="auto" w:sz="4" w:space="0"/>
              <w:right w:val="single" w:color="000000" w:sz="4" w:space="0"/>
            </w:tcBorders>
            <w:noWrap/>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noWrap/>
            <w:vAlign w:val="center"/>
          </w:tcPr>
          <w:p>
            <w:pPr>
              <w:jc w:val="center"/>
            </w:pPr>
            <w:r>
              <w:rPr>
                <w:rFonts w:hint="eastAsia"/>
              </w:rPr>
              <w:t>第二十条第（九）项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noWrap/>
            <w:vAlign w:val="center"/>
          </w:tcPr>
          <w:p>
            <w:pPr>
              <w:jc w:val="cente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noWrap/>
            <w:vAlign w:val="center"/>
          </w:tcPr>
          <w:p>
            <w:pPr>
              <w:jc w:val="center"/>
            </w:pPr>
            <w:r>
              <w:rPr>
                <w:rFonts w:hint="eastAsia"/>
              </w:rPr>
              <w:t>采购总金额（万元，保留四位小数）</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noWrap/>
            <w:vAlign w:val="center"/>
          </w:tcPr>
          <w:p>
            <w:pPr>
              <w:jc w:val="center"/>
            </w:pPr>
            <w:r>
              <w:rPr>
                <w:rFonts w:hint="eastAsia"/>
              </w:rPr>
              <w:t>政府集中采购</w:t>
            </w:r>
          </w:p>
        </w:tc>
        <w:tc>
          <w:tcPr>
            <w:tcW w:w="2175" w:type="dxa"/>
            <w:tcBorders>
              <w:top w:val="nil"/>
              <w:left w:val="nil"/>
              <w:bottom w:val="single" w:color="auto" w:sz="4" w:space="0"/>
              <w:right w:val="single" w:color="auto" w:sz="4" w:space="0"/>
            </w:tcBorders>
            <w:noWrap/>
            <w:vAlign w:val="center"/>
          </w:tcPr>
          <w:p>
            <w:pPr>
              <w:jc w:val="center"/>
            </w:pPr>
            <w:r>
              <w:rPr>
                <w:rFonts w:hint="eastAsia"/>
              </w:rPr>
              <w:t>0</w:t>
            </w:r>
          </w:p>
        </w:tc>
        <w:tc>
          <w:tcPr>
            <w:tcW w:w="3636" w:type="dxa"/>
            <w:gridSpan w:val="2"/>
            <w:tcBorders>
              <w:top w:val="single" w:color="auto" w:sz="4" w:space="0"/>
              <w:left w:val="nil"/>
              <w:bottom w:val="single" w:color="auto" w:sz="4" w:space="0"/>
              <w:right w:val="single" w:color="000000" w:sz="4" w:space="0"/>
            </w:tcBorders>
            <w:noWrap/>
            <w:vAlign w:val="center"/>
          </w:tcPr>
          <w:p>
            <w:pPr>
              <w:jc w:val="center"/>
            </w:pPr>
            <w:r>
              <w:rPr>
                <w:rFonts w:hint="eastAsia"/>
              </w:rPr>
              <w:t>0</w:t>
            </w:r>
          </w:p>
        </w:tc>
      </w:tr>
    </w:tbl>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noWrap/>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tcMar>
              <w:top w:w="0" w:type="dxa"/>
              <w:left w:w="108" w:type="dxa"/>
              <w:bottom w:w="0" w:type="dxa"/>
              <w:right w:w="108" w:type="dxa"/>
            </w:tcMar>
            <w:vAlign w:val="center"/>
          </w:tcPr>
          <w:p/>
        </w:tc>
        <w:tc>
          <w:tcPr>
            <w:tcW w:w="709" w:type="dxa"/>
            <w:vMerge w:val="restart"/>
            <w:shd w:val="clear" w:color="auto" w:fill="5B9BD5"/>
            <w:noWrap/>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noWrap/>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noWrap/>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tcMar>
              <w:top w:w="0" w:type="dxa"/>
              <w:left w:w="108" w:type="dxa"/>
              <w:bottom w:w="0" w:type="dxa"/>
              <w:right w:w="108" w:type="dxa"/>
            </w:tcMar>
            <w:vAlign w:val="center"/>
          </w:tcPr>
          <w:p/>
        </w:tc>
        <w:tc>
          <w:tcPr>
            <w:tcW w:w="709" w:type="dxa"/>
            <w:vMerge w:val="continue"/>
            <w:shd w:val="clear" w:color="auto" w:fill="auto"/>
            <w:noWrap/>
            <w:tcMar>
              <w:top w:w="0" w:type="dxa"/>
              <w:left w:w="108" w:type="dxa"/>
              <w:bottom w:w="0" w:type="dxa"/>
              <w:right w:w="108" w:type="dxa"/>
            </w:tcMar>
            <w:vAlign w:val="center"/>
          </w:tcPr>
          <w:p>
            <w:pPr>
              <w:jc w:val="center"/>
            </w:pPr>
          </w:p>
        </w:tc>
        <w:tc>
          <w:tcPr>
            <w:tcW w:w="709" w:type="dxa"/>
            <w:shd w:val="clear" w:color="auto" w:fill="5B9BD5"/>
            <w:noWrap/>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noWrap/>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noWrap/>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noWrap/>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noWrap/>
            <w:tcMar>
              <w:top w:w="0" w:type="dxa"/>
              <w:left w:w="108" w:type="dxa"/>
              <w:bottom w:w="0" w:type="dxa"/>
              <w:right w:w="108" w:type="dxa"/>
            </w:tcMar>
            <w:vAlign w:val="center"/>
          </w:tcPr>
          <w:p>
            <w:pPr>
              <w:jc w:val="center"/>
            </w:pPr>
            <w:r>
              <w:rPr>
                <w:rFonts w:hint="eastAsia"/>
              </w:rPr>
              <w:t>其他</w:t>
            </w:r>
          </w:p>
        </w:tc>
        <w:tc>
          <w:tcPr>
            <w:tcW w:w="709" w:type="dxa"/>
            <w:vMerge w:val="continue"/>
            <w:noWrap/>
            <w:tcMar>
              <w:top w:w="0" w:type="dxa"/>
              <w:left w:w="108" w:type="dxa"/>
              <w:bottom w:w="0" w:type="dxa"/>
              <w:right w:w="108"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tcMar>
              <w:top w:w="0" w:type="dxa"/>
              <w:left w:w="108" w:type="dxa"/>
              <w:bottom w:w="0" w:type="dxa"/>
              <w:right w:w="108" w:type="dxa"/>
            </w:tcMar>
            <w:vAlign w:val="center"/>
          </w:tcPr>
          <w:p>
            <w:r>
              <w:rPr>
                <w:rFonts w:hint="eastAsia"/>
              </w:rPr>
              <w:t>一、本年新收政府信息公开申请数量</w:t>
            </w:r>
          </w:p>
        </w:tc>
        <w:tc>
          <w:tcPr>
            <w:tcW w:w="709" w:type="dxa"/>
            <w:noWrap/>
            <w:tcMar>
              <w:top w:w="0" w:type="dxa"/>
              <w:left w:w="108" w:type="dxa"/>
              <w:bottom w:w="0" w:type="dxa"/>
              <w:right w:w="108" w:type="dxa"/>
            </w:tcMar>
            <w:vAlign w:val="center"/>
          </w:tcPr>
          <w:p>
            <w:pPr>
              <w:jc w:val="center"/>
            </w:pPr>
            <w:r>
              <w:rPr>
                <w:rFonts w:hint="eastAsia"/>
              </w:rPr>
              <w:t>2</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tcMar>
              <w:top w:w="0" w:type="dxa"/>
              <w:left w:w="108" w:type="dxa"/>
              <w:bottom w:w="0" w:type="dxa"/>
              <w:right w:w="108" w:type="dxa"/>
            </w:tcMar>
            <w:vAlign w:val="center"/>
          </w:tcPr>
          <w:p>
            <w:r>
              <w:rPr>
                <w:rFonts w:hint="eastAsia"/>
              </w:rPr>
              <w:t>二、上年结转政府信息公开申请数量</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noWrap/>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（一）予以公开</w:t>
            </w:r>
          </w:p>
        </w:tc>
        <w:tc>
          <w:tcPr>
            <w:tcW w:w="709" w:type="dxa"/>
            <w:noWrap/>
            <w:tcMar>
              <w:top w:w="0" w:type="dxa"/>
              <w:left w:w="108" w:type="dxa"/>
              <w:bottom w:w="0" w:type="dxa"/>
              <w:right w:w="108" w:type="dxa"/>
            </w:tcMar>
            <w:vAlign w:val="center"/>
          </w:tcPr>
          <w:p>
            <w:pPr>
              <w:jc w:val="center"/>
            </w:pPr>
            <w:r>
              <w:rPr>
                <w:rFonts w:hint="eastAsia"/>
              </w:rPr>
              <w:t>1</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（二）部分公开（区分处理的，只计这一情形，不计其他情形）</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restart"/>
            <w:shd w:val="clear" w:color="auto" w:fill="BDD6EE"/>
            <w:noWrap/>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（三）不予</w:t>
            </w:r>
          </w:p>
          <w:p>
            <w:pPr>
              <w:jc w:val="center"/>
              <w:rPr>
                <w:rFonts w:ascii="楷体_GB2312" w:eastAsia="楷体_GB2312"/>
              </w:rPr>
            </w:pPr>
            <w:r>
              <w:rPr>
                <w:rFonts w:hint="eastAsia" w:ascii="楷体_GB2312" w:eastAsia="楷体_GB2312"/>
              </w:rPr>
              <w:t>公开</w:t>
            </w: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1.属于国家秘密</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2.其他法律行政法规禁止公开</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3.危及“三安全一稳定”</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4.保护第三方合法权益</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5.属于三类内部事务信息</w:t>
            </w:r>
          </w:p>
        </w:tc>
        <w:tc>
          <w:tcPr>
            <w:tcW w:w="709" w:type="dxa"/>
            <w:noWrap/>
            <w:tcMar>
              <w:top w:w="0" w:type="dxa"/>
              <w:left w:w="108" w:type="dxa"/>
              <w:bottom w:w="0" w:type="dxa"/>
              <w:right w:w="108" w:type="dxa"/>
            </w:tcMar>
            <w:vAlign w:val="center"/>
          </w:tcPr>
          <w:p>
            <w:pPr>
              <w:jc w:val="center"/>
            </w:pPr>
            <w:r>
              <w:rPr>
                <w:rFonts w:hint="eastAsia"/>
              </w:rPr>
              <w:t>1</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6.属于四类过程性信息</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7.属于行政执法案卷</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8.属于行政查询事项</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restart"/>
            <w:shd w:val="clear" w:color="auto" w:fill="BDD6EE"/>
            <w:noWrap/>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（四）无法</w:t>
            </w:r>
          </w:p>
          <w:p>
            <w:pPr>
              <w:jc w:val="center"/>
              <w:rPr>
                <w:rFonts w:ascii="楷体_GB2312" w:eastAsia="楷体_GB2312"/>
              </w:rPr>
            </w:pPr>
            <w:r>
              <w:rPr>
                <w:rFonts w:hint="eastAsia" w:ascii="楷体_GB2312" w:eastAsia="楷体_GB2312"/>
              </w:rPr>
              <w:t>提供</w:t>
            </w: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1.本机关不掌握相关政府信息</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2.没有现成信息需要另行制作</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3.补正后申请内容仍不明确</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restart"/>
            <w:shd w:val="clear" w:color="auto" w:fill="BDD6EE"/>
            <w:noWrap/>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（五）不予</w:t>
            </w:r>
          </w:p>
          <w:p>
            <w:pPr>
              <w:jc w:val="center"/>
              <w:rPr>
                <w:rFonts w:ascii="楷体_GB2312" w:eastAsia="楷体_GB2312"/>
              </w:rPr>
            </w:pPr>
            <w:r>
              <w:rPr>
                <w:rFonts w:hint="eastAsia" w:ascii="楷体_GB2312" w:eastAsia="楷体_GB2312"/>
              </w:rPr>
              <w:t>处理</w:t>
            </w: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1.信访举报投诉类申请</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2.重复申请</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3.要求提供公开出版物</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4.无正当理由大量反复申请</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856" w:type="dxa"/>
            <w:vMerge w:val="continue"/>
            <w:shd w:val="clear" w:color="auto" w:fill="BDD6EE"/>
            <w:noWrap/>
            <w:tcMar>
              <w:top w:w="0" w:type="dxa"/>
              <w:left w:w="108" w:type="dxa"/>
              <w:bottom w:w="0" w:type="dxa"/>
              <w:right w:w="108" w:type="dxa"/>
            </w:tcMar>
            <w:vAlign w:val="center"/>
          </w:tcPr>
          <w:p>
            <w:pPr>
              <w:rPr>
                <w:rFonts w:ascii="楷体_GB2312" w:eastAsia="楷体_GB2312"/>
              </w:rPr>
            </w:pPr>
          </w:p>
        </w:tc>
        <w:tc>
          <w:tcPr>
            <w:tcW w:w="2957" w:type="dxa"/>
            <w:shd w:val="clear" w:color="auto" w:fill="DEEAF6"/>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5.要求行政机关确认或重新出具已获取信息</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（六）其他处理</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noWrap/>
            <w:tcMar>
              <w:top w:w="0" w:type="dxa"/>
              <w:left w:w="108" w:type="dxa"/>
              <w:bottom w:w="0" w:type="dxa"/>
              <w:right w:w="108" w:type="dxa"/>
            </w:tcMar>
            <w:vAlign w:val="center"/>
          </w:tcPr>
          <w:p/>
        </w:tc>
        <w:tc>
          <w:tcPr>
            <w:tcW w:w="3813" w:type="dxa"/>
            <w:gridSpan w:val="2"/>
            <w:shd w:val="clear" w:color="auto" w:fill="BDD6EE"/>
            <w:noWrap/>
            <w:tcMar>
              <w:top w:w="0" w:type="dxa"/>
              <w:left w:w="108" w:type="dxa"/>
              <w:bottom w:w="0" w:type="dxa"/>
              <w:right w:w="108" w:type="dxa"/>
            </w:tcMar>
            <w:vAlign w:val="center"/>
          </w:tcPr>
          <w:p>
            <w:pPr>
              <w:rPr>
                <w:rFonts w:ascii="楷体_GB2312" w:eastAsia="楷体_GB2312"/>
              </w:rPr>
            </w:pPr>
            <w:r>
              <w:rPr>
                <w:rFonts w:hint="eastAsia" w:ascii="楷体_GB2312" w:eastAsia="楷体_GB2312"/>
              </w:rPr>
              <w:t>（七）总计</w:t>
            </w:r>
          </w:p>
        </w:tc>
        <w:tc>
          <w:tcPr>
            <w:tcW w:w="709" w:type="dxa"/>
            <w:noWrap/>
            <w:tcMar>
              <w:top w:w="0" w:type="dxa"/>
              <w:left w:w="108" w:type="dxa"/>
              <w:bottom w:w="0" w:type="dxa"/>
              <w:right w:w="108" w:type="dxa"/>
            </w:tcMar>
            <w:vAlign w:val="center"/>
          </w:tcPr>
          <w:p>
            <w:pPr>
              <w:jc w:val="center"/>
            </w:pPr>
            <w:r>
              <w:rPr>
                <w:rFonts w:hint="eastAsia"/>
              </w:rPr>
              <w:t>2</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noWrap/>
            <w:tcMar>
              <w:top w:w="0" w:type="dxa"/>
              <w:left w:w="108" w:type="dxa"/>
              <w:bottom w:w="0" w:type="dxa"/>
              <w:right w:w="108" w:type="dxa"/>
            </w:tcMar>
            <w:vAlign w:val="center"/>
          </w:tcPr>
          <w:p>
            <w:r>
              <w:rPr>
                <w:rFonts w:hint="eastAsia"/>
              </w:rPr>
              <w:t>四、结转下年度继续办理</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708"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c>
          <w:tcPr>
            <w:tcW w:w="567" w:type="dxa"/>
            <w:noWrap/>
            <w:tcMar>
              <w:top w:w="0" w:type="dxa"/>
              <w:left w:w="108" w:type="dxa"/>
              <w:bottom w:w="0" w:type="dxa"/>
              <w:right w:w="108" w:type="dxa"/>
            </w:tcMar>
            <w:vAlign w:val="center"/>
          </w:tcPr>
          <w:p>
            <w:pPr>
              <w:jc w:val="center"/>
            </w:pPr>
            <w:r>
              <w:rPr>
                <w:rFonts w:hint="eastAsia"/>
              </w:rPr>
              <w:t>0</w:t>
            </w:r>
          </w:p>
        </w:tc>
        <w:tc>
          <w:tcPr>
            <w:tcW w:w="709" w:type="dxa"/>
            <w:noWrap/>
            <w:tcMar>
              <w:top w:w="0" w:type="dxa"/>
              <w:left w:w="108" w:type="dxa"/>
              <w:bottom w:w="0" w:type="dxa"/>
              <w:right w:w="108" w:type="dxa"/>
            </w:tcMar>
            <w:vAlign w:val="center"/>
          </w:tcPr>
          <w:p>
            <w:pPr>
              <w:jc w:val="center"/>
            </w:pPr>
            <w:r>
              <w:rPr>
                <w:rFonts w:hint="eastAsia"/>
              </w:rPr>
              <w:t>0</w:t>
            </w:r>
          </w:p>
        </w:tc>
      </w:tr>
    </w:tbl>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noWrap/>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noWrap/>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noWrap/>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noWrap/>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noWrap/>
            <w:tcMar>
              <w:top w:w="0" w:type="dxa"/>
              <w:left w:w="108" w:type="dxa"/>
              <w:bottom w:w="0" w:type="dxa"/>
              <w:right w:w="108" w:type="dxa"/>
            </w:tcMar>
            <w:vAlign w:val="center"/>
          </w:tcPr>
          <w:p>
            <w:pPr>
              <w:jc w:val="center"/>
            </w:pPr>
          </w:p>
        </w:tc>
        <w:tc>
          <w:tcPr>
            <w:tcW w:w="541" w:type="dxa"/>
            <w:vMerge w:val="continue"/>
            <w:noWrap/>
            <w:tcMar>
              <w:top w:w="0" w:type="dxa"/>
              <w:left w:w="108" w:type="dxa"/>
              <w:bottom w:w="0" w:type="dxa"/>
              <w:right w:w="108" w:type="dxa"/>
            </w:tcMar>
            <w:vAlign w:val="center"/>
          </w:tcPr>
          <w:p>
            <w:pPr>
              <w:jc w:val="center"/>
            </w:pPr>
          </w:p>
        </w:tc>
        <w:tc>
          <w:tcPr>
            <w:tcW w:w="604" w:type="dxa"/>
            <w:vMerge w:val="continue"/>
            <w:noWrap/>
            <w:tcMar>
              <w:top w:w="0" w:type="dxa"/>
              <w:left w:w="108" w:type="dxa"/>
              <w:bottom w:w="0" w:type="dxa"/>
              <w:right w:w="108" w:type="dxa"/>
            </w:tcMar>
            <w:vAlign w:val="center"/>
          </w:tcPr>
          <w:p>
            <w:pPr>
              <w:jc w:val="center"/>
            </w:pPr>
          </w:p>
        </w:tc>
        <w:tc>
          <w:tcPr>
            <w:tcW w:w="604" w:type="dxa"/>
            <w:vMerge w:val="continue"/>
            <w:noWrap/>
            <w:tcMar>
              <w:top w:w="0" w:type="dxa"/>
              <w:left w:w="108" w:type="dxa"/>
              <w:bottom w:w="0" w:type="dxa"/>
              <w:right w:w="108" w:type="dxa"/>
            </w:tcMar>
            <w:vAlign w:val="center"/>
          </w:tcPr>
          <w:p>
            <w:pPr>
              <w:jc w:val="center"/>
            </w:pPr>
          </w:p>
        </w:tc>
        <w:tc>
          <w:tcPr>
            <w:tcW w:w="658" w:type="dxa"/>
            <w:vMerge w:val="continue"/>
            <w:noWrap/>
            <w:tcMar>
              <w:top w:w="0" w:type="dxa"/>
              <w:left w:w="108" w:type="dxa"/>
              <w:bottom w:w="0" w:type="dxa"/>
              <w:right w:w="108" w:type="dxa"/>
            </w:tcMar>
            <w:vAlign w:val="center"/>
          </w:tcPr>
          <w:p>
            <w:pPr>
              <w:jc w:val="center"/>
            </w:pPr>
          </w:p>
        </w:tc>
        <w:tc>
          <w:tcPr>
            <w:tcW w:w="550" w:type="dxa"/>
            <w:noWrap/>
            <w:tcMar>
              <w:top w:w="0" w:type="dxa"/>
              <w:left w:w="108" w:type="dxa"/>
              <w:bottom w:w="0" w:type="dxa"/>
              <w:right w:w="108" w:type="dxa"/>
            </w:tcMar>
            <w:vAlign w:val="center"/>
          </w:tcPr>
          <w:p>
            <w:pPr>
              <w:jc w:val="center"/>
            </w:pPr>
            <w:r>
              <w:rPr>
                <w:rFonts w:hint="eastAsia"/>
              </w:rPr>
              <w:t>结果维持</w:t>
            </w:r>
          </w:p>
        </w:tc>
        <w:tc>
          <w:tcPr>
            <w:tcW w:w="605" w:type="dxa"/>
            <w:noWrap/>
            <w:tcMar>
              <w:top w:w="0" w:type="dxa"/>
              <w:left w:w="108" w:type="dxa"/>
              <w:bottom w:w="0" w:type="dxa"/>
              <w:right w:w="108" w:type="dxa"/>
            </w:tcMar>
            <w:vAlign w:val="center"/>
          </w:tcPr>
          <w:p>
            <w:pPr>
              <w:jc w:val="center"/>
            </w:pPr>
            <w:r>
              <w:rPr>
                <w:rFonts w:hint="eastAsia"/>
              </w:rPr>
              <w:t>结果纠正</w:t>
            </w:r>
          </w:p>
        </w:tc>
        <w:tc>
          <w:tcPr>
            <w:tcW w:w="605" w:type="dxa"/>
            <w:noWrap/>
            <w:tcMar>
              <w:top w:w="0" w:type="dxa"/>
              <w:left w:w="108" w:type="dxa"/>
              <w:bottom w:w="0" w:type="dxa"/>
              <w:right w:w="108" w:type="dxa"/>
            </w:tcMar>
            <w:vAlign w:val="center"/>
          </w:tcPr>
          <w:p>
            <w:pPr>
              <w:jc w:val="center"/>
            </w:pPr>
            <w:r>
              <w:rPr>
                <w:rFonts w:hint="eastAsia"/>
              </w:rPr>
              <w:t>其他结果</w:t>
            </w:r>
          </w:p>
        </w:tc>
        <w:tc>
          <w:tcPr>
            <w:tcW w:w="605" w:type="dxa"/>
            <w:noWrap/>
            <w:tcMar>
              <w:top w:w="0" w:type="dxa"/>
              <w:left w:w="108" w:type="dxa"/>
              <w:bottom w:w="0" w:type="dxa"/>
              <w:right w:w="108" w:type="dxa"/>
            </w:tcMar>
            <w:vAlign w:val="center"/>
          </w:tcPr>
          <w:p>
            <w:pPr>
              <w:jc w:val="center"/>
            </w:pPr>
            <w:r>
              <w:rPr>
                <w:rFonts w:hint="eastAsia"/>
              </w:rPr>
              <w:t>尚未审结</w:t>
            </w:r>
          </w:p>
        </w:tc>
        <w:tc>
          <w:tcPr>
            <w:tcW w:w="605" w:type="dxa"/>
            <w:noWrap/>
            <w:tcMar>
              <w:top w:w="0" w:type="dxa"/>
              <w:left w:w="108" w:type="dxa"/>
              <w:bottom w:w="0" w:type="dxa"/>
              <w:right w:w="108" w:type="dxa"/>
            </w:tcMar>
            <w:vAlign w:val="center"/>
          </w:tcPr>
          <w:p>
            <w:pPr>
              <w:jc w:val="center"/>
            </w:pPr>
            <w:r>
              <w:rPr>
                <w:rFonts w:hint="eastAsia"/>
              </w:rPr>
              <w:t>总计</w:t>
            </w:r>
          </w:p>
        </w:tc>
        <w:tc>
          <w:tcPr>
            <w:tcW w:w="605" w:type="dxa"/>
            <w:noWrap/>
            <w:tcMar>
              <w:top w:w="0" w:type="dxa"/>
              <w:left w:w="108" w:type="dxa"/>
              <w:bottom w:w="0" w:type="dxa"/>
              <w:right w:w="108" w:type="dxa"/>
            </w:tcMar>
            <w:vAlign w:val="center"/>
          </w:tcPr>
          <w:p>
            <w:pPr>
              <w:jc w:val="center"/>
            </w:pPr>
            <w:r>
              <w:rPr>
                <w:rFonts w:hint="eastAsia"/>
              </w:rPr>
              <w:t>结果维持</w:t>
            </w:r>
          </w:p>
        </w:tc>
        <w:tc>
          <w:tcPr>
            <w:tcW w:w="605" w:type="dxa"/>
            <w:noWrap/>
            <w:tcMar>
              <w:top w:w="0" w:type="dxa"/>
              <w:left w:w="108" w:type="dxa"/>
              <w:bottom w:w="0" w:type="dxa"/>
              <w:right w:w="108" w:type="dxa"/>
            </w:tcMar>
            <w:vAlign w:val="center"/>
          </w:tcPr>
          <w:p>
            <w:pPr>
              <w:jc w:val="center"/>
            </w:pPr>
            <w:r>
              <w:rPr>
                <w:rFonts w:hint="eastAsia"/>
              </w:rPr>
              <w:t>结果纠正</w:t>
            </w:r>
          </w:p>
        </w:tc>
        <w:tc>
          <w:tcPr>
            <w:tcW w:w="605" w:type="dxa"/>
            <w:noWrap/>
            <w:tcMar>
              <w:top w:w="0" w:type="dxa"/>
              <w:left w:w="108" w:type="dxa"/>
              <w:bottom w:w="0" w:type="dxa"/>
              <w:right w:w="108" w:type="dxa"/>
            </w:tcMar>
            <w:vAlign w:val="center"/>
          </w:tcPr>
          <w:p>
            <w:pPr>
              <w:jc w:val="center"/>
            </w:pPr>
            <w:r>
              <w:rPr>
                <w:rFonts w:hint="eastAsia"/>
              </w:rPr>
              <w:t>其他结果</w:t>
            </w:r>
          </w:p>
        </w:tc>
        <w:tc>
          <w:tcPr>
            <w:tcW w:w="606" w:type="dxa"/>
            <w:noWrap/>
            <w:tcMar>
              <w:top w:w="0" w:type="dxa"/>
              <w:left w:w="108" w:type="dxa"/>
              <w:bottom w:w="0" w:type="dxa"/>
              <w:right w:w="108" w:type="dxa"/>
            </w:tcMar>
            <w:vAlign w:val="center"/>
          </w:tcPr>
          <w:p>
            <w:pPr>
              <w:jc w:val="center"/>
            </w:pPr>
            <w:r>
              <w:rPr>
                <w:rFonts w:hint="eastAsia"/>
              </w:rPr>
              <w:t>尚未审结</w:t>
            </w:r>
          </w:p>
        </w:tc>
        <w:tc>
          <w:tcPr>
            <w:tcW w:w="606" w:type="dxa"/>
            <w:noWrap/>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noWrap/>
            <w:tcMar>
              <w:top w:w="0" w:type="dxa"/>
              <w:left w:w="108" w:type="dxa"/>
              <w:bottom w:w="0" w:type="dxa"/>
              <w:right w:w="108" w:type="dxa"/>
            </w:tcMar>
            <w:vAlign w:val="center"/>
          </w:tcPr>
          <w:p>
            <w:pPr>
              <w:jc w:val="center"/>
            </w:pPr>
            <w:r>
              <w:rPr>
                <w:rFonts w:hint="eastAsia"/>
              </w:rPr>
              <w:t>0</w:t>
            </w:r>
          </w:p>
        </w:tc>
        <w:tc>
          <w:tcPr>
            <w:tcW w:w="541" w:type="dxa"/>
            <w:noWrap/>
            <w:tcMar>
              <w:top w:w="0" w:type="dxa"/>
              <w:left w:w="108" w:type="dxa"/>
              <w:bottom w:w="0" w:type="dxa"/>
              <w:right w:w="108" w:type="dxa"/>
            </w:tcMar>
            <w:vAlign w:val="center"/>
          </w:tcPr>
          <w:p>
            <w:pPr>
              <w:jc w:val="center"/>
            </w:pPr>
            <w:r>
              <w:rPr>
                <w:rFonts w:hint="eastAsia"/>
              </w:rPr>
              <w:t>0</w:t>
            </w:r>
          </w:p>
        </w:tc>
        <w:tc>
          <w:tcPr>
            <w:tcW w:w="604" w:type="dxa"/>
            <w:noWrap/>
            <w:tcMar>
              <w:top w:w="0" w:type="dxa"/>
              <w:left w:w="108" w:type="dxa"/>
              <w:bottom w:w="0" w:type="dxa"/>
              <w:right w:w="108" w:type="dxa"/>
            </w:tcMar>
            <w:vAlign w:val="center"/>
          </w:tcPr>
          <w:p>
            <w:pPr>
              <w:jc w:val="center"/>
            </w:pPr>
            <w:r>
              <w:rPr>
                <w:rFonts w:hint="eastAsia"/>
              </w:rPr>
              <w:t>0</w:t>
            </w:r>
          </w:p>
        </w:tc>
        <w:tc>
          <w:tcPr>
            <w:tcW w:w="604" w:type="dxa"/>
            <w:noWrap/>
            <w:tcMar>
              <w:top w:w="0" w:type="dxa"/>
              <w:left w:w="108" w:type="dxa"/>
              <w:bottom w:w="0" w:type="dxa"/>
              <w:right w:w="108" w:type="dxa"/>
            </w:tcMar>
            <w:vAlign w:val="center"/>
          </w:tcPr>
          <w:p>
            <w:pPr>
              <w:jc w:val="center"/>
            </w:pPr>
            <w:r>
              <w:rPr>
                <w:rFonts w:hint="eastAsia"/>
              </w:rPr>
              <w:t>0</w:t>
            </w:r>
          </w:p>
        </w:tc>
        <w:tc>
          <w:tcPr>
            <w:tcW w:w="658" w:type="dxa"/>
            <w:noWrap/>
            <w:tcMar>
              <w:top w:w="0" w:type="dxa"/>
              <w:left w:w="108" w:type="dxa"/>
              <w:bottom w:w="0" w:type="dxa"/>
              <w:right w:w="108" w:type="dxa"/>
            </w:tcMar>
            <w:vAlign w:val="center"/>
          </w:tcPr>
          <w:p>
            <w:pPr>
              <w:jc w:val="center"/>
            </w:pPr>
            <w:r>
              <w:rPr>
                <w:rFonts w:hint="eastAsia"/>
              </w:rPr>
              <w:t>0</w:t>
            </w:r>
          </w:p>
        </w:tc>
        <w:tc>
          <w:tcPr>
            <w:tcW w:w="550"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5" w:type="dxa"/>
            <w:noWrap/>
            <w:tcMar>
              <w:top w:w="0" w:type="dxa"/>
              <w:left w:w="108" w:type="dxa"/>
              <w:bottom w:w="0" w:type="dxa"/>
              <w:right w:w="108" w:type="dxa"/>
            </w:tcMar>
            <w:vAlign w:val="center"/>
          </w:tcPr>
          <w:p>
            <w:pPr>
              <w:jc w:val="center"/>
            </w:pPr>
            <w:r>
              <w:rPr>
                <w:rFonts w:hint="eastAsia"/>
              </w:rPr>
              <w:t>0</w:t>
            </w:r>
          </w:p>
        </w:tc>
        <w:tc>
          <w:tcPr>
            <w:tcW w:w="606" w:type="dxa"/>
            <w:noWrap/>
            <w:tcMar>
              <w:top w:w="0" w:type="dxa"/>
              <w:left w:w="108" w:type="dxa"/>
              <w:bottom w:w="0" w:type="dxa"/>
              <w:right w:w="108" w:type="dxa"/>
            </w:tcMar>
            <w:vAlign w:val="center"/>
          </w:tcPr>
          <w:p>
            <w:pPr>
              <w:jc w:val="center"/>
            </w:pPr>
            <w:r>
              <w:rPr>
                <w:rFonts w:hint="eastAsia"/>
              </w:rPr>
              <w:t>0</w:t>
            </w:r>
          </w:p>
        </w:tc>
        <w:tc>
          <w:tcPr>
            <w:tcW w:w="606" w:type="dxa"/>
            <w:noWrap/>
            <w:tcMar>
              <w:top w:w="0" w:type="dxa"/>
              <w:left w:w="108" w:type="dxa"/>
              <w:bottom w:w="0" w:type="dxa"/>
              <w:right w:w="108" w:type="dxa"/>
            </w:tcMar>
            <w:vAlign w:val="center"/>
          </w:tcPr>
          <w:p>
            <w:pPr>
              <w:jc w:val="center"/>
            </w:pPr>
            <w:r>
              <w:rPr>
                <w:rFonts w:hint="eastAsia"/>
              </w:rPr>
              <w:t>0</w:t>
            </w:r>
          </w:p>
        </w:tc>
      </w:tr>
    </w:tbl>
    <w:p/>
    <w:p>
      <w:pPr>
        <w:pStyle w:val="2"/>
      </w:pP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五、存在的主要问题及改进情况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从全年来看，区政府外办政府信息和政务公开工作进展顺利。但为进一步提高外事部门信息公开工作的科学性和规范性，区政府外办将继续加大科室协作力度、完善督促考核机制、深化多渠道公开形式。</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1.政策解读公开形式方面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存在的主要问题：对政策解读的公开形式仍有一定的上升空间。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进情况：针对发布的政府文件，同步配发解读稿，如开展访谈、专家解读、媒体评论、数字图解等多种方式，有重点、多角度、深层次地解读引导，确保公众更好地读懂读深读透、正确理解、全面认识。做到重要事项件件有解读，解读有新意。重点解读政策背景、重点任务、后续工作考虑等，及时准确传递权威信息和政策意图。</w:t>
      </w: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2.统筹管理力度方面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存在的主要问题：政府信息公开统筹管理力度有待进一步加强。</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进情况：进一步加大统筹管理力度，不断加强对政务公开工作的组织领导，完善各项督促机制，推动各科室积极履职，完善信息公开联动机制，同时召开专题会议研究政务公开工作，明确责任分工，落实人员和经费保障，树立“政务公开、人人有责”意识，不断形成工作合力，统筹推进工作开展。</w:t>
      </w:r>
      <w:bookmarkStart w:id="0" w:name="_GoBack"/>
      <w:bookmarkEnd w:id="0"/>
    </w:p>
    <w:p>
      <w:pPr>
        <w:pStyle w:val="2"/>
      </w:pPr>
    </w:p>
    <w:p>
      <w:pPr>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六、其他需要报告的事项 </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本报告所列数据的统计期限,自</w:t>
      </w:r>
      <w:r>
        <w:rPr>
          <w:rFonts w:hint="default" w:ascii="Times New Roman" w:hAnsi="Times New Roman" w:eastAsia="仿宋_GB2312" w:cs="Times New Roman"/>
          <w:sz w:val="32"/>
          <w:szCs w:val="32"/>
        </w:rPr>
        <w:t>2022年1月1日起至12月31</w:t>
      </w:r>
      <w:r>
        <w:rPr>
          <w:rFonts w:hint="eastAsia" w:ascii="仿宋_GB2312" w:hAnsi="仿宋_GB2312" w:eastAsia="仿宋_GB2312" w:cs="仿宋_GB2312"/>
          <w:sz w:val="32"/>
          <w:szCs w:val="32"/>
        </w:rPr>
        <w:t xml:space="preserve">日止。本报告的电子版可登录“朝阳区政府门户网站（“北京·朝阳”）http://www.bjchy.gov.cn/——政府信息公开栏目——政府信息公开年报”下载查阅。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MWU5N2UxZTI2NjNkMmQ3OTZkYzM3YjhjYWY4MjgifQ=="/>
  </w:docVars>
  <w:rsids>
    <w:rsidRoot w:val="69986997"/>
    <w:rsid w:val="00114683"/>
    <w:rsid w:val="002526A5"/>
    <w:rsid w:val="00261B27"/>
    <w:rsid w:val="00325716"/>
    <w:rsid w:val="00356A13"/>
    <w:rsid w:val="00471761"/>
    <w:rsid w:val="004C4BD2"/>
    <w:rsid w:val="00521285"/>
    <w:rsid w:val="0079069E"/>
    <w:rsid w:val="00903D2F"/>
    <w:rsid w:val="00A30C93"/>
    <w:rsid w:val="00AA770B"/>
    <w:rsid w:val="00BB5EB1"/>
    <w:rsid w:val="00BD77F9"/>
    <w:rsid w:val="00C50086"/>
    <w:rsid w:val="00CF4156"/>
    <w:rsid w:val="00CF696E"/>
    <w:rsid w:val="00D22D13"/>
    <w:rsid w:val="00DB78F8"/>
    <w:rsid w:val="00E14058"/>
    <w:rsid w:val="00F347F0"/>
    <w:rsid w:val="02477318"/>
    <w:rsid w:val="02DD1A2B"/>
    <w:rsid w:val="03203633"/>
    <w:rsid w:val="03A84552"/>
    <w:rsid w:val="04252DBC"/>
    <w:rsid w:val="044323BB"/>
    <w:rsid w:val="04AB2548"/>
    <w:rsid w:val="05654271"/>
    <w:rsid w:val="05AC3826"/>
    <w:rsid w:val="060043AE"/>
    <w:rsid w:val="069114AA"/>
    <w:rsid w:val="07396468"/>
    <w:rsid w:val="089876C4"/>
    <w:rsid w:val="0A9C4637"/>
    <w:rsid w:val="0A9F23E7"/>
    <w:rsid w:val="0BFC1173"/>
    <w:rsid w:val="0C305562"/>
    <w:rsid w:val="0C467CCC"/>
    <w:rsid w:val="0C963376"/>
    <w:rsid w:val="0C985340"/>
    <w:rsid w:val="0D393DEE"/>
    <w:rsid w:val="0D404194"/>
    <w:rsid w:val="0D5374B9"/>
    <w:rsid w:val="0DE2636B"/>
    <w:rsid w:val="0E1409F6"/>
    <w:rsid w:val="0EB35BFC"/>
    <w:rsid w:val="0ED85EC8"/>
    <w:rsid w:val="0F7D3049"/>
    <w:rsid w:val="11D42516"/>
    <w:rsid w:val="12713CD9"/>
    <w:rsid w:val="129C35E6"/>
    <w:rsid w:val="13514A81"/>
    <w:rsid w:val="13911B55"/>
    <w:rsid w:val="142855D5"/>
    <w:rsid w:val="15B50D11"/>
    <w:rsid w:val="15CC0FB1"/>
    <w:rsid w:val="1672275E"/>
    <w:rsid w:val="16797F90"/>
    <w:rsid w:val="16DE1BA1"/>
    <w:rsid w:val="16E15B36"/>
    <w:rsid w:val="17943681"/>
    <w:rsid w:val="179606CE"/>
    <w:rsid w:val="181539A1"/>
    <w:rsid w:val="18694BEC"/>
    <w:rsid w:val="18972CA4"/>
    <w:rsid w:val="19032EE9"/>
    <w:rsid w:val="1A1A3C7E"/>
    <w:rsid w:val="1AC15A62"/>
    <w:rsid w:val="1AFA0F74"/>
    <w:rsid w:val="1BAE049C"/>
    <w:rsid w:val="1C246C7A"/>
    <w:rsid w:val="1D927B8A"/>
    <w:rsid w:val="1E1849AF"/>
    <w:rsid w:val="1E3173A3"/>
    <w:rsid w:val="1E3A3D4E"/>
    <w:rsid w:val="1E3E4ED1"/>
    <w:rsid w:val="1FC1299D"/>
    <w:rsid w:val="1FC14756"/>
    <w:rsid w:val="1FFF55BF"/>
    <w:rsid w:val="203161C5"/>
    <w:rsid w:val="203D202F"/>
    <w:rsid w:val="20FC224E"/>
    <w:rsid w:val="25275D65"/>
    <w:rsid w:val="25864737"/>
    <w:rsid w:val="25873337"/>
    <w:rsid w:val="26265313"/>
    <w:rsid w:val="29026233"/>
    <w:rsid w:val="2AB25D98"/>
    <w:rsid w:val="2C131E96"/>
    <w:rsid w:val="2C6800CD"/>
    <w:rsid w:val="2D460049"/>
    <w:rsid w:val="2E4B293F"/>
    <w:rsid w:val="2F6A2714"/>
    <w:rsid w:val="2F6F1AD9"/>
    <w:rsid w:val="313D10AF"/>
    <w:rsid w:val="32E26601"/>
    <w:rsid w:val="33246B0B"/>
    <w:rsid w:val="33FC76B3"/>
    <w:rsid w:val="34661376"/>
    <w:rsid w:val="34963499"/>
    <w:rsid w:val="349F081A"/>
    <w:rsid w:val="35E01D82"/>
    <w:rsid w:val="37495E9D"/>
    <w:rsid w:val="37677539"/>
    <w:rsid w:val="378A6714"/>
    <w:rsid w:val="37DB00FE"/>
    <w:rsid w:val="38190834"/>
    <w:rsid w:val="3A1F2630"/>
    <w:rsid w:val="3AF9494C"/>
    <w:rsid w:val="3CA1704A"/>
    <w:rsid w:val="3CCA2A44"/>
    <w:rsid w:val="3D6F5161"/>
    <w:rsid w:val="3E197866"/>
    <w:rsid w:val="3EAC4947"/>
    <w:rsid w:val="3EDE4585"/>
    <w:rsid w:val="3F70465D"/>
    <w:rsid w:val="3F890995"/>
    <w:rsid w:val="3FA96941"/>
    <w:rsid w:val="40ED0AAF"/>
    <w:rsid w:val="425D3A13"/>
    <w:rsid w:val="4269685C"/>
    <w:rsid w:val="42742A55"/>
    <w:rsid w:val="42CC0D2A"/>
    <w:rsid w:val="42D716AB"/>
    <w:rsid w:val="4383394D"/>
    <w:rsid w:val="4417451F"/>
    <w:rsid w:val="45FB416D"/>
    <w:rsid w:val="474817A1"/>
    <w:rsid w:val="494616A5"/>
    <w:rsid w:val="4AE17835"/>
    <w:rsid w:val="4BDC455D"/>
    <w:rsid w:val="4C2E349F"/>
    <w:rsid w:val="4C46376A"/>
    <w:rsid w:val="4CE81348"/>
    <w:rsid w:val="4CFE5DF2"/>
    <w:rsid w:val="4D0C44B3"/>
    <w:rsid w:val="4F253D90"/>
    <w:rsid w:val="4F5F4FC3"/>
    <w:rsid w:val="5043693E"/>
    <w:rsid w:val="52C61160"/>
    <w:rsid w:val="53A74DAA"/>
    <w:rsid w:val="57670A19"/>
    <w:rsid w:val="57707911"/>
    <w:rsid w:val="5842514F"/>
    <w:rsid w:val="58DD6E82"/>
    <w:rsid w:val="594B23BF"/>
    <w:rsid w:val="595358B3"/>
    <w:rsid w:val="5A0E2186"/>
    <w:rsid w:val="5AC42E7D"/>
    <w:rsid w:val="5B25399D"/>
    <w:rsid w:val="5B557525"/>
    <w:rsid w:val="5D05607C"/>
    <w:rsid w:val="5D4D7960"/>
    <w:rsid w:val="5DDD5E38"/>
    <w:rsid w:val="60296E05"/>
    <w:rsid w:val="6073439A"/>
    <w:rsid w:val="62EB2527"/>
    <w:rsid w:val="641750CF"/>
    <w:rsid w:val="64BC23C3"/>
    <w:rsid w:val="67395F4D"/>
    <w:rsid w:val="67C021CA"/>
    <w:rsid w:val="686D4D00"/>
    <w:rsid w:val="69986997"/>
    <w:rsid w:val="699E02E9"/>
    <w:rsid w:val="6C61164D"/>
    <w:rsid w:val="6D79320D"/>
    <w:rsid w:val="6E443B55"/>
    <w:rsid w:val="6E963C85"/>
    <w:rsid w:val="6EA312E2"/>
    <w:rsid w:val="6FB72105"/>
    <w:rsid w:val="704F1660"/>
    <w:rsid w:val="71B11502"/>
    <w:rsid w:val="723932A5"/>
    <w:rsid w:val="72517016"/>
    <w:rsid w:val="73322C16"/>
    <w:rsid w:val="74F75E97"/>
    <w:rsid w:val="75CC6BDB"/>
    <w:rsid w:val="770D67DD"/>
    <w:rsid w:val="78292FFB"/>
    <w:rsid w:val="782C38DF"/>
    <w:rsid w:val="78320EC2"/>
    <w:rsid w:val="79A30609"/>
    <w:rsid w:val="7BA10ABC"/>
    <w:rsid w:val="7D3606AF"/>
    <w:rsid w:val="7DB14637"/>
    <w:rsid w:val="7DF2060D"/>
    <w:rsid w:val="7E0A0835"/>
    <w:rsid w:val="7E553215"/>
    <w:rsid w:val="7E63138A"/>
    <w:rsid w:val="7ECB1729"/>
    <w:rsid w:val="7F6E5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B75B4-D6C8-48A5-B027-8FCE0F238B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2825</Words>
  <Characters>2898</Characters>
  <Lines>23</Lines>
  <Paragraphs>6</Paragraphs>
  <TotalTime>344</TotalTime>
  <ScaleCrop>false</ScaleCrop>
  <LinksUpToDate>false</LinksUpToDate>
  <CharactersWithSpaces>2912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2020-11-30T09:00:00Z</dcterms:created>
  <dc:creator>小拉布拉多</dc:creator>
  <cp:lastModifiedBy>Administrator</cp:lastModifiedBy>
  <cp:lastPrinted>2020-12-09T09:32:00Z</cp:lastPrinted>
  <dcterms:modified xsi:type="dcterms:W3CDTF">2023-01-04T08:28:30Z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00BCEC36827247418EC6DA3DFC263F80</vt:lpwstr>
  </property>
</Properties>
</file>