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D493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2025年朝阳区呼家楼街道</w:t>
      </w:r>
    </w:p>
    <w:p w14:paraId="2DC9135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313" w:afterLines="100" w:afterAutospacing="0" w:line="560" w:lineRule="exact"/>
        <w:ind w:right="0" w:rightChars="0"/>
        <w:jc w:val="center"/>
        <w:textAlignment w:val="auto"/>
        <w:rPr>
          <w:rFonts w:hint="eastAsia" w:ascii="方正小标宋简体" w:hAnsi="方正小标宋简体" w:eastAsia="方正小标宋简体" w:cs="方正小标宋简体"/>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法治政府建设情况报告</w:t>
      </w:r>
    </w:p>
    <w:p w14:paraId="3040401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2025</w:t>
      </w:r>
      <w:r>
        <w:rPr>
          <w:rFonts w:hint="eastAsia" w:ascii="仿宋_GB2312" w:hAnsi="仿宋_GB2312" w:eastAsia="仿宋_GB2312" w:cs="仿宋_GB2312"/>
          <w:color w:val="auto"/>
          <w:kern w:val="2"/>
          <w:sz w:val="32"/>
          <w:szCs w:val="32"/>
          <w:lang w:val="en-US" w:eastAsia="zh-CN" w:bidi="ar-SA"/>
        </w:rPr>
        <w:t>年，在区委、区政府的坚强领导和区委全面依法委员会办公室的精心指导下，呼家楼街道始终以习近平新时代中国特色社会主义思想为指导，深入学习贯彻党的二十大及二十届三中、</w:t>
      </w:r>
      <w:bookmarkStart w:id="1" w:name="_GoBack"/>
      <w:bookmarkEnd w:id="1"/>
      <w:r>
        <w:rPr>
          <w:rFonts w:hint="eastAsia" w:ascii="仿宋_GB2312" w:hAnsi="仿宋_GB2312" w:eastAsia="仿宋_GB2312" w:cs="仿宋_GB2312"/>
          <w:color w:val="auto"/>
          <w:kern w:val="2"/>
          <w:sz w:val="32"/>
          <w:szCs w:val="32"/>
          <w:lang w:val="en-US" w:eastAsia="zh-CN" w:bidi="ar-SA"/>
        </w:rPr>
        <w:t>四中全会精神，牢牢把握习近平法治思想核心要义，贯彻实施全区法治政府建设的总体要求，将法治建设深度融入街道治理、政务服务、民生保障的全过程，全力构建权责法定、执法严明、服务高效的基层法治治理格局，为辖区高质量发展与首都核心功能保障提供坚实的法治支撑。现将本年度法治政府建设情况报告如下。</w:t>
      </w:r>
    </w:p>
    <w:p w14:paraId="61C13727">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一、推进法治政府建设情况</w:t>
      </w:r>
    </w:p>
    <w:p w14:paraId="0E5AF859">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（一）依法全面履行法治政府职能</w:t>
      </w:r>
    </w:p>
    <w:p w14:paraId="339B3C2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压实法治政府建设责任。将法治政府建设纳入街道年度总体工作计划和重点工作台账，年初以会议形式专题汇报上一年度法治政府建设情况。充分发挥呼家楼街道法治建设领导小组的核心作用，形成主要领导统领推进，各分管领导分业务推进，相关部门全面配合的工作局面。</w:t>
      </w:r>
    </w:p>
    <w:p w14:paraId="469E274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深化依法履职能力提升。建立常态化学法机制，落实“会前学法”制度，本年度开展办公会前学法4次，开展专题法治讲座2次，全年组织街道领导班子、机关干部重点学习新出台的优化营商环境和涉企行政检查相关法律法规；贯彻落实街道党委理论中心组学法制度；实施“先锋成长计划</w:t>
      </w:r>
      <w:r>
        <w:rPr>
          <w:rFonts w:hint="eastAsia" w:ascii="Times New Roman" w:hAnsi="Times New Roman" w:eastAsia="仿宋_GB2312" w:cs="Times New Roman"/>
          <w:color w:val="auto"/>
          <w:kern w:val="2"/>
          <w:sz w:val="32"/>
          <w:szCs w:val="32"/>
          <w:lang w:val="en-US" w:eastAsia="zh-CN" w:bidi="ar-SA"/>
        </w:rPr>
        <w:t>2</w:t>
      </w:r>
      <w:r>
        <w:rPr>
          <w:rFonts w:hint="eastAsia" w:ascii="仿宋_GB2312" w:hAnsi="仿宋_GB2312" w:eastAsia="仿宋_GB2312" w:cs="仿宋_GB2312"/>
          <w:color w:val="auto"/>
          <w:kern w:val="2"/>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0</w:t>
      </w:r>
      <w:r>
        <w:rPr>
          <w:rFonts w:hint="eastAsia" w:ascii="仿宋_GB2312" w:hAnsi="仿宋_GB2312" w:eastAsia="仿宋_GB2312" w:cs="仿宋_GB2312"/>
          <w:color w:val="auto"/>
          <w:kern w:val="2"/>
          <w:sz w:val="32"/>
          <w:szCs w:val="32"/>
          <w:lang w:val="en-US" w:eastAsia="zh-CN" w:bidi="ar-SA"/>
        </w:rPr>
        <w:t>”“萤火计划”“雁阵计划”，推动机关干部、社区工作者将法治思维融入日常工作。</w:t>
      </w:r>
    </w:p>
    <w:p w14:paraId="3F902C73">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三是聚焦基层法治成果转化。扎实开展主题教育，践行“四下基层”，大兴调查研究，形成了</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12</w:t>
      </w:r>
      <w:r>
        <w:rPr>
          <w:rFonts w:hint="eastAsia" w:ascii="仿宋_GB2312" w:hAnsi="仿宋_GB2312" w:eastAsia="仿宋_GB2312" w:cs="仿宋_GB2312"/>
          <w:color w:val="auto"/>
          <w:kern w:val="2"/>
          <w:sz w:val="32"/>
          <w:szCs w:val="32"/>
          <w:lang w:val="en-US" w:eastAsia="zh-CN" w:bidi="ar-SA"/>
        </w:rPr>
        <w:t>篇高质量调研报告。重视发挥典型示范引领作用，</w:t>
      </w:r>
      <w:r>
        <w:rPr>
          <w:rFonts w:hint="eastAsia" w:ascii="仿宋_GB2312" w:hAnsi="仿宋_GB2312" w:eastAsia="仿宋_GB2312" w:cs="仿宋_GB2312"/>
          <w:b w:val="0"/>
          <w:bCs w:val="0"/>
          <w:sz w:val="32"/>
          <w:szCs w:val="32"/>
          <w:highlight w:val="none"/>
          <w:lang w:val="en-US" w:eastAsia="zh-CN"/>
        </w:rPr>
        <w:t>限额以下工程安全管理信息登记线上平台申报</w:t>
      </w:r>
      <w:r>
        <w:rPr>
          <w:rFonts w:hint="default" w:ascii="Times New Roman" w:hAnsi="Times New Roman" w:eastAsia="仿宋_GB2312" w:cs="Times New Roman"/>
          <w:b w:val="0"/>
          <w:bCs w:val="0"/>
          <w:sz w:val="32"/>
          <w:szCs w:val="32"/>
          <w:highlight w:val="none"/>
          <w:lang w:val="en-US" w:eastAsia="zh-CN"/>
        </w:rPr>
        <w:t>2025</w:t>
      </w:r>
      <w:r>
        <w:rPr>
          <w:rFonts w:hint="eastAsia" w:ascii="仿宋_GB2312" w:hAnsi="仿宋_GB2312" w:eastAsia="仿宋_GB2312" w:cs="仿宋_GB2312"/>
          <w:b w:val="0"/>
          <w:bCs w:val="0"/>
          <w:sz w:val="32"/>
          <w:szCs w:val="32"/>
          <w:highlight w:val="none"/>
          <w:lang w:val="en-US" w:eastAsia="zh-CN"/>
        </w:rPr>
        <w:t>年法治政府建设经验创新项目。</w:t>
      </w:r>
      <w:r>
        <w:rPr>
          <w:rFonts w:hint="eastAsia" w:ascii="仿宋_GB2312" w:hAnsi="仿宋_GB2312" w:eastAsia="仿宋_GB2312" w:cs="仿宋_GB2312"/>
          <w:color w:val="auto"/>
          <w:kern w:val="2"/>
          <w:sz w:val="32"/>
          <w:szCs w:val="32"/>
          <w:lang w:val="en-US" w:eastAsia="zh-CN" w:bidi="ar-SA"/>
        </w:rPr>
        <w:t>提升社会治理规范化、制度化水平。成立呼家楼街道物业联盟，探索以党建引领为核心、物业联盟为抓手、社区精细化管理为着力点的基层社会治理新路径。</w:t>
      </w:r>
    </w:p>
    <w:p w14:paraId="6950DA54">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（二）持续深化政府职能协同高效</w:t>
      </w:r>
    </w:p>
    <w:p w14:paraId="11F5C8BA">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持续推动政务服务规范高效运行。深度探索网格化社会治理新模式，打造“三网六区智平台”党建引领基层网格精细化治理数字平台，开发“人口信息管理服务平台”，实现人口、房屋数字化管理，居民社会服务需求“码上办”。深入开展民政领域专项治理工作，严格落实“一把手”工程工作要求，制定了《呼家楼街道民政领域专项整治工作工作方案》，总结治理成果并形成专项治理报告。</w:t>
      </w:r>
    </w:p>
    <w:p w14:paraId="04C94C79">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二是继续深化一体化综合监管改革。</w:t>
      </w:r>
      <w:r>
        <w:rPr>
          <w:rFonts w:hint="eastAsia" w:ascii="仿宋_GB2312" w:hAnsi="仿宋_GB2312" w:eastAsia="仿宋_GB2312" w:cs="仿宋_GB2312"/>
          <w:sz w:val="32"/>
          <w:szCs w:val="32"/>
          <w:highlight w:val="none"/>
        </w:rPr>
        <w:t>依托城市管理综合执法大数据平台，持续深化涉企检查规范化建设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kern w:val="2"/>
          <w:sz w:val="32"/>
          <w:szCs w:val="32"/>
          <w:lang w:val="en-US" w:eastAsia="zh-CN" w:bidi="ar-SA"/>
        </w:rPr>
        <w:t>严格落实“非现场监管为主，现场检查为辅”的基本原则，</w:t>
      </w:r>
      <w:r>
        <w:rPr>
          <w:rFonts w:hint="eastAsia" w:ascii="仿宋_GB2312" w:hAnsi="仿宋_GB2312" w:eastAsia="仿宋_GB2312" w:cs="仿宋_GB2312"/>
          <w:sz w:val="32"/>
          <w:szCs w:val="32"/>
          <w:highlight w:val="none"/>
        </w:rPr>
        <w:t>对地区企业</w:t>
      </w:r>
      <w:r>
        <w:rPr>
          <w:rFonts w:hint="eastAsia" w:ascii="仿宋_GB2312" w:hAnsi="仿宋_GB2312" w:eastAsia="仿宋_GB2312" w:cs="仿宋_GB2312"/>
          <w:sz w:val="32"/>
          <w:szCs w:val="32"/>
          <w:highlight w:val="none"/>
          <w:lang w:eastAsia="zh-CN"/>
        </w:rPr>
        <w:t>全面</w:t>
      </w:r>
      <w:r>
        <w:rPr>
          <w:rFonts w:hint="eastAsia" w:ascii="仿宋_GB2312" w:hAnsi="仿宋_GB2312" w:eastAsia="仿宋_GB2312" w:cs="仿宋_GB2312"/>
          <w:sz w:val="32"/>
          <w:szCs w:val="32"/>
          <w:highlight w:val="none"/>
        </w:rPr>
        <w:t>推行“无事不扰”检查机制</w:t>
      </w:r>
      <w:r>
        <w:rPr>
          <w:rFonts w:hint="eastAsia" w:ascii="仿宋_GB2312" w:hAnsi="仿宋_GB2312" w:eastAsia="仿宋_GB2312" w:cs="仿宋_GB2312"/>
          <w:sz w:val="32"/>
          <w:szCs w:val="32"/>
          <w:highlight w:val="none"/>
          <w:lang w:eastAsia="zh-CN"/>
        </w:rPr>
        <w:t>，利用技防手段</w:t>
      </w:r>
      <w:r>
        <w:rPr>
          <w:rFonts w:hint="eastAsia" w:ascii="仿宋_GB2312" w:hAnsi="仿宋_GB2312" w:eastAsia="仿宋_GB2312" w:cs="仿宋_GB2312"/>
          <w:color w:val="auto"/>
          <w:kern w:val="2"/>
          <w:sz w:val="32"/>
          <w:szCs w:val="32"/>
          <w:lang w:val="en-US" w:eastAsia="zh-CN" w:bidi="ar-SA"/>
        </w:rPr>
        <w:t>实现非现场检查率持续提升；</w:t>
      </w:r>
      <w:r>
        <w:rPr>
          <w:rFonts w:hint="eastAsia" w:ascii="仿宋_GB2312" w:hAnsi="仿宋_GB2312" w:eastAsia="仿宋_GB2312" w:cs="仿宋_GB2312"/>
          <w:sz w:val="32"/>
          <w:szCs w:val="32"/>
          <w:highlight w:val="none"/>
        </w:rPr>
        <w:t>截至</w:t>
      </w:r>
      <w:r>
        <w:rPr>
          <w:rFonts w:hint="default" w:ascii="Times New Roman" w:hAnsi="Times New Roman" w:eastAsia="仿宋_GB2312" w:cs="Times New Roman"/>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底，</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2025</w:t>
      </w:r>
      <w:r>
        <w:rPr>
          <w:rFonts w:hint="eastAsia" w:ascii="仿宋_GB2312" w:hAnsi="仿宋_GB2312" w:eastAsia="仿宋_GB2312" w:cs="仿宋_GB2312"/>
          <w:color w:val="000000" w:themeColor="text1"/>
          <w:sz w:val="32"/>
          <w:szCs w:val="32"/>
          <w:highlight w:val="none"/>
          <w14:textFill>
            <w14:solidFill>
              <w14:schemeClr w14:val="tx1"/>
            </w14:solidFill>
          </w14:textFill>
        </w:rPr>
        <w:t>年行政检查同比下降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71</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78</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auto"/>
          <w:sz w:val="32"/>
          <w:szCs w:val="32"/>
          <w:highlight w:val="none"/>
          <w:lang w:eastAsia="zh-CN"/>
        </w:rPr>
        <w:t>严格落实“扫码入企”工作要求，本年度</w:t>
      </w:r>
      <w:r>
        <w:rPr>
          <w:rFonts w:hint="eastAsia" w:ascii="仿宋_GB2312" w:hAnsi="仿宋_GB2312" w:eastAsia="仿宋_GB2312" w:cs="仿宋_GB2312"/>
          <w:sz w:val="32"/>
          <w:szCs w:val="32"/>
          <w:highlight w:val="none"/>
        </w:rPr>
        <w:t>实现扫码检查全覆盖</w:t>
      </w:r>
      <w:r>
        <w:rPr>
          <w:rFonts w:hint="eastAsia" w:ascii="仿宋_GB2312" w:hAnsi="仿宋_GB2312" w:eastAsia="仿宋_GB2312" w:cs="仿宋_GB2312"/>
          <w:sz w:val="32"/>
          <w:szCs w:val="32"/>
          <w:highlight w:val="none"/>
          <w:lang w:eastAsia="zh-CN"/>
        </w:rPr>
        <w:t>，推行扫码评价、一次入企全面检查等制度</w:t>
      </w:r>
      <w:r>
        <w:rPr>
          <w:rFonts w:hint="eastAsia" w:ascii="仿宋_GB2312" w:hAnsi="仿宋_GB2312" w:eastAsia="仿宋_GB2312" w:cs="仿宋_GB2312"/>
          <w:sz w:val="32"/>
          <w:szCs w:val="32"/>
          <w:highlight w:val="none"/>
        </w:rPr>
        <w:t>。</w:t>
      </w:r>
    </w:p>
    <w:p w14:paraId="78A41AC2">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三是深入推进法治化营商环境建设。坚持将营商环境作为“双一把手”工程，不断完善“服务包”“服务管家”机制，坚持“无事不扰，有事必到”</w:t>
      </w:r>
      <w:r>
        <w:rPr>
          <w:rFonts w:hint="default"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用好“三进三送三平台”，制定《深化商务楼宇“双楼长”工作机制方案》，做好助企纾困工作。狠抓财源建设，激发消费活力，举办北京热狗节等活动，培育财富购物中心、中骏世界城“CBD限时步行街”等网红餐饮聚集地，推动商圈升级，优化消费载体。</w:t>
      </w:r>
    </w:p>
    <w:p w14:paraId="22C6519B">
      <w:pPr>
        <w:keepNext w:val="0"/>
        <w:keepLines w:val="0"/>
        <w:pageBreakBefore w:val="0"/>
        <w:kinsoku/>
        <w:overflowPunct/>
        <w:topLinePunct w:val="0"/>
        <w:autoSpaceDE/>
        <w:autoSpaceDN/>
        <w:bidi w:val="0"/>
        <w:adjustRightInd/>
        <w:snapToGrid/>
        <w:spacing w:line="560" w:lineRule="exact"/>
        <w:ind w:right="0" w:rightChars="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（三）加强行政执法规范与效能建设</w:t>
      </w:r>
    </w:p>
    <w:p w14:paraId="2A35E1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bCs/>
          <w:sz w:val="32"/>
          <w:szCs w:val="32"/>
          <w:highlight w:val="none"/>
        </w:rPr>
      </w:pPr>
      <w:r>
        <w:rPr>
          <w:rFonts w:hint="eastAsia" w:ascii="仿宋_GB2312" w:hAnsi="仿宋_GB2312" w:eastAsia="仿宋_GB2312" w:cs="仿宋_GB2312"/>
          <w:color w:val="auto"/>
          <w:kern w:val="2"/>
          <w:sz w:val="32"/>
          <w:szCs w:val="32"/>
          <w:lang w:val="en-US" w:eastAsia="zh-CN" w:bidi="ar-SA"/>
        </w:rPr>
        <w:t>一是持续完善行政执法规范化机制。重点开展了行政执法专项治理工作，制定了《呼家楼街道规范行政执法专项治理工作方案》，建立了专项治理工作小组，全面铺开线索排查上报工作，切实形成了全面排查、线索核实、审批上报、问题整改、高效落实的工作机制。</w:t>
      </w:r>
      <w:r>
        <w:rPr>
          <w:rFonts w:hint="eastAsia" w:ascii="仿宋_GB2312" w:hAnsi="仿宋_GB2312" w:eastAsia="仿宋_GB2312" w:cs="仿宋_GB2312"/>
          <w:color w:val="auto"/>
          <w:kern w:val="0"/>
          <w:sz w:val="32"/>
          <w:szCs w:val="32"/>
          <w:lang w:val="en-US" w:eastAsia="zh-CN" w:bidi="ar-SA"/>
        </w:rPr>
        <w:t>严格落实行政执法公示制度，</w:t>
      </w:r>
      <w:r>
        <w:rPr>
          <w:rFonts w:hint="eastAsia" w:ascii="仿宋_GB2312" w:hAnsi="仿宋_GB2312" w:eastAsia="仿宋_GB2312" w:cs="仿宋_GB2312"/>
          <w:sz w:val="32"/>
          <w:szCs w:val="32"/>
          <w:highlight w:val="none"/>
        </w:rPr>
        <w:t>对标对表</w:t>
      </w:r>
      <w:r>
        <w:rPr>
          <w:rFonts w:hint="eastAsia" w:ascii="仿宋_GB2312" w:hAnsi="仿宋_GB2312" w:eastAsia="仿宋_GB2312" w:cs="仿宋_GB2312"/>
          <w:sz w:val="32"/>
          <w:szCs w:val="32"/>
          <w:highlight w:val="none"/>
          <w:lang w:eastAsia="zh-CN"/>
        </w:rPr>
        <w:t>行政执法公示新要求</w:t>
      </w:r>
      <w:r>
        <w:rPr>
          <w:rFonts w:hint="eastAsia" w:ascii="仿宋_GB2312" w:hAnsi="仿宋_GB2312" w:eastAsia="仿宋_GB2312" w:cs="仿宋_GB2312"/>
          <w:sz w:val="32"/>
          <w:szCs w:val="32"/>
          <w:highlight w:val="none"/>
        </w:rPr>
        <w:t>，提升整改街道执法公示栏目。</w:t>
      </w:r>
      <w:r>
        <w:rPr>
          <w:rFonts w:hint="eastAsia" w:ascii="仿宋_GB2312" w:hAnsi="仿宋_GB2312" w:eastAsia="仿宋_GB2312" w:cs="仿宋_GB2312"/>
          <w:sz w:val="32"/>
          <w:szCs w:val="32"/>
          <w:highlight w:val="none"/>
          <w:lang w:eastAsia="zh-CN"/>
        </w:rPr>
        <w:t>每季度持续开展执法</w:t>
      </w:r>
      <w:r>
        <w:rPr>
          <w:rFonts w:hint="eastAsia" w:ascii="仿宋_GB2312" w:hAnsi="仿宋_GB2312" w:eastAsia="仿宋_GB2312" w:cs="仿宋_GB2312"/>
          <w:sz w:val="32"/>
          <w:szCs w:val="32"/>
          <w:highlight w:val="none"/>
        </w:rPr>
        <w:t>案卷</w:t>
      </w:r>
      <w:r>
        <w:rPr>
          <w:rFonts w:hint="eastAsia" w:ascii="仿宋_GB2312" w:hAnsi="仿宋_GB2312" w:eastAsia="仿宋_GB2312" w:cs="仿宋_GB2312"/>
          <w:sz w:val="32"/>
          <w:szCs w:val="32"/>
          <w:highlight w:val="none"/>
          <w:lang w:eastAsia="zh-CN"/>
        </w:rPr>
        <w:t>联合自查工作</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发现问题及时整改、集中培训。</w:t>
      </w:r>
      <w:r>
        <w:rPr>
          <w:rFonts w:hint="eastAsia" w:ascii="仿宋_GB2312" w:hAnsi="仿宋_GB2312" w:eastAsia="仿宋_GB2312" w:cs="仿宋_GB2312"/>
          <w:sz w:val="32"/>
          <w:szCs w:val="32"/>
          <w:highlight w:val="none"/>
        </w:rPr>
        <w:t>积极完成区级案卷评查报送工作，案卷在区级评查中取得优秀成绩。</w:t>
      </w:r>
    </w:p>
    <w:p w14:paraId="16E7C0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二是深入推进公正文明执法。建立健全呼家楼街道基本履职、配合履职等事项清单，形成了履职事项清单动态调整机制。严格依照法定程序完成了</w:t>
      </w:r>
      <w:r>
        <w:rPr>
          <w:rFonts w:hint="eastAsia" w:ascii="Times New Roman" w:hAnsi="Times New Roman" w:eastAsia="仿宋_GB2312" w:cs="Times New Roman"/>
          <w:kern w:val="0"/>
          <w:sz w:val="32"/>
          <w:szCs w:val="32"/>
          <w:highlight w:val="none"/>
          <w:lang w:val="en-US" w:eastAsia="zh-CN" w:bidi="ar-SA"/>
        </w:rPr>
        <w:t>3</w:t>
      </w:r>
      <w:r>
        <w:rPr>
          <w:rFonts w:hint="eastAsia" w:ascii="仿宋_GB2312" w:hAnsi="仿宋_GB2312" w:eastAsia="仿宋_GB2312" w:cs="仿宋_GB2312"/>
          <w:color w:val="auto"/>
          <w:kern w:val="2"/>
          <w:sz w:val="32"/>
          <w:szCs w:val="32"/>
          <w:lang w:val="en-US" w:eastAsia="zh-CN" w:bidi="ar-SA"/>
        </w:rPr>
        <w:t>项行政执法事项上收手续。</w:t>
      </w:r>
      <w:r>
        <w:rPr>
          <w:rFonts w:hint="eastAsia" w:ascii="仿宋_GB2312" w:hAnsi="仿宋_GB2312" w:eastAsia="仿宋_GB2312" w:cs="仿宋_GB2312"/>
          <w:sz w:val="32"/>
          <w:szCs w:val="32"/>
          <w:lang w:val="en-US" w:eastAsia="zh-CN"/>
        </w:rPr>
        <w:t>积极组织行政执法工作人员参加“学习习近平法治思想强化行政执法能力建设培训”课程，并开展培训经验总结分享活动。</w:t>
      </w:r>
      <w:r>
        <w:rPr>
          <w:rFonts w:hint="eastAsia" w:ascii="仿宋_GB2312" w:hAnsi="仿宋_GB2312" w:eastAsia="仿宋_GB2312" w:cs="仿宋_GB2312"/>
          <w:color w:val="auto"/>
          <w:kern w:val="0"/>
          <w:sz w:val="32"/>
          <w:szCs w:val="32"/>
          <w:highlight w:val="none"/>
          <w:lang w:val="en-US" w:eastAsia="zh-CN" w:bidi="ar-SA"/>
        </w:rPr>
        <w:t>贯彻落实重</w:t>
      </w:r>
      <w:r>
        <w:rPr>
          <w:rFonts w:hint="eastAsia" w:ascii="仿宋_GB2312" w:hAnsi="仿宋_GB2312" w:eastAsia="仿宋_GB2312" w:cs="仿宋_GB2312"/>
          <w:color w:val="auto"/>
          <w:kern w:val="0"/>
          <w:sz w:val="32"/>
          <w:szCs w:val="32"/>
          <w:lang w:val="en-US" w:eastAsia="zh-CN" w:bidi="ar-SA"/>
        </w:rPr>
        <w:t>大行政执法决定法制审核制度，坚持重大行政执法决定非经法制审核不得提交街道工委会议讨论的规定。</w:t>
      </w:r>
    </w:p>
    <w:p w14:paraId="5924A10F">
      <w:pPr>
        <w:keepNext w:val="0"/>
        <w:keepLines w:val="0"/>
        <w:pageBreakBefore w:val="0"/>
        <w:numPr>
          <w:ilvl w:val="0"/>
          <w:numId w:val="0"/>
        </w:numPr>
        <w:kinsoku/>
        <w:wordWrap/>
        <w:overflowPunct/>
        <w:topLinePunct w:val="0"/>
        <w:autoSpaceDE/>
        <w:autoSpaceDN/>
        <w:bidi w:val="0"/>
        <w:adjustRightInd/>
        <w:snapToGrid/>
        <w:spacing w:line="560" w:lineRule="exact"/>
        <w:ind w:left="-1"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kern w:val="2"/>
          <w:sz w:val="32"/>
          <w:szCs w:val="32"/>
          <w:lang w:val="en-US" w:eastAsia="zh-CN" w:bidi="ar-SA"/>
        </w:rPr>
        <w:t>三是进一步规范涉企行政执法行为。</w:t>
      </w:r>
      <w:r>
        <w:rPr>
          <w:rFonts w:hint="default" w:ascii="仿宋_GB2312" w:hAnsi="仿宋_GB2312" w:eastAsia="仿宋_GB2312" w:cs="仿宋_GB2312"/>
          <w:sz w:val="32"/>
          <w:szCs w:val="32"/>
          <w:lang w:val="en-US" w:eastAsia="zh-CN"/>
        </w:rPr>
        <w:t>严格落实“轻微免罚”“首违慎罚”制度</w:t>
      </w:r>
      <w:r>
        <w:rPr>
          <w:rFonts w:hint="eastAsia" w:ascii="仿宋_GB2312" w:hAnsi="仿宋_GB2312" w:eastAsia="仿宋_GB2312" w:cs="仿宋_GB2312"/>
          <w:color w:val="auto"/>
          <w:kern w:val="0"/>
          <w:sz w:val="32"/>
          <w:szCs w:val="32"/>
          <w:lang w:val="en-US" w:eastAsia="zh-CN" w:bidi="ar-SA"/>
        </w:rPr>
        <w:t>，严格依据涉企行政检查计划开展检查工作。全面推行“一码检查”规范行政检查工作。</w:t>
      </w:r>
      <w:r>
        <w:rPr>
          <w:rFonts w:hint="eastAsia" w:ascii="仿宋_GB2312" w:hAnsi="仿宋_GB2312" w:eastAsia="仿宋_GB2312" w:cs="仿宋_GB2312"/>
          <w:sz w:val="32"/>
          <w:szCs w:val="32"/>
          <w:highlight w:val="none"/>
        </w:rPr>
        <w:t>组织开展街道行政执法涉案款物管理问题专项排查，在立行立改的基础上完善管理</w:t>
      </w:r>
      <w:r>
        <w:rPr>
          <w:rFonts w:hint="eastAsia" w:ascii="仿宋_GB2312" w:hAnsi="仿宋_GB2312" w:eastAsia="仿宋_GB2312" w:cs="仿宋_GB2312"/>
          <w:sz w:val="32"/>
          <w:szCs w:val="32"/>
          <w:highlight w:val="none"/>
          <w:lang w:eastAsia="zh-CN"/>
        </w:rPr>
        <w:t>制度</w:t>
      </w:r>
      <w:r>
        <w:rPr>
          <w:rFonts w:hint="eastAsia" w:ascii="仿宋_GB2312" w:hAnsi="仿宋_GB2312" w:eastAsia="仿宋_GB2312" w:cs="仿宋_GB2312"/>
          <w:sz w:val="32"/>
          <w:szCs w:val="32"/>
          <w:highlight w:val="none"/>
        </w:rPr>
        <w:t>。</w:t>
      </w:r>
    </w:p>
    <w:p w14:paraId="3D3384AD">
      <w:pPr>
        <w:keepNext w:val="0"/>
        <w:keepLines w:val="0"/>
        <w:pageBreakBefore w:val="0"/>
        <w:kinsoku/>
        <w:overflowPunct/>
        <w:topLinePunct w:val="0"/>
        <w:autoSpaceDE/>
        <w:autoSpaceDN/>
        <w:bidi w:val="0"/>
        <w:adjustRightInd/>
        <w:snapToGrid/>
        <w:spacing w:line="560" w:lineRule="exact"/>
        <w:ind w:right="0" w:rightChars="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（四）进一步提升行政决策合法性水平</w:t>
      </w:r>
    </w:p>
    <w:p w14:paraId="0553DB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kern w:val="0"/>
          <w:sz w:val="32"/>
          <w:szCs w:val="32"/>
          <w:lang w:val="en-US" w:eastAsia="zh-CN" w:bidi="ar-SA"/>
        </w:rPr>
        <w:t>一是。严格落实重大行政决策制度，严格执行收文和会前审核程序，锚定决策全流程闭环管理，从严执行公众参与、专家论证、风险评估等法定程序，确保决策于法有据。深化法律顾问制度，</w:t>
      </w:r>
      <w:r>
        <w:rPr>
          <w:rFonts w:hint="eastAsia" w:ascii="仿宋_GB2312" w:hAnsi="仿宋_GB2312" w:eastAsia="仿宋_GB2312" w:cs="仿宋_GB2312"/>
          <w:color w:val="auto"/>
          <w:spacing w:val="0"/>
          <w:kern w:val="0"/>
          <w:sz w:val="32"/>
          <w:szCs w:val="32"/>
          <w:lang w:eastAsia="zh-CN"/>
        </w:rPr>
        <w:t>依据就近选聘、双向选择的原则，严选</w:t>
      </w:r>
      <w:r>
        <w:rPr>
          <w:rFonts w:hint="eastAsia" w:ascii="仿宋_GB2312" w:hAnsi="仿宋_GB2312" w:eastAsia="仿宋_GB2312" w:cs="仿宋_GB2312"/>
          <w:color w:val="auto"/>
          <w:kern w:val="0"/>
          <w:sz w:val="32"/>
          <w:szCs w:val="32"/>
          <w:lang w:val="en-US" w:eastAsia="zh-CN" w:bidi="ar-SA"/>
        </w:rPr>
        <w:t>严聘街道和</w:t>
      </w:r>
      <w:r>
        <w:rPr>
          <w:rFonts w:hint="eastAsia" w:ascii="仿宋_GB2312" w:hAnsi="仿宋_GB2312" w:eastAsia="仿宋_GB2312" w:cs="仿宋_GB2312"/>
          <w:color w:val="auto"/>
          <w:spacing w:val="0"/>
          <w:kern w:val="0"/>
          <w:sz w:val="32"/>
          <w:szCs w:val="32"/>
          <w:lang w:eastAsia="zh-CN"/>
        </w:rPr>
        <w:t>社区</w:t>
      </w:r>
      <w:r>
        <w:rPr>
          <w:rFonts w:hint="eastAsia" w:ascii="仿宋_GB2312" w:hAnsi="仿宋_GB2312" w:eastAsia="仿宋_GB2312" w:cs="仿宋_GB2312"/>
          <w:color w:val="auto"/>
          <w:kern w:val="0"/>
          <w:sz w:val="32"/>
          <w:szCs w:val="32"/>
          <w:lang w:val="en-US" w:eastAsia="zh-CN" w:bidi="ar-SA"/>
        </w:rPr>
        <w:t>法律顾问，邀请律师参与规范性文件、重大行政决策的合法性审查，起草、审核各类合同文本</w:t>
      </w:r>
      <w:r>
        <w:rPr>
          <w:rFonts w:hint="eastAsia" w:ascii="仿宋_GB2312" w:hAnsi="仿宋_GB2312" w:eastAsia="仿宋_GB2312" w:cs="仿宋_GB2312"/>
          <w:color w:val="auto"/>
          <w:kern w:val="0"/>
          <w:sz w:val="32"/>
          <w:szCs w:val="32"/>
          <w:highlight w:val="none"/>
          <w:lang w:val="en-US" w:eastAsia="zh-CN" w:bidi="ar-SA"/>
        </w:rPr>
        <w:t>；</w:t>
      </w:r>
      <w:r>
        <w:rPr>
          <w:rFonts w:hint="eastAsia" w:ascii="仿宋_GB2312" w:hAnsi="仿宋_GB2312" w:eastAsia="仿宋_GB2312" w:cs="仿宋_GB2312"/>
          <w:color w:val="auto"/>
          <w:kern w:val="0"/>
          <w:sz w:val="32"/>
          <w:szCs w:val="32"/>
          <w:lang w:val="en-US" w:eastAsia="zh-CN" w:bidi="ar-SA"/>
        </w:rPr>
        <w:t>本年度</w:t>
      </w:r>
      <w:r>
        <w:rPr>
          <w:rFonts w:hint="eastAsia" w:ascii="仿宋_GB2312" w:hAnsi="仿宋_GB2312" w:eastAsia="仿宋_GB2312" w:cs="仿宋_GB2312"/>
          <w:color w:val="auto"/>
          <w:spacing w:val="0"/>
          <w:kern w:val="0"/>
          <w:sz w:val="32"/>
          <w:szCs w:val="32"/>
          <w:lang w:eastAsia="zh-CN"/>
        </w:rPr>
        <w:t>新增公职律师</w:t>
      </w:r>
      <w:r>
        <w:rPr>
          <w:rFonts w:hint="eastAsia" w:ascii="Times New Roman" w:hAnsi="Times New Roman" w:eastAsia="仿宋_GB2312" w:cs="Times New Roman"/>
          <w:kern w:val="0"/>
          <w:sz w:val="32"/>
          <w:szCs w:val="32"/>
          <w:highlight w:val="none"/>
          <w:lang w:val="en-US" w:eastAsia="zh-CN" w:bidi="ar-SA"/>
        </w:rPr>
        <w:t>1</w:t>
      </w:r>
      <w:r>
        <w:rPr>
          <w:rFonts w:hint="eastAsia" w:ascii="仿宋_GB2312" w:hAnsi="仿宋_GB2312" w:eastAsia="仿宋_GB2312" w:cs="仿宋_GB2312"/>
          <w:color w:val="auto"/>
          <w:spacing w:val="0"/>
          <w:kern w:val="0"/>
          <w:sz w:val="32"/>
          <w:szCs w:val="32"/>
          <w:lang w:val="en-US" w:eastAsia="zh-CN"/>
        </w:rPr>
        <w:t>名。</w:t>
      </w:r>
    </w:p>
    <w:p w14:paraId="5C841DE3">
      <w:pPr>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color w:val="auto"/>
          <w:spacing w:val="0"/>
          <w:kern w:val="0"/>
          <w:sz w:val="32"/>
          <w:szCs w:val="32"/>
          <w:lang w:val="en-US" w:eastAsia="zh-CN"/>
        </w:rPr>
      </w:pPr>
      <w:r>
        <w:rPr>
          <w:rFonts w:hint="eastAsia" w:ascii="仿宋_GB2312" w:hAnsi="仿宋_GB2312" w:eastAsia="仿宋_GB2312" w:cs="仿宋_GB2312"/>
          <w:color w:val="auto"/>
          <w:spacing w:val="0"/>
          <w:kern w:val="0"/>
          <w:sz w:val="32"/>
          <w:szCs w:val="32"/>
          <w:lang w:val="en-US" w:eastAsia="zh-CN"/>
        </w:rPr>
        <w:t>二是积极接受内外监督工作。严格落实并持续规范代表建议、政协提案办理制度，本年度提案</w:t>
      </w:r>
      <w:r>
        <w:rPr>
          <w:rFonts w:hint="default" w:ascii="Times New Roman" w:hAnsi="Times New Roman" w:eastAsia="仿宋_GB2312" w:cs="Times New Roman"/>
          <w:color w:val="000000" w:themeColor="text1"/>
          <w:kern w:val="0"/>
          <w:sz w:val="32"/>
          <w:szCs w:val="32"/>
          <w:highlight w:val="none"/>
          <w:lang w:val="en-US" w:eastAsia="zh-CN" w:bidi="ar-SA"/>
          <w14:textFill>
            <w14:solidFill>
              <w14:schemeClr w14:val="tx1"/>
            </w14:solidFill>
          </w14:textFill>
        </w:rPr>
        <w:t>4</w:t>
      </w:r>
      <w:r>
        <w:rPr>
          <w:rFonts w:hint="eastAsia" w:ascii="仿宋_GB2312" w:hAnsi="仿宋_GB2312" w:eastAsia="仿宋_GB2312" w:cs="仿宋_GB2312"/>
          <w:color w:val="auto"/>
          <w:spacing w:val="0"/>
          <w:kern w:val="0"/>
          <w:sz w:val="32"/>
          <w:szCs w:val="32"/>
          <w:lang w:val="en-US" w:eastAsia="zh-CN"/>
        </w:rPr>
        <w:t>件。自觉接受司法和纪检检查监督，</w:t>
      </w:r>
      <w:r>
        <w:rPr>
          <w:rFonts w:hint="eastAsia" w:ascii="仿宋_GB2312" w:hAnsi="仿宋_GB2312" w:eastAsia="仿宋_GB2312" w:cs="仿宋_GB2312"/>
          <w:color w:val="auto"/>
          <w:spacing w:val="0"/>
          <w:kern w:val="0"/>
          <w:sz w:val="32"/>
          <w:szCs w:val="32"/>
          <w:highlight w:val="none"/>
          <w:shd w:val="clear" w:color="auto" w:fill="auto"/>
          <w:lang w:val="en-US" w:eastAsia="zh-CN"/>
        </w:rPr>
        <w:t>全年进行</w:t>
      </w:r>
      <w:r>
        <w:rPr>
          <w:rFonts w:hint="eastAsia" w:ascii="仿宋_GB2312" w:hAnsi="仿宋_GB2312" w:eastAsia="仿宋_GB2312" w:cs="仿宋_GB2312"/>
          <w:color w:val="auto"/>
          <w:spacing w:val="0"/>
          <w:kern w:val="0"/>
          <w:sz w:val="32"/>
          <w:szCs w:val="32"/>
          <w:highlight w:val="none"/>
          <w:lang w:val="en-US" w:eastAsia="zh-CN"/>
        </w:rPr>
        <w:t>行政诉讼</w:t>
      </w:r>
      <w:r>
        <w:rPr>
          <w:rFonts w:hint="eastAsia" w:ascii="Times New Roman" w:hAnsi="Times New Roman" w:eastAsia="仿宋_GB2312" w:cs="Times New Roman"/>
          <w:kern w:val="0"/>
          <w:sz w:val="32"/>
          <w:szCs w:val="32"/>
          <w:highlight w:val="none"/>
          <w:lang w:val="en-US" w:eastAsia="zh-CN" w:bidi="ar-SA"/>
        </w:rPr>
        <w:t>2</w:t>
      </w:r>
      <w:r>
        <w:rPr>
          <w:rFonts w:hint="eastAsia" w:ascii="仿宋_GB2312" w:hAnsi="仿宋_GB2312" w:eastAsia="仿宋_GB2312" w:cs="仿宋_GB2312"/>
          <w:color w:val="auto"/>
          <w:spacing w:val="0"/>
          <w:kern w:val="0"/>
          <w:sz w:val="32"/>
          <w:szCs w:val="32"/>
          <w:highlight w:val="none"/>
          <w:lang w:val="en-US" w:eastAsia="zh-CN"/>
        </w:rPr>
        <w:t>件，行政负责人出庭应诉率</w:t>
      </w:r>
      <w:r>
        <w:rPr>
          <w:rFonts w:hint="eastAsia" w:ascii="Times New Roman" w:hAnsi="Times New Roman" w:eastAsia="仿宋_GB2312" w:cs="Times New Roman"/>
          <w:kern w:val="0"/>
          <w:sz w:val="32"/>
          <w:szCs w:val="32"/>
          <w:highlight w:val="none"/>
          <w:lang w:val="en-US" w:eastAsia="zh-CN" w:bidi="ar-SA"/>
        </w:rPr>
        <w:t>100</w:t>
      </w:r>
      <w:r>
        <w:rPr>
          <w:rFonts w:hint="eastAsia" w:ascii="仿宋_GB2312" w:hAnsi="仿宋_GB2312" w:eastAsia="仿宋_GB2312" w:cs="仿宋_GB2312"/>
          <w:kern w:val="0"/>
          <w:sz w:val="32"/>
          <w:szCs w:val="32"/>
          <w:highlight w:val="none"/>
          <w:lang w:val="en-US" w:eastAsia="zh-CN" w:bidi="ar-SA"/>
        </w:rPr>
        <w:t>%</w:t>
      </w:r>
      <w:r>
        <w:rPr>
          <w:rFonts w:hint="eastAsia" w:ascii="仿宋_GB2312" w:hAnsi="仿宋_GB2312" w:eastAsia="仿宋_GB2312" w:cs="仿宋_GB2312"/>
          <w:color w:val="auto"/>
          <w:spacing w:val="0"/>
          <w:kern w:val="0"/>
          <w:sz w:val="32"/>
          <w:szCs w:val="32"/>
          <w:lang w:val="en-US" w:eastAsia="zh-CN"/>
        </w:rPr>
        <w:t>；</w:t>
      </w:r>
      <w:r>
        <w:rPr>
          <w:rFonts w:hint="eastAsia" w:ascii="仿宋_GB2312" w:hAnsi="仿宋_GB2312" w:eastAsia="仿宋_GB2312" w:cs="仿宋_GB2312"/>
          <w:color w:val="auto"/>
          <w:spacing w:val="0"/>
          <w:kern w:val="0"/>
          <w:sz w:val="32"/>
          <w:szCs w:val="32"/>
          <w:highlight w:val="none"/>
          <w:lang w:val="en-US" w:eastAsia="zh-CN"/>
        </w:rPr>
        <w:t>答复行政复</w:t>
      </w:r>
      <w:r>
        <w:rPr>
          <w:rFonts w:hint="eastAsia" w:ascii="仿宋_GB2312" w:hAnsi="仿宋_GB2312" w:eastAsia="仿宋_GB2312" w:cs="仿宋_GB2312"/>
          <w:color w:val="auto"/>
          <w:spacing w:val="0"/>
          <w:kern w:val="0"/>
          <w:sz w:val="32"/>
          <w:szCs w:val="32"/>
          <w:lang w:val="en-US" w:eastAsia="zh-CN"/>
        </w:rPr>
        <w:t>议</w:t>
      </w:r>
      <w:r>
        <w:rPr>
          <w:rFonts w:hint="eastAsia" w:ascii="Times New Roman" w:hAnsi="Times New Roman" w:eastAsia="仿宋_GB2312" w:cs="Times New Roman"/>
          <w:kern w:val="0"/>
          <w:sz w:val="32"/>
          <w:szCs w:val="32"/>
          <w:highlight w:val="none"/>
          <w:lang w:val="en-US" w:eastAsia="zh-CN" w:bidi="ar-SA"/>
        </w:rPr>
        <w:t>3</w:t>
      </w:r>
      <w:r>
        <w:rPr>
          <w:rFonts w:hint="eastAsia" w:ascii="仿宋_GB2312" w:hAnsi="仿宋_GB2312" w:eastAsia="仿宋_GB2312" w:cs="仿宋_GB2312"/>
          <w:color w:val="auto"/>
          <w:spacing w:val="0"/>
          <w:kern w:val="0"/>
          <w:sz w:val="32"/>
          <w:szCs w:val="32"/>
          <w:lang w:val="en-US" w:eastAsia="zh-CN"/>
        </w:rPr>
        <w:t>件。所有案件均经党政主要负责人亲自审阅、委托。</w:t>
      </w:r>
    </w:p>
    <w:p w14:paraId="6419DB84">
      <w:pPr>
        <w:keepNext w:val="0"/>
        <w:keepLines w:val="0"/>
        <w:pageBreakBefore w:val="0"/>
        <w:kinsoku/>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kern w:val="0"/>
          <w:sz w:val="32"/>
          <w:szCs w:val="32"/>
          <w:shd w:val="clear" w:color="auto" w:fill="auto"/>
          <w:lang w:val="en-US" w:eastAsia="zh-CN" w:bidi="ar-SA"/>
        </w:rPr>
      </w:pPr>
      <w:r>
        <w:rPr>
          <w:rFonts w:hint="eastAsia" w:ascii="仿宋_GB2312" w:hAnsi="仿宋_GB2312" w:eastAsia="仿宋_GB2312" w:cs="仿宋_GB2312"/>
          <w:color w:val="auto"/>
          <w:kern w:val="0"/>
          <w:sz w:val="32"/>
          <w:szCs w:val="32"/>
          <w:shd w:val="clear" w:color="auto" w:fill="auto"/>
          <w:lang w:val="en-US" w:eastAsia="zh-CN" w:bidi="ar-SA"/>
        </w:rPr>
        <w:t>三是严格规范性文件合法性审查和备案监督。深入落实《呼家楼街道行政规范性文件合法性审核工作规定》，组织相关人员参加规范性文件合法性审核专题培训，扎实配合开展文件清理工作，本年度街道未出台行政规范性文件，相关管理工作规范有序推进。</w:t>
      </w:r>
    </w:p>
    <w:p w14:paraId="19BBE1A9">
      <w:pPr>
        <w:keepNext w:val="0"/>
        <w:keepLines w:val="0"/>
        <w:pageBreakBefore w:val="0"/>
        <w:kinsoku/>
        <w:overflowPunct/>
        <w:topLinePunct w:val="0"/>
        <w:autoSpaceDE/>
        <w:autoSpaceDN/>
        <w:bidi w:val="0"/>
        <w:adjustRightInd/>
        <w:snapToGrid/>
        <w:spacing w:line="560" w:lineRule="exact"/>
        <w:ind w:right="0" w:rightChars="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（五）持续健全矛盾纠纷化解调处机制</w:t>
      </w:r>
    </w:p>
    <w:p w14:paraId="412A18D9">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一是深入推进行政调解工作。建立健全呼家楼街道综治中心规范化运行机制，严格落实</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呼家楼街道综治中心规范化建设工作方案》，实现有牌子、有场所、有力量、有机制、有效果的“五有”目标。充分利用朝阳综治中心信息平台，调动各部门、社区协同化解矛盾纠纷，必要时及时对接行专部门协助化解矛盾纠纷。</w:t>
      </w:r>
    </w:p>
    <w:p w14:paraId="7F26B0C4">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二是积极探索矛盾纠纷化解融合模式。摸索形成了行政执法与“接诉即办”机制及信访体系的深度融合工作模式，将释法明理贯穿诉求处理的全过程，形成了立案调查、依法取证、准确定性，必要时牵头协同，及时现场处置或处理答复的工作方法。</w:t>
      </w:r>
    </w:p>
    <w:p w14:paraId="089CDB1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三是深入贯彻落实普法责任制。</w:t>
      </w:r>
      <w:r>
        <w:rPr>
          <w:rFonts w:hint="eastAsia" w:ascii="仿宋_GB2312" w:hAnsi="仿宋_GB2312" w:eastAsia="仿宋_GB2312" w:cs="仿宋_GB2312"/>
          <w:color w:val="auto"/>
          <w:spacing w:val="0"/>
          <w:w w:val="100"/>
          <w:sz w:val="32"/>
          <w:szCs w:val="32"/>
          <w:lang w:eastAsia="zh-CN"/>
        </w:rPr>
        <w:t>呼家楼街道压实“谁执法谁普法”责任制，明确各部门的普法职责，贯彻落实普法责任清单制度。</w:t>
      </w:r>
      <w:r>
        <w:rPr>
          <w:rFonts w:hint="eastAsia" w:ascii="仿宋_GB2312" w:hAnsi="仿宋_GB2312" w:eastAsia="仿宋_GB2312" w:cs="仿宋_GB2312"/>
          <w:i w:val="0"/>
          <w:iCs w:val="0"/>
          <w:caps w:val="0"/>
          <w:color w:val="auto"/>
          <w:spacing w:val="0"/>
          <w:w w:val="100"/>
          <w:sz w:val="32"/>
          <w:szCs w:val="32"/>
          <w:shd w:val="clear" w:color="auto" w:fill="FFFFFF"/>
          <w:lang w:val="en-US" w:eastAsia="zh-CN"/>
        </w:rPr>
        <w:t>党政第一责任人</w:t>
      </w:r>
      <w:r>
        <w:rPr>
          <w:rFonts w:hint="eastAsia" w:ascii="仿宋_GB2312" w:hAnsi="仿宋_GB2312" w:eastAsia="仿宋_GB2312" w:cs="仿宋_GB2312"/>
          <w:color w:val="auto"/>
          <w:spacing w:val="0"/>
          <w:w w:val="100"/>
          <w:sz w:val="32"/>
          <w:szCs w:val="32"/>
          <w:lang w:eastAsia="zh-CN"/>
        </w:rPr>
        <w:t>按照街道普法责任清单亲自部署开展工作自查，积极汇总报送以案释法典型案例、法治文化作品、“八五普法”品牌等普法工作成果，持续固化特色法治品牌建设。</w:t>
      </w:r>
      <w:r>
        <w:rPr>
          <w:rFonts w:hint="eastAsia" w:ascii="仿宋_GB2312" w:hAnsi="仿宋_GB2312" w:eastAsia="仿宋_GB2312" w:cs="仿宋_GB2312"/>
          <w:color w:val="auto"/>
          <w:kern w:val="0"/>
          <w:sz w:val="32"/>
          <w:szCs w:val="32"/>
          <w:lang w:val="en-US" w:eastAsia="zh-CN" w:bidi="ar-SA"/>
        </w:rPr>
        <w:t>本年度以公共法律服</w:t>
      </w:r>
      <w:r>
        <w:rPr>
          <w:rFonts w:hint="eastAsia" w:ascii="仿宋_GB2312" w:hAnsi="仿宋_GB2312" w:eastAsia="仿宋_GB2312" w:cs="仿宋_GB2312"/>
          <w:color w:val="auto"/>
          <w:spacing w:val="0"/>
          <w:w w:val="100"/>
          <w:sz w:val="32"/>
          <w:szCs w:val="32"/>
          <w:lang w:val="en-US" w:eastAsia="zh-CN"/>
        </w:rPr>
        <w:t>务基层站点为载体，在各社区开展“普法大讲堂”活动</w:t>
      </w:r>
      <w:r>
        <w:rPr>
          <w:rFonts w:hint="eastAsia" w:ascii="Times New Roman" w:hAnsi="Times New Roman" w:eastAsia="仿宋_GB2312" w:cs="Times New Roman"/>
          <w:kern w:val="0"/>
          <w:sz w:val="32"/>
          <w:szCs w:val="32"/>
          <w:highlight w:val="none"/>
          <w:lang w:val="en-US" w:eastAsia="zh-CN" w:bidi="ar-SA"/>
        </w:rPr>
        <w:t>27</w:t>
      </w:r>
      <w:r>
        <w:rPr>
          <w:rFonts w:hint="eastAsia" w:ascii="仿宋_GB2312" w:hAnsi="仿宋_GB2312" w:eastAsia="仿宋_GB2312" w:cs="仿宋_GB2312"/>
          <w:color w:val="auto"/>
          <w:spacing w:val="0"/>
          <w:w w:val="100"/>
          <w:sz w:val="32"/>
          <w:szCs w:val="32"/>
          <w:lang w:val="en-US" w:eastAsia="zh-CN"/>
        </w:rPr>
        <w:t>场。利用辖区</w:t>
      </w:r>
      <w:r>
        <w:rPr>
          <w:rFonts w:hint="eastAsia" w:ascii="仿宋_GB2312" w:hAnsi="仿宋_GB2312" w:eastAsia="仿宋_GB2312" w:cs="仿宋_GB2312"/>
          <w:color w:val="auto"/>
          <w:kern w:val="0"/>
          <w:sz w:val="32"/>
          <w:szCs w:val="32"/>
          <w:lang w:val="en-US" w:eastAsia="zh-CN" w:bidi="ar-SA"/>
        </w:rPr>
        <w:t>普法阵地，联合公安重点开展反诈宣传活动，在重要普法宣传节点开展普法活动并发放普法宣传册。依托综治中心平台，联合公安、人民法院、人民检察院深化“周三法律咨询日”。</w:t>
      </w:r>
    </w:p>
    <w:p w14:paraId="55084DE9">
      <w:pPr>
        <w:pStyle w:val="9"/>
        <w:keepNext w:val="0"/>
        <w:keepLines w:val="0"/>
        <w:pageBreakBefore w:val="0"/>
        <w:numPr>
          <w:ilvl w:val="0"/>
          <w:numId w:val="0"/>
        </w:numPr>
        <w:kinsoku/>
        <w:overflowPunct/>
        <w:topLinePunct w:val="0"/>
        <w:autoSpaceDE/>
        <w:autoSpaceDN/>
        <w:bidi w:val="0"/>
        <w:adjustRightInd/>
        <w:snapToGrid/>
        <w:spacing w:after="0" w:line="56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eastAsia="zh-CN"/>
        </w:rPr>
      </w:pPr>
      <w:r>
        <w:rPr>
          <w:rFonts w:hint="eastAsia" w:ascii="楷体_GB2312" w:hAnsi="楷体_GB2312" w:eastAsia="楷体_GB2312" w:cs="楷体_GB2312"/>
          <w:b/>
          <w:bCs/>
          <w:color w:val="auto"/>
          <w:kern w:val="0"/>
          <w:sz w:val="32"/>
          <w:szCs w:val="32"/>
          <w:lang w:eastAsia="zh-CN"/>
        </w:rPr>
        <w:t>（六）主要亮点及成效</w:t>
      </w:r>
    </w:p>
    <w:p w14:paraId="669F895F">
      <w:pPr>
        <w:pStyle w:val="9"/>
        <w:keepNext w:val="0"/>
        <w:keepLines w:val="0"/>
        <w:pageBreakBefore w:val="0"/>
        <w:numPr>
          <w:ilvl w:val="0"/>
          <w:numId w:val="0"/>
        </w:numPr>
        <w:kinsoku/>
        <w:overflowPunct/>
        <w:topLinePunct w:val="0"/>
        <w:autoSpaceDE/>
        <w:autoSpaceDN/>
        <w:bidi w:val="0"/>
        <w:adjustRightInd/>
        <w:snapToGrid/>
        <w:spacing w:after="0" w:line="560" w:lineRule="exact"/>
        <w:ind w:right="0" w:rightChars="0" w:firstLine="640" w:firstLineChars="200"/>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进一步推进街道法治政府建设工作开展，一是企业服务落实全流程智慧服务与监管。呼家楼街道聚焦辖区企业实际需求，开发使用限额以下工程线上办理小程序，以数字化转型为抓手，打造形成“实现</w:t>
      </w:r>
      <w:bookmarkStart w:id="0" w:name="OLE_LINK6"/>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限额以下工程信息登记</w:t>
      </w:r>
      <w:bookmarkEnd w:id="0"/>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全流程网上办理”线上平台。二是政务服务实现精细化治理。创新实践“三网六区智平台”模式。科学细化网格区域，按照“一体化、全覆盖、无缝隙”原则，摆脱传统的单依据物理居住空间划分方式，转为依据治理要素的性质和功能属性，将辖区划分为</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97</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个居住网格、</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34</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个楼宇网格、</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103</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个专属网格三类基础单元，实现对不同类型对象的分类施策和精准服务。</w:t>
      </w:r>
    </w:p>
    <w:p w14:paraId="1848B310">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2025</w:t>
      </w:r>
      <w:r>
        <w:rPr>
          <w:rFonts w:hint="eastAsia" w:ascii="黑体" w:hAnsi="黑体" w:eastAsia="黑体" w:cs="黑体"/>
          <w:color w:val="auto"/>
          <w:kern w:val="2"/>
          <w:sz w:val="32"/>
          <w:szCs w:val="32"/>
          <w:lang w:val="en-US" w:eastAsia="zh-CN" w:bidi="ar-SA"/>
        </w:rPr>
        <w:t>年呼家楼街道党政主要负责人履行推进法治建设第一责任人职责情况</w:t>
      </w:r>
    </w:p>
    <w:p w14:paraId="3BF3A676">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val="0"/>
        <w:spacing w:line="560" w:lineRule="exact"/>
        <w:ind w:left="0" w:leftChars="0" w:right="0" w:rightChars="0" w:firstLine="643" w:firstLineChars="200"/>
        <w:jc w:val="both"/>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eastAsia="zh-CN"/>
        </w:rPr>
        <w:t>（一）强化牵头抓总，统筹</w:t>
      </w:r>
      <w:r>
        <w:rPr>
          <w:rFonts w:hint="eastAsia" w:ascii="楷体_GB2312" w:hAnsi="楷体_GB2312" w:eastAsia="楷体_GB2312" w:cs="楷体_GB2312"/>
          <w:b/>
          <w:bCs/>
          <w:color w:val="000000" w:themeColor="text1"/>
          <w:sz w:val="32"/>
          <w:szCs w:val="32"/>
          <w:lang w:eastAsia="zh-CN"/>
          <w14:textFill>
            <w14:solidFill>
              <w14:schemeClr w14:val="tx1"/>
            </w14:solidFill>
          </w14:textFill>
        </w:rPr>
        <w:t>推进职责清单落实</w:t>
      </w:r>
    </w:p>
    <w:p w14:paraId="0D319BD1">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val="0"/>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街道党政主要负责人</w:t>
      </w:r>
      <w:r>
        <w:rPr>
          <w:rFonts w:hint="eastAsia" w:ascii="仿宋_GB2312" w:hAnsi="仿宋_GB2312" w:eastAsia="仿宋_GB2312" w:cs="仿宋_GB2312"/>
          <w:b w:val="0"/>
          <w:bCs w:val="0"/>
          <w:color w:val="000000" w:themeColor="text1"/>
          <w:sz w:val="32"/>
          <w:szCs w:val="32"/>
          <w:shd w:val="clear" w:color="auto" w:fill="auto"/>
          <w:lang w:val="en-US" w:eastAsia="zh-CN"/>
          <w14:textFill>
            <w14:solidFill>
              <w14:schemeClr w14:val="tx1"/>
            </w14:solidFill>
          </w14:textFill>
        </w:rPr>
        <w:t>紧密围绕</w:t>
      </w:r>
      <w:r>
        <w:rPr>
          <w:rFonts w:hint="eastAsia" w:ascii="仿宋_GB2312" w:hAnsi="仿宋_GB2312" w:eastAsia="仿宋_GB2312" w:cs="仿宋_GB2312"/>
          <w:b w:val="0"/>
          <w:bCs w:val="0"/>
          <w:color w:val="000000" w:themeColor="text1"/>
          <w:sz w:val="32"/>
          <w:szCs w:val="32"/>
          <w14:textFill>
            <w14:solidFill>
              <w14:schemeClr w14:val="tx1"/>
            </w14:solidFill>
          </w14:textFill>
        </w:rPr>
        <w:t>《党政主要负责人履行推进法治建设第一责任人职责规定》</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坚持党政同责，对法治建设重要工作亲自部署、重大问题亲自过问、重点环节亲自协调、重要任务亲自督办</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持续强化以党政第一责任人为领导的党政组织合力，</w:t>
      </w:r>
      <w:r>
        <w:rPr>
          <w:rFonts w:hint="eastAsia" w:ascii="仿宋_GB2312" w:hAnsi="仿宋_GB2312" w:eastAsia="仿宋_GB2312" w:cs="仿宋_GB2312"/>
          <w:b w:val="0"/>
          <w:bCs w:val="0"/>
          <w:color w:val="000000" w:themeColor="text1"/>
          <w:sz w:val="32"/>
          <w:szCs w:val="32"/>
          <w14:textFill>
            <w14:solidFill>
              <w14:schemeClr w14:val="tx1"/>
            </w14:solidFill>
          </w14:textFill>
        </w:rPr>
        <w:t>督促领导班子其他成员和街道各部门负责人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运用法治思维、法治方式研究开展工作。</w:t>
      </w:r>
      <w:r>
        <w:rPr>
          <w:rFonts w:hint="eastAsia" w:ascii="仿宋_GB2312" w:hAnsi="仿宋_GB2312" w:eastAsia="仿宋_GB2312" w:cs="仿宋_GB2312"/>
          <w:color w:val="auto"/>
          <w:sz w:val="32"/>
          <w:szCs w:val="32"/>
          <w:shd w:val="clear" w:color="auto" w:fill="FFFFFF"/>
        </w:rPr>
        <w:t>形成主要领导全面抓</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分管领导具体抓</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shd w:val="clear" w:color="auto" w:fill="FFFFFF"/>
        </w:rPr>
        <w:t>相关部门配合抓的工作局面。</w:t>
      </w:r>
    </w:p>
    <w:p w14:paraId="1F546CB4">
      <w:pPr>
        <w:pStyle w:val="2"/>
        <w:keepNext w:val="0"/>
        <w:keepLines w:val="0"/>
        <w:pageBreakBefore w:val="0"/>
        <w:numPr>
          <w:ilvl w:val="0"/>
          <w:numId w:val="1"/>
        </w:numPr>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val="0"/>
        <w:spacing w:line="560" w:lineRule="exact"/>
        <w:ind w:left="0" w:leftChars="0" w:right="0" w:rightChars="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走实学法用法，</w:t>
      </w:r>
      <w:r>
        <w:rPr>
          <w:rFonts w:hint="eastAsia" w:ascii="Times New Roman" w:hAnsi="Times New Roman" w:eastAsia="楷体_GB2312" w:cs="楷体_GB2312"/>
          <w:b/>
          <w:bCs/>
          <w:color w:val="auto"/>
          <w:sz w:val="32"/>
          <w:szCs w:val="32"/>
          <w:lang w:val="en-US" w:eastAsia="zh-CN"/>
        </w:rPr>
        <w:t>发挥领导干部“头雁效应”</w:t>
      </w:r>
    </w:p>
    <w:p w14:paraId="7A5BF517">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val="0"/>
        <w:spacing w:line="560" w:lineRule="exact"/>
        <w:ind w:left="0" w:leftChars="0" w:right="0" w:rightChars="0" w:firstLine="640" w:firstLineChars="200"/>
        <w:contextualSpacing/>
        <w:jc w:val="both"/>
        <w:textAlignment w:val="auto"/>
        <w:rPr>
          <w:rFonts w:hint="eastAsia" w:ascii="仿宋_GB2312" w:hAnsi="仿宋_GB2312" w:eastAsia="仿宋_GB2312" w:cs="仿宋_GB2312"/>
          <w:color w:val="auto"/>
          <w:kern w:val="2"/>
          <w:sz w:val="32"/>
          <w:szCs w:val="32"/>
          <w:shd w:val="clear" w:color="auto" w:fill="auto"/>
          <w:lang w:val="en-US" w:eastAsia="zh-CN" w:bidi="ar-SA"/>
        </w:rPr>
      </w:pPr>
      <w:r>
        <w:rPr>
          <w:rFonts w:hint="eastAsia" w:ascii="仿宋_GB2312" w:hAnsi="仿宋_GB2312" w:eastAsia="仿宋_GB2312" w:cs="仿宋_GB2312"/>
          <w:color w:val="auto"/>
          <w:kern w:val="2"/>
          <w:sz w:val="32"/>
          <w:szCs w:val="32"/>
          <w:shd w:val="clear" w:color="auto" w:fill="auto"/>
          <w:lang w:val="en-US" w:eastAsia="zh-CN" w:bidi="ar-SA"/>
        </w:rPr>
        <w:t>呼家楼街道坚决落实《呼家楼街道党政主要负责人履行推进法治建设第一责任人职责清单》，充分发挥党工委理论学习中心组示范引领作用，利用“三会一课”加强党内法规教育学习，深入学习了《习近平法治思想》。全年，工委理论中心组集体学习</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40</w:t>
      </w:r>
      <w:r>
        <w:rPr>
          <w:rFonts w:hint="eastAsia" w:ascii="仿宋_GB2312" w:hAnsi="仿宋_GB2312" w:eastAsia="仿宋_GB2312" w:cs="仿宋_GB2312"/>
          <w:color w:val="auto"/>
          <w:kern w:val="2"/>
          <w:sz w:val="32"/>
          <w:szCs w:val="32"/>
          <w:shd w:val="clear" w:color="auto" w:fill="auto"/>
          <w:lang w:val="en-US" w:eastAsia="zh-CN" w:bidi="ar-SA"/>
        </w:rPr>
        <w:t>次。领导干部以上率下，坚持进一步提升街道人才队伍法治素养和法治能力建设，扎实做好党风廉政教育。</w:t>
      </w:r>
    </w:p>
    <w:p w14:paraId="46EFAEBB">
      <w:pPr>
        <w:pStyle w:val="2"/>
        <w:keepNext w:val="0"/>
        <w:keepLines w:val="0"/>
        <w:pageBreakBefore w:val="0"/>
        <w:numPr>
          <w:ilvl w:val="0"/>
          <w:numId w:val="1"/>
        </w:numPr>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val="0"/>
        <w:spacing w:line="560" w:lineRule="exact"/>
        <w:ind w:left="0" w:leftChars="0" w:right="0" w:rightChars="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持续深化整治，提升依法行政能力</w:t>
      </w:r>
    </w:p>
    <w:p w14:paraId="55F0DD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sz w:val="32"/>
          <w:szCs w:val="32"/>
        </w:rPr>
      </w:pPr>
      <w:r>
        <w:rPr>
          <w:rFonts w:hint="eastAsia" w:ascii="仿宋_GB2312" w:hAnsi="仿宋_GB2312" w:eastAsia="仿宋_GB2312" w:cs="仿宋_GB2312"/>
          <w:color w:val="auto"/>
          <w:sz w:val="32"/>
          <w:szCs w:val="32"/>
          <w:lang w:val="en-US" w:eastAsia="zh-CN"/>
        </w:rPr>
        <w:t>压实规范涉企行政执法检查责任，</w:t>
      </w:r>
      <w:r>
        <w:rPr>
          <w:rFonts w:hint="eastAsia" w:ascii="仿宋_GB2312" w:hAnsi="仿宋_GB2312" w:eastAsia="仿宋_GB2312" w:cs="仿宋_GB2312"/>
          <w:color w:val="auto"/>
          <w:sz w:val="32"/>
          <w:szCs w:val="32"/>
        </w:rPr>
        <w:t>严格落实行政执法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三项制度</w:t>
      </w:r>
      <w:r>
        <w:rPr>
          <w:rFonts w:hint="eastAsia" w:ascii="仿宋_GB2312" w:hAnsi="仿宋_GB2312" w:eastAsia="仿宋_GB2312" w:cs="仿宋_GB2312"/>
          <w:color w:val="auto"/>
          <w:sz w:val="32"/>
          <w:szCs w:val="32"/>
          <w:lang w:eastAsia="zh-CN"/>
        </w:rPr>
        <w:t>”，重点完善了行政执法检查计划和检查结果公示，各类行政执法公示无错报延报情况发生。坚持严格执行重大行政决策法定程序，</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eastAsia="zh-CN"/>
        </w:rPr>
        <w:t>涉及民生保障、城市建设等重大事项，规范性文件制定，以及公务合同进行合法性审查和法律风险评估，明确要求司法所所长列席主任办公会，法律顾问及公职律师参与重大行政决策。</w:t>
      </w:r>
      <w:r>
        <w:rPr>
          <w:rFonts w:hint="eastAsia" w:ascii="仿宋_GB2312" w:hAnsi="仿宋_GB2312" w:eastAsia="仿宋_GB2312" w:cs="仿宋_GB2312"/>
          <w:b w:val="0"/>
          <w:bCs/>
          <w:color w:val="auto"/>
          <w:sz w:val="32"/>
          <w:szCs w:val="32"/>
          <w:lang w:eastAsia="zh-CN"/>
        </w:rPr>
        <w:t>呼家楼街道深入贯彻落实政务公开工作要求，推进基层政务公开标准化、规范化、便捷化建设，拓宽公开渠道，提升政务服务新质效。</w:t>
      </w:r>
      <w:r>
        <w:rPr>
          <w:rFonts w:hint="eastAsia" w:ascii="仿宋_GB2312" w:hAnsi="仿宋_GB2312" w:eastAsia="仿宋_GB2312" w:cs="仿宋_GB2312"/>
          <w:color w:val="auto"/>
          <w:sz w:val="32"/>
          <w:szCs w:val="32"/>
          <w:lang w:eastAsia="zh-CN"/>
        </w:rPr>
        <w:t>全年</w:t>
      </w:r>
      <w:r>
        <w:rPr>
          <w:rFonts w:hint="eastAsia" w:ascii="仿宋_GB2312" w:hAnsi="仿宋_GB2312" w:eastAsia="仿宋_GB2312" w:cs="仿宋_GB2312"/>
          <w:color w:val="auto"/>
          <w:sz w:val="32"/>
          <w:szCs w:val="32"/>
          <w:shd w:val="clear" w:color="auto" w:fill="auto"/>
        </w:rPr>
        <w:t>主动公开基层动态、年度报告、双公示信息、财政预决算等各类信息</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219</w:t>
      </w:r>
      <w:r>
        <w:rPr>
          <w:rFonts w:hint="eastAsia" w:ascii="仿宋_GB2312" w:hAnsi="仿宋_GB2312" w:eastAsia="仿宋_GB2312" w:cs="仿宋_GB2312"/>
          <w:color w:val="auto"/>
          <w:sz w:val="32"/>
          <w:szCs w:val="32"/>
          <w:shd w:val="clear" w:color="auto" w:fill="auto"/>
        </w:rPr>
        <w:t>条</w:t>
      </w:r>
      <w:r>
        <w:rPr>
          <w:rFonts w:hint="eastAsia" w:ascii="仿宋_GB2312" w:hAnsi="仿宋_GB2312" w:eastAsia="仿宋_GB2312" w:cs="仿宋_GB2312"/>
          <w:color w:val="auto"/>
          <w:sz w:val="32"/>
          <w:szCs w:val="32"/>
          <w:shd w:val="clear" w:color="auto" w:fill="auto"/>
          <w:lang w:eastAsia="zh-CN"/>
        </w:rPr>
        <w:t>，处理政府信息公开申请</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12</w:t>
      </w:r>
      <w:r>
        <w:rPr>
          <w:rFonts w:hint="eastAsia" w:ascii="仿宋_GB2312" w:hAnsi="仿宋_GB2312" w:eastAsia="仿宋_GB2312" w:cs="仿宋_GB2312"/>
          <w:color w:val="auto"/>
          <w:sz w:val="32"/>
          <w:szCs w:val="32"/>
          <w:shd w:val="clear" w:color="auto" w:fill="auto"/>
          <w:lang w:val="en-US" w:eastAsia="zh-CN"/>
        </w:rPr>
        <w:t>件</w:t>
      </w:r>
      <w:r>
        <w:rPr>
          <w:rFonts w:hint="eastAsia" w:ascii="仿宋_GB2312" w:hAnsi="仿宋_GB2312" w:eastAsia="仿宋_GB2312" w:cs="仿宋_GB2312"/>
          <w:color w:val="auto"/>
          <w:sz w:val="32"/>
          <w:szCs w:val="32"/>
          <w:shd w:val="clear" w:color="auto" w:fill="auto"/>
        </w:rPr>
        <w:t>。</w:t>
      </w:r>
    </w:p>
    <w:p w14:paraId="221D99CB">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三、推进法治政府建设中存在的不足</w:t>
      </w:r>
    </w:p>
    <w:p w14:paraId="71D3E42D">
      <w:pPr>
        <w:pStyle w:val="2"/>
        <w:keepNext w:val="0"/>
        <w:keepLines w:val="0"/>
        <w:pageBreakBefore w:val="0"/>
        <w:kinsoku/>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bCs/>
          <w:color w:val="auto"/>
          <w:kern w:val="0"/>
          <w:sz w:val="32"/>
          <w:szCs w:val="32"/>
          <w:shd w:val="clear" w:color="auto" w:fill="auto"/>
          <w:lang w:val="en-US" w:eastAsia="zh-CN"/>
        </w:rPr>
        <w:t>一是法治思维在法治政府建设的运用深度不足。</w:t>
      </w:r>
      <w:r>
        <w:rPr>
          <w:rFonts w:hint="eastAsia" w:ascii="仿宋_GB2312" w:hAnsi="仿宋_GB2312" w:eastAsia="仿宋_GB2312" w:cs="仿宋_GB2312"/>
          <w:b w:val="0"/>
          <w:i w:val="0"/>
          <w:color w:val="auto"/>
          <w:kern w:val="0"/>
          <w:sz w:val="32"/>
          <w:szCs w:val="32"/>
          <w:lang w:val="en-US" w:eastAsia="zh-CN" w:bidi="ar-SA"/>
        </w:rPr>
        <w:t xml:space="preserve">街道干部运用法治方式破解基层治理难题的意识有待进一步加强，存在重效率、轻程序的倾向。面对信访慰问、矛盾调处等复杂场景法治思维惯性尚未完全养成，依法行政能力有待加强。 </w:t>
      </w:r>
    </w:p>
    <w:p w14:paraId="6510A938">
      <w:pPr>
        <w:pStyle w:val="3"/>
        <w:keepNext w:val="0"/>
        <w:keepLines w:val="0"/>
        <w:pageBreakBefore w:val="0"/>
        <w:numPr>
          <w:ilvl w:val="0"/>
          <w:numId w:val="0"/>
        </w:numPr>
        <w:kinsoku/>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b w:val="0"/>
          <w:i w:val="0"/>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SA"/>
        </w:rPr>
        <w:t>二是普法宣传实效性和精准度有待提升。</w:t>
      </w:r>
      <w:r>
        <w:rPr>
          <w:rFonts w:hint="eastAsia" w:ascii="仿宋_GB2312" w:hAnsi="仿宋_GB2312" w:eastAsia="仿宋_GB2312" w:cs="仿宋_GB2312"/>
          <w:b w:val="0"/>
          <w:i w:val="0"/>
          <w:color w:val="auto"/>
          <w:kern w:val="0"/>
          <w:sz w:val="32"/>
          <w:szCs w:val="32"/>
          <w:lang w:val="en-US" w:eastAsia="zh-CN"/>
        </w:rPr>
        <w:t>普法工作大多依赖传统方式，新媒体等创新手段的覆盖度尚有提升空间</w:t>
      </w:r>
      <w:r>
        <w:rPr>
          <w:rFonts w:hint="eastAsia" w:ascii="仿宋_GB2312" w:hAnsi="仿宋_GB2312" w:eastAsia="仿宋_GB2312" w:cs="仿宋_GB2312"/>
          <w:b w:val="0"/>
          <w:i w:val="0"/>
          <w:color w:val="auto"/>
          <w:kern w:val="0"/>
          <w:sz w:val="32"/>
          <w:szCs w:val="32"/>
          <w:lang w:eastAsia="zh-CN"/>
        </w:rPr>
        <w:t>。执法与普法衔接不够紧密，宣传形式的群众吸引力有待加强，导致群众法治参与积极性不高，法治观念普及效果有待提升。</w:t>
      </w:r>
    </w:p>
    <w:p w14:paraId="0FC9B390">
      <w:pPr>
        <w:pStyle w:val="2"/>
        <w:keepNext w:val="0"/>
        <w:keepLines w:val="0"/>
        <w:pageBreakBefore w:val="0"/>
        <w:numPr>
          <w:ilvl w:val="0"/>
          <w:numId w:val="0"/>
        </w:numPr>
        <w:kinsoku/>
        <w:overflowPunct/>
        <w:topLinePunct w:val="0"/>
        <w:autoSpaceDE/>
        <w:autoSpaceDN/>
        <w:bidi w:val="0"/>
        <w:adjustRightInd/>
        <w:snapToGrid/>
        <w:spacing w:line="560" w:lineRule="exact"/>
        <w:ind w:right="0" w:rightChars="0" w:firstLine="643" w:firstLineChars="200"/>
        <w:jc w:val="both"/>
        <w:textAlignment w:val="auto"/>
        <w:rPr>
          <w:rFonts w:hint="eastAsia" w:ascii="仿宋_GB2312" w:hAnsi="仿宋_GB2312" w:eastAsia="仿宋_GB2312" w:cs="仿宋_GB2312"/>
          <w:color w:val="0000FF"/>
          <w:kern w:val="0"/>
          <w:sz w:val="32"/>
          <w:szCs w:val="32"/>
          <w:lang w:eastAsia="zh-CN"/>
        </w:rPr>
      </w:pPr>
      <w:r>
        <w:rPr>
          <w:rFonts w:hint="eastAsia" w:ascii="楷体_GB2312" w:hAnsi="楷体_GB2312" w:eastAsia="楷体_GB2312" w:cs="楷体_GB2312"/>
          <w:b/>
          <w:bCs/>
          <w:color w:val="auto"/>
          <w:kern w:val="0"/>
          <w:sz w:val="32"/>
          <w:szCs w:val="32"/>
          <w:lang w:val="en-US" w:eastAsia="zh-CN" w:bidi="ar-SA"/>
        </w:rPr>
        <w:t>三是矛盾纠纷多元联动化解机制有待完善。</w:t>
      </w:r>
      <w:r>
        <w:rPr>
          <w:rFonts w:hint="eastAsia" w:ascii="仿宋_GB2312" w:hAnsi="仿宋_GB2312" w:eastAsia="仿宋_GB2312" w:cs="仿宋_GB2312"/>
          <w:color w:val="auto"/>
          <w:kern w:val="0"/>
          <w:sz w:val="32"/>
          <w:szCs w:val="32"/>
          <w:lang w:val="en-US" w:eastAsia="zh-CN" w:bidi="ar-SA"/>
        </w:rPr>
        <w:t>街道</w:t>
      </w:r>
      <w:r>
        <w:rPr>
          <w:rFonts w:hint="eastAsia" w:hAnsi="仿宋_GB2312" w:cs="仿宋_GB2312"/>
          <w:color w:val="auto"/>
          <w:kern w:val="0"/>
          <w:sz w:val="32"/>
          <w:szCs w:val="32"/>
          <w:lang w:val="en-US" w:eastAsia="zh-CN" w:bidi="ar-SA"/>
        </w:rPr>
        <w:t>初步建立了矛盾纠纷多元化解机制，但</w:t>
      </w:r>
      <w:r>
        <w:rPr>
          <w:rFonts w:hint="eastAsia" w:ascii="仿宋" w:hAnsi="仿宋" w:eastAsia="仿宋" w:cs="仿宋"/>
          <w:color w:val="000000" w:themeColor="text1"/>
          <w:sz w:val="32"/>
          <w:szCs w:val="32"/>
          <w:highlight w:val="none"/>
          <w:lang w:val="en-US" w:eastAsia="zh-CN"/>
          <w14:textFill>
            <w14:solidFill>
              <w14:schemeClr w14:val="tx1"/>
            </w14:solidFill>
          </w14:textFill>
        </w:rPr>
        <w:t>多方联动机制尚需磨合，信访、接诉即办、综治中心和行政执法投诉办理机制有待优化，有待探索矛盾纠纷信息整合，诉求追源机制，切实实现矛盾纠纷一站式化解。</w:t>
      </w:r>
    </w:p>
    <w:p w14:paraId="08E1C80F">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四、</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2026</w:t>
      </w:r>
      <w:r>
        <w:rPr>
          <w:rFonts w:hint="eastAsia" w:ascii="黑体" w:hAnsi="黑体" w:eastAsia="黑体" w:cs="黑体"/>
          <w:color w:val="auto"/>
          <w:kern w:val="2"/>
          <w:sz w:val="32"/>
          <w:szCs w:val="32"/>
          <w:lang w:val="en-US" w:eastAsia="zh-CN" w:bidi="ar-SA"/>
        </w:rPr>
        <w:t>年工作思路</w:t>
      </w:r>
    </w:p>
    <w:p w14:paraId="16F80B29">
      <w:pPr>
        <w:keepNext w:val="0"/>
        <w:keepLines w:val="0"/>
        <w:pageBreakBefore w:val="0"/>
        <w:kinsoku/>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FF"/>
          <w:kern w:val="0"/>
          <w:sz w:val="32"/>
          <w:szCs w:val="32"/>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2026</w:t>
      </w:r>
      <w:r>
        <w:rPr>
          <w:rFonts w:hint="eastAsia" w:ascii="仿宋_GB2312" w:hAnsi="仿宋_GB2312" w:eastAsia="仿宋_GB2312" w:cs="仿宋_GB2312"/>
          <w:color w:val="auto"/>
          <w:sz w:val="32"/>
          <w:szCs w:val="32"/>
          <w:shd w:val="clear" w:color="auto" w:fill="auto"/>
          <w:lang w:val="en-US" w:eastAsia="zh-CN"/>
        </w:rPr>
        <w:t>年</w:t>
      </w:r>
      <w:r>
        <w:rPr>
          <w:rFonts w:hint="eastAsia" w:ascii="仿宋_GB2312" w:hAnsi="仿宋_GB2312" w:eastAsia="仿宋_GB2312" w:cs="仿宋_GB2312"/>
          <w:color w:val="auto"/>
          <w:sz w:val="32"/>
          <w:szCs w:val="32"/>
          <w:shd w:val="clear" w:color="auto" w:fill="auto"/>
          <w:lang w:eastAsia="zh-CN"/>
        </w:rPr>
        <w:t>呼</w:t>
      </w:r>
      <w:r>
        <w:rPr>
          <w:rFonts w:hint="eastAsia" w:ascii="仿宋_GB2312" w:hAnsi="仿宋_GB2312" w:eastAsia="仿宋_GB2312" w:cs="仿宋_GB2312"/>
          <w:color w:val="auto"/>
          <w:sz w:val="32"/>
          <w:szCs w:val="32"/>
          <w:shd w:val="clear" w:color="auto" w:fill="auto"/>
        </w:rPr>
        <w:t>家楼街道将</w:t>
      </w:r>
      <w:r>
        <w:rPr>
          <w:rFonts w:hint="eastAsia" w:ascii="仿宋_GB2312" w:hAnsi="仿宋_GB2312" w:eastAsia="仿宋_GB2312" w:cs="仿宋_GB2312"/>
          <w:color w:val="auto"/>
          <w:sz w:val="32"/>
          <w:szCs w:val="32"/>
          <w:shd w:val="clear" w:color="auto" w:fill="auto"/>
          <w:lang w:eastAsia="zh-CN"/>
        </w:rPr>
        <w:t>坚持以习近平新时代中国特色社会主义思想为指导，推进法治政府建设工作向纵深处发展</w:t>
      </w:r>
      <w:r>
        <w:rPr>
          <w:rFonts w:hint="eastAsia" w:ascii="仿宋_GB2312" w:hAnsi="仿宋_GB2312" w:eastAsia="仿宋_GB2312" w:cs="仿宋_GB2312"/>
          <w:color w:val="auto"/>
          <w:sz w:val="32"/>
          <w:szCs w:val="32"/>
          <w:shd w:val="clear" w:color="auto" w:fill="auto"/>
        </w:rPr>
        <w:t>，重点抓好以下几项工作：</w:t>
      </w:r>
    </w:p>
    <w:p w14:paraId="136F9FC3">
      <w:pPr>
        <w:keepNext w:val="0"/>
        <w:keepLines w:val="0"/>
        <w:pageBreakBefore w:val="0"/>
        <w:kinsoku/>
        <w:overflowPunct/>
        <w:topLinePunct w:val="0"/>
        <w:autoSpaceDE/>
        <w:autoSpaceDN/>
        <w:bidi w:val="0"/>
        <w:adjustRightInd/>
        <w:snapToGrid/>
        <w:spacing w:line="560" w:lineRule="exact"/>
        <w:ind w:right="0" w:rightChars="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（一）深入落实街道综治中心规范化建设</w:t>
      </w:r>
    </w:p>
    <w:p w14:paraId="6A79AD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FF"/>
          <w:kern w:val="0"/>
          <w:sz w:val="32"/>
          <w:szCs w:val="32"/>
          <w:lang w:val="en-US" w:eastAsia="zh-CN"/>
        </w:rPr>
      </w:pP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2026</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年坚持以基本实现综治中心规范化建设为目标，细化规范落实，积极探索新型“警民联调”机制和人民法院诉前程序性问题释法机制。逐步细化“政法日”实施流程，实现矛盾纠纷化解一站式化解。</w:t>
      </w:r>
    </w:p>
    <w:p w14:paraId="0C45A8BE">
      <w:pPr>
        <w:keepNext w:val="0"/>
        <w:keepLines w:val="0"/>
        <w:pageBreakBefore w:val="0"/>
        <w:kinsoku/>
        <w:overflowPunct/>
        <w:topLinePunct w:val="0"/>
        <w:autoSpaceDE/>
        <w:autoSpaceDN/>
        <w:bidi w:val="0"/>
        <w:adjustRightInd/>
        <w:snapToGrid/>
        <w:spacing w:line="560" w:lineRule="exact"/>
        <w:ind w:right="0" w:rightChars="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（二）加速推进行政执法专项治理成果转化</w:t>
      </w:r>
    </w:p>
    <w:p w14:paraId="0E2A322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持续聚焦企业“急难愁盼”推进减负增效，严格落实涉企检查“清单化+计划管理”，全面推行跨部门“综合查一次”，依托扫码检查实现执法全程留痕。优化惠企政策兑现流程，通过大数据精准推送政策红利，畅通企业诉求反馈渠道，以执法权力“减法”换市场活力“加法”，持续优化法治化营商环境。</w:t>
      </w:r>
    </w:p>
    <w:p w14:paraId="6C75D086">
      <w:pPr>
        <w:keepNext w:val="0"/>
        <w:keepLines w:val="0"/>
        <w:pageBreakBefore w:val="0"/>
        <w:kinsoku/>
        <w:overflowPunct/>
        <w:topLinePunct w:val="0"/>
        <w:autoSpaceDE/>
        <w:autoSpaceDN/>
        <w:bidi w:val="0"/>
        <w:adjustRightInd/>
        <w:snapToGrid/>
        <w:spacing w:line="560" w:lineRule="exact"/>
        <w:ind w:right="0" w:rightChars="0" w:firstLine="643"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（三）高位统筹“九五”普法工作布局</w:t>
      </w:r>
    </w:p>
    <w:p w14:paraId="200D6C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color w:val="auto"/>
          <w:kern w:val="0"/>
          <w:sz w:val="32"/>
          <w:szCs w:val="32"/>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坚持以习近平法治思想为引领，进一步压实“谁执法谁普法”责任制，聚焦领导干部、青少年、新基业群体等重点对象，</w:t>
      </w:r>
      <w:r>
        <w:rPr>
          <w:rFonts w:hint="eastAsia" w:ascii="仿宋_GB2312" w:hAnsi="仿宋_GB2312" w:eastAsia="仿宋_GB2312" w:cs="仿宋_GB2312"/>
          <w:b w:val="0"/>
          <w:bCs w:val="0"/>
          <w:color w:val="auto"/>
          <w:sz w:val="32"/>
          <w:szCs w:val="32"/>
          <w:shd w:val="clear" w:color="auto" w:fill="auto"/>
          <w:lang w:eastAsia="zh-CN"/>
        </w:rPr>
        <w:t>积极</w:t>
      </w:r>
      <w:r>
        <w:rPr>
          <w:rFonts w:hint="eastAsia" w:ascii="仿宋_GB2312" w:hAnsi="仿宋_GB2312" w:eastAsia="仿宋_GB2312" w:cs="仿宋_GB2312"/>
          <w:i w:val="0"/>
          <w:caps w:val="0"/>
          <w:color w:val="333333"/>
          <w:spacing w:val="0"/>
          <w:sz w:val="32"/>
          <w:szCs w:val="32"/>
          <w:shd w:val="clear" w:color="auto" w:fill="auto"/>
        </w:rPr>
        <w:t>探索新形势下普法依法治理的新路径新方法，</w:t>
      </w:r>
      <w:r>
        <w:rPr>
          <w:rFonts w:hint="eastAsia" w:hAnsi="仿宋_GB2312" w:cs="仿宋_GB2312"/>
          <w:i w:val="0"/>
          <w:caps w:val="0"/>
          <w:color w:val="333333"/>
          <w:spacing w:val="0"/>
          <w:sz w:val="32"/>
          <w:szCs w:val="32"/>
          <w:shd w:val="clear" w:color="auto" w:fill="auto"/>
          <w:lang w:eastAsia="zh-CN"/>
        </w:rPr>
        <w:t>着力打造</w:t>
      </w:r>
      <w:r>
        <w:rPr>
          <w:rFonts w:hint="eastAsia" w:ascii="仿宋_GB2312" w:hAnsi="仿宋_GB2312" w:eastAsia="仿宋_GB2312" w:cs="仿宋_GB2312"/>
          <w:b w:val="0"/>
          <w:bCs w:val="0"/>
          <w:color w:val="auto"/>
          <w:sz w:val="32"/>
          <w:szCs w:val="32"/>
          <w:lang w:eastAsia="zh-CN"/>
        </w:rPr>
        <w:t>地区普法品牌，</w:t>
      </w:r>
      <w:r>
        <w:rPr>
          <w:rFonts w:hint="eastAsia" w:ascii="仿宋_GB2312" w:hAnsi="仿宋_GB2312" w:eastAsia="仿宋_GB2312" w:cs="仿宋_GB2312"/>
          <w:i w:val="0"/>
          <w:caps w:val="0"/>
          <w:color w:val="333333"/>
          <w:spacing w:val="0"/>
          <w:sz w:val="32"/>
          <w:szCs w:val="32"/>
          <w:shd w:val="clear" w:color="auto" w:fill="auto"/>
        </w:rPr>
        <w:t>在更宽领域更高层次推动街道普法依法治理工作高质量发展。</w:t>
      </w:r>
    </w:p>
    <w:p w14:paraId="2E00A36C">
      <w:pPr>
        <w:pStyle w:val="3"/>
        <w:keepNext w:val="0"/>
        <w:keepLines w:val="0"/>
        <w:pageBreakBefore w:val="0"/>
        <w:kinsoku/>
        <w:overflowPunct/>
        <w:topLinePunct w:val="0"/>
        <w:autoSpaceDE/>
        <w:autoSpaceDN/>
        <w:bidi w:val="0"/>
        <w:adjustRightInd/>
        <w:spacing w:line="560" w:lineRule="exact"/>
        <w:jc w:val="both"/>
        <w:textAlignment w:val="auto"/>
        <w:rPr>
          <w:rFonts w:hint="eastAsia"/>
          <w:color w:val="auto"/>
          <w:kern w:val="0"/>
          <w:sz w:val="32"/>
          <w:szCs w:val="32"/>
        </w:rPr>
      </w:pPr>
    </w:p>
    <w:p w14:paraId="40F8AC2C">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 xml:space="preserve">                            呼家楼街道办事处      </w:t>
      </w:r>
    </w:p>
    <w:p w14:paraId="225A3B35">
      <w:pPr>
        <w:pStyle w:val="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sz w:val="32"/>
          <w:szCs w:val="32"/>
        </w:rPr>
      </w:pPr>
      <w:r>
        <w:rPr>
          <w:rFonts w:hint="eastAsia" w:ascii="仿宋_GB2312" w:hAnsi="仿宋_GB2312" w:eastAsia="仿宋_GB2312" w:cs="仿宋_GB2312"/>
          <w:color w:val="auto"/>
          <w:kern w:val="0"/>
          <w:sz w:val="32"/>
          <w:szCs w:val="32"/>
          <w:lang w:val="en-US" w:eastAsia="zh-CN" w:bidi="ar-SA"/>
        </w:rPr>
        <w:t xml:space="preserve">                            </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2025</w:t>
      </w:r>
      <w:r>
        <w:rPr>
          <w:rFonts w:hint="eastAsia" w:ascii="仿宋_GB2312" w:hAnsi="仿宋_GB2312" w:eastAsia="仿宋_GB2312" w:cs="仿宋_GB2312"/>
          <w:color w:val="auto"/>
          <w:kern w:val="0"/>
          <w:sz w:val="32"/>
          <w:szCs w:val="32"/>
          <w:lang w:val="en-US" w:eastAsia="zh-CN" w:bidi="ar-SA"/>
        </w:rPr>
        <w:t>年</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11</w:t>
      </w:r>
      <w:r>
        <w:rPr>
          <w:rFonts w:hint="eastAsia" w:ascii="仿宋_GB2312" w:hAnsi="仿宋_GB2312" w:eastAsia="仿宋_GB2312" w:cs="仿宋_GB2312"/>
          <w:color w:val="auto"/>
          <w:kern w:val="0"/>
          <w:sz w:val="32"/>
          <w:szCs w:val="32"/>
          <w:lang w:val="en-US" w:eastAsia="zh-CN" w:bidi="ar-SA"/>
        </w:rPr>
        <w:t>月</w:t>
      </w:r>
      <w:r>
        <w:rPr>
          <w:rFonts w:hint="eastAsia"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28</w:t>
      </w:r>
      <w:r>
        <w:rPr>
          <w:rFonts w:hint="eastAsia" w:ascii="仿宋_GB2312" w:hAnsi="仿宋_GB2312" w:eastAsia="仿宋_GB2312" w:cs="仿宋_GB2312"/>
          <w:color w:val="auto"/>
          <w:kern w:val="0"/>
          <w:sz w:val="32"/>
          <w:szCs w:val="32"/>
          <w:lang w:val="en-US" w:eastAsia="zh-CN" w:bidi="ar-SA"/>
        </w:rPr>
        <w:t>日</w:t>
      </w:r>
    </w:p>
    <w:sectPr>
      <w:footerReference r:id="rId3" w:type="default"/>
      <w:footerReference r:id="rId4" w:type="even"/>
      <w:pgSz w:w="11906" w:h="16838"/>
      <w:pgMar w:top="2098" w:right="1474" w:bottom="1985" w:left="1588"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7172F2">
    <w:pPr>
      <w:pStyle w:val="7"/>
      <w:ind w:left="8820" w:hanging="8820" w:hangingChars="4900"/>
      <w:jc w:val="center"/>
    </w:pPr>
  </w:p>
  <w:p w14:paraId="434FD749">
    <w:pPr>
      <w:pStyle w:val="7"/>
      <w:ind w:left="13720" w:hanging="13720" w:hangingChars="4900"/>
      <w:jc w:val="center"/>
      <w:rPr>
        <w:rFonts w:ascii="仿宋_GB2312" w:eastAsia="仿宋_GB2312"/>
        <w:sz w:val="28"/>
        <w:szCs w:val="28"/>
      </w:rPr>
    </w:pPr>
    <w:r>
      <w:rPr>
        <w:rFonts w:ascii="仿宋_GB2312" w:eastAsia="仿宋_GB2312"/>
        <w:sz w:val="28"/>
        <w:szCs w:val="28"/>
      </w:rPr>
      <w:fldChar w:fldCharType="begin"/>
    </w:r>
    <w:r>
      <w:rPr>
        <w:rFonts w:ascii="仿宋_GB2312" w:eastAsia="仿宋_GB2312"/>
        <w:sz w:val="28"/>
        <w:szCs w:val="28"/>
      </w:rPr>
      <w:instrText xml:space="preserve"> PAGE   \* MERGEFORMAT </w:instrText>
    </w:r>
    <w:r>
      <w:rPr>
        <w:rFonts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ascii="仿宋_GB2312" w:eastAsia="仿宋_GB2312"/>
        <w:sz w:val="28"/>
        <w:szCs w:val="28"/>
      </w:rPr>
      <w:fldChar w:fldCharType="end"/>
    </w:r>
  </w:p>
  <w:p w14:paraId="7F3C2C3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C587B">
    <w:pPr>
      <w:pStyle w:val="7"/>
      <w:ind w:firstLine="420" w:firstLineChars="150"/>
      <w:jc w:val="center"/>
      <w:rPr>
        <w:rFonts w:ascii="仿宋_GB2312" w:eastAsia="仿宋_GB2312"/>
        <w:sz w:val="28"/>
        <w:szCs w:val="28"/>
      </w:rPr>
    </w:pPr>
    <w:r>
      <w:rPr>
        <w:rFonts w:ascii="仿宋_GB2312" w:eastAsia="仿宋_GB2312"/>
        <w:sz w:val="28"/>
        <w:szCs w:val="28"/>
      </w:rPr>
      <w:fldChar w:fldCharType="begin"/>
    </w:r>
    <w:r>
      <w:rPr>
        <w:rStyle w:val="13"/>
        <w:rFonts w:ascii="仿宋_GB2312" w:eastAsia="仿宋_GB2312"/>
        <w:sz w:val="28"/>
        <w:szCs w:val="28"/>
      </w:rPr>
      <w:instrText xml:space="preserve"> PAGE </w:instrText>
    </w:r>
    <w:r>
      <w:rPr>
        <w:rFonts w:ascii="仿宋_GB2312" w:eastAsia="仿宋_GB2312"/>
        <w:sz w:val="28"/>
        <w:szCs w:val="28"/>
      </w:rPr>
      <w:fldChar w:fldCharType="separate"/>
    </w:r>
    <w:r>
      <w:rPr>
        <w:rStyle w:val="13"/>
        <w:rFonts w:ascii="仿宋_GB2312" w:eastAsia="仿宋_GB2312"/>
        <w:sz w:val="28"/>
        <w:szCs w:val="28"/>
      </w:rPr>
      <w:t>- 2 -</w:t>
    </w:r>
    <w:r>
      <w:rPr>
        <w:rFonts w:ascii="仿宋_GB2312" w:eastAsia="仿宋_GB2312"/>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B90D5F"/>
    <w:multiLevelType w:val="singleLevel"/>
    <w:tmpl w:val="9AB90D5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ZTBhMGIxZGNkOWM0MjAyOTkxNmU3OTkyYTg4ODgifQ=="/>
  </w:docVars>
  <w:rsids>
    <w:rsidRoot w:val="4C58357C"/>
    <w:rsid w:val="010C5AC8"/>
    <w:rsid w:val="01A04078"/>
    <w:rsid w:val="028F7E83"/>
    <w:rsid w:val="03072AD0"/>
    <w:rsid w:val="03900FAB"/>
    <w:rsid w:val="067333BD"/>
    <w:rsid w:val="092721AC"/>
    <w:rsid w:val="0E5B187F"/>
    <w:rsid w:val="11FB64F9"/>
    <w:rsid w:val="17A403C7"/>
    <w:rsid w:val="190B7829"/>
    <w:rsid w:val="1F9D5A27"/>
    <w:rsid w:val="1FF80EF6"/>
    <w:rsid w:val="24902469"/>
    <w:rsid w:val="26381B5A"/>
    <w:rsid w:val="287F71E9"/>
    <w:rsid w:val="2C6A58AF"/>
    <w:rsid w:val="2CDE2B68"/>
    <w:rsid w:val="3D361A8D"/>
    <w:rsid w:val="3FBDC956"/>
    <w:rsid w:val="43E923A8"/>
    <w:rsid w:val="45071FCB"/>
    <w:rsid w:val="461A6C4F"/>
    <w:rsid w:val="4C58357C"/>
    <w:rsid w:val="577B6B9C"/>
    <w:rsid w:val="59201C59"/>
    <w:rsid w:val="5AA92B05"/>
    <w:rsid w:val="5BB52055"/>
    <w:rsid w:val="5BF3652A"/>
    <w:rsid w:val="5FFFA4AA"/>
    <w:rsid w:val="669A0D63"/>
    <w:rsid w:val="6711344A"/>
    <w:rsid w:val="67FB29DF"/>
    <w:rsid w:val="6ABEC20D"/>
    <w:rsid w:val="6B191F4D"/>
    <w:rsid w:val="6BF7ED75"/>
    <w:rsid w:val="6DF7AA78"/>
    <w:rsid w:val="6FBBBEF3"/>
    <w:rsid w:val="6FEF1CB0"/>
    <w:rsid w:val="74424BE5"/>
    <w:rsid w:val="763FA49E"/>
    <w:rsid w:val="7666C2AD"/>
    <w:rsid w:val="7BFD628B"/>
    <w:rsid w:val="7C721A72"/>
    <w:rsid w:val="7CF093B5"/>
    <w:rsid w:val="7DFF5A16"/>
    <w:rsid w:val="7EC63450"/>
    <w:rsid w:val="7F9F00AC"/>
    <w:rsid w:val="7FFBCFE1"/>
    <w:rsid w:val="BBEB8768"/>
    <w:rsid w:val="BE5FEB09"/>
    <w:rsid w:val="BE7CAEC1"/>
    <w:rsid w:val="BF50F9BD"/>
    <w:rsid w:val="BF7F4F96"/>
    <w:rsid w:val="CD65B4D0"/>
    <w:rsid w:val="CFFDA275"/>
    <w:rsid w:val="DDFF34F2"/>
    <w:rsid w:val="DF5FB32D"/>
    <w:rsid w:val="DF9B234B"/>
    <w:rsid w:val="DFBD1689"/>
    <w:rsid w:val="E7FECDA6"/>
    <w:rsid w:val="EFFEE433"/>
    <w:rsid w:val="FAB2B17E"/>
    <w:rsid w:val="FB3B4072"/>
    <w:rsid w:val="FFFFF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keepNext/>
      <w:keepLines/>
      <w:spacing w:before="260" w:after="260" w:line="416" w:lineRule="auto"/>
      <w:outlineLvl w:val="2"/>
    </w:pPr>
    <w:rPr>
      <w:b/>
      <w:bCs/>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560" w:lineRule="exact"/>
    </w:pPr>
    <w:rPr>
      <w:rFonts w:ascii="仿宋_GB2312" w:hAnsi="宋体" w:eastAsia="仿宋_GB2312"/>
      <w:sz w:val="32"/>
      <w:szCs w:val="32"/>
    </w:rPr>
  </w:style>
  <w:style w:type="paragraph" w:customStyle="1" w:styleId="3">
    <w:name w:val="toc 1_b958cacf-7e5f-454f-8c5b-6e15b77831f9"/>
    <w:next w:val="1"/>
    <w:qFormat/>
    <w:uiPriority w:val="0"/>
    <w:pPr>
      <w:wordWrap w:val="0"/>
      <w:jc w:val="both"/>
    </w:pPr>
    <w:rPr>
      <w:rFonts w:ascii="Calibri" w:hAnsi="Calibri" w:eastAsia="宋体" w:cs="Times New Roman"/>
      <w:sz w:val="21"/>
      <w:szCs w:val="22"/>
      <w:lang w:val="en-US" w:eastAsia="zh-CN" w:bidi="ar-SA"/>
    </w:rPr>
  </w:style>
  <w:style w:type="paragraph" w:styleId="6">
    <w:name w:val="Body Text Indent"/>
    <w:basedOn w:val="1"/>
    <w:qFormat/>
    <w:uiPriority w:val="0"/>
    <w:pPr>
      <w:spacing w:after="120"/>
      <w:ind w:left="420" w:leftChars="200"/>
    </w:pPr>
    <w:rPr>
      <w:szCs w:val="22"/>
    </w:rPr>
  </w:style>
  <w:style w:type="paragraph" w:styleId="7">
    <w:name w:val="footer"/>
    <w:basedOn w:val="1"/>
    <w:qFormat/>
    <w:uiPriority w:val="0"/>
    <w:pPr>
      <w:tabs>
        <w:tab w:val="center" w:pos="4153"/>
        <w:tab w:val="right" w:pos="8306"/>
      </w:tabs>
      <w:snapToGrid w:val="0"/>
      <w:jc w:val="left"/>
    </w:pPr>
    <w:rPr>
      <w:kern w:val="0"/>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9">
    <w:name w:val="Body Text First Indent 2"/>
    <w:basedOn w:val="6"/>
    <w:next w:val="1"/>
    <w:qFormat/>
    <w:uiPriority w:val="0"/>
    <w:pPr>
      <w:tabs>
        <w:tab w:val="left" w:pos="0"/>
        <w:tab w:val="left" w:pos="284"/>
        <w:tab w:val="left" w:pos="720"/>
      </w:tabs>
      <w:ind w:firstLine="420" w:firstLineChars="200"/>
    </w:pPr>
  </w:style>
  <w:style w:type="character" w:styleId="12">
    <w:name w:val="Strong"/>
    <w:basedOn w:val="11"/>
    <w:qFormat/>
    <w:uiPriority w:val="0"/>
    <w:rPr>
      <w:b/>
    </w:rPr>
  </w:style>
  <w:style w:type="character" w:styleId="13">
    <w:name w:val="page number"/>
    <w:qFormat/>
    <w:uiPriority w:val="0"/>
    <w:rPr>
      <w:rFonts w:cs="Times New Roman"/>
    </w:rPr>
  </w:style>
  <w:style w:type="character" w:customStyle="1" w:styleId="14">
    <w:name w:val="fontstyle01"/>
    <w:basedOn w:val="11"/>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2022-11-11T10:46:00Z</dcterms:created>
  <dc:creator>Administrator</dc:creator>
  <cp:lastModifiedBy>ACER</cp:lastModifiedBy>
  <cp:lastPrinted>2022-12-03T15:59:00Z</cp:lastPrinted>
  <dcterms:modified xsi:type="dcterms:W3CDTF">2026-01-05T10:18:26Z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7E66F023097D4E8ABFDC974D20725F4E_13</vt:lpwstr>
  </property>
</Properties>
</file>