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72" w:type="dxa"/>
        <w:tblLayout w:type="fixed"/>
        <w:tblLook w:val="0000"/>
      </w:tblPr>
      <w:tblGrid>
        <w:gridCol w:w="1647"/>
        <w:gridCol w:w="1777"/>
        <w:gridCol w:w="1953"/>
        <w:gridCol w:w="1957"/>
        <w:gridCol w:w="3348"/>
      </w:tblGrid>
      <w:tr w:rsidR="000A3251" w:rsidRPr="00745571" w:rsidTr="00DC5DE8">
        <w:trPr>
          <w:trHeight w:val="4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kern w:val="0"/>
                <w:sz w:val="18"/>
                <w:szCs w:val="18"/>
              </w:rPr>
              <w:t>项目支出绩效目标申报表</w:t>
            </w:r>
          </w:p>
        </w:tc>
      </w:tr>
      <w:tr w:rsidR="000A3251" w:rsidRPr="00745571" w:rsidTr="00DC5DE8">
        <w:trPr>
          <w:trHeight w:val="46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（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年度）</w:t>
            </w:r>
          </w:p>
        </w:tc>
      </w:tr>
      <w:tr w:rsidR="000A3251" w:rsidRPr="00745571" w:rsidTr="000430EC">
        <w:trPr>
          <w:trHeight w:val="26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7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593CD7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燃气锅炉</w:t>
            </w:r>
            <w:proofErr w:type="gramStart"/>
            <w:r w:rsidRP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低氮改造</w:t>
            </w:r>
            <w:proofErr w:type="gramEnd"/>
            <w:r w:rsidRP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及扬尘污染治理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项目申报部门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0430EC">
        <w:trPr>
          <w:trHeight w:val="323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F1078D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proofErr w:type="gramStart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翁广达</w:t>
            </w:r>
            <w:proofErr w:type="gramEnd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、郭全亮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</w:rPr>
              <w:t>65000097</w:t>
            </w:r>
            <w:r w:rsidR="00593CD7">
              <w:rPr>
                <w:rFonts w:hint="eastAsia"/>
                <w:b w:val="0"/>
              </w:rPr>
              <w:t>、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65078341</w:t>
            </w:r>
          </w:p>
        </w:tc>
      </w:tr>
      <w:tr w:rsidR="000A3251" w:rsidRPr="00745571" w:rsidTr="000430EC">
        <w:trPr>
          <w:trHeight w:val="231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项目起止时间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项目实施单位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0430EC">
        <w:trPr>
          <w:trHeight w:val="294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项目资金情况</w:t>
            </w:r>
          </w:p>
        </w:tc>
        <w:tc>
          <w:tcPr>
            <w:tcW w:w="42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621FAD" w:rsidP="00621FAD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财政拨款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000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（市级资金）</w:t>
            </w:r>
          </w:p>
        </w:tc>
      </w:tr>
      <w:tr w:rsidR="000A3251" w:rsidRPr="00745571" w:rsidTr="000430EC">
        <w:trPr>
          <w:trHeight w:hRule="exact" w:val="648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项目绩效目标</w:t>
            </w:r>
          </w:p>
        </w:tc>
        <w:tc>
          <w:tcPr>
            <w:tcW w:w="42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593CD7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</w:t>
            </w:r>
            <w:r w:rsidR="000430E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过发放补贴资金，督促企业实施改造，减少氮氧化物排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以及</w:t>
            </w:r>
            <w:r w:rsidR="00593CD7" w:rsidRP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通过委托第三方企业实施公共环境综合治理服务，对道路、裸地扬尘进行治理，改善空气质量</w:t>
            </w:r>
          </w:p>
        </w:tc>
      </w:tr>
      <w:tr w:rsidR="000A3251" w:rsidRPr="00745571" w:rsidTr="000430EC">
        <w:trPr>
          <w:trHeight w:hRule="exact" w:val="288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ind w:leftChars="-51" w:left="-11" w:hangingChars="54" w:hanging="97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具体指标（指标内容、指标值）</w:t>
            </w:r>
          </w:p>
        </w:tc>
      </w:tr>
      <w:tr w:rsidR="000A3251" w:rsidRPr="00745571" w:rsidTr="000430EC">
        <w:trPr>
          <w:trHeight w:hRule="exact" w:val="1291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3CD7" w:rsidRPr="00745571" w:rsidRDefault="00745571" w:rsidP="00593CD7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2017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年锅炉完成约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5000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蒸吨改造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；</w:t>
            </w:r>
            <w:r w:rsidR="00593CD7" w:rsidRP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="00593CD7" w:rsidRP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年完成约</w:t>
            </w:r>
            <w:r w:rsidR="00593CD7" w:rsidRP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910</w:t>
            </w:r>
            <w:r w:rsidR="00593CD7" w:rsidRPr="00C77C19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万平方米裸地覆盖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；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年完成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142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家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VOC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排放单位的环保设施治理；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2017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年完成油烟净化器改造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750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台。</w:t>
            </w:r>
          </w:p>
        </w:tc>
      </w:tr>
      <w:tr w:rsidR="000A3251" w:rsidRPr="00745571" w:rsidTr="000430EC">
        <w:trPr>
          <w:trHeight w:hRule="exact" w:val="1551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593CD7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改造后锅炉排放达到《锅炉大气污染排放的标准》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(DB11/139-2015)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的要求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；采用高密度覆盖网和结壳</w:t>
            </w:r>
            <w:proofErr w:type="gramStart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抑尘剂</w:t>
            </w:r>
            <w:proofErr w:type="gramEnd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，覆盖后不得产生扬尘；达到行业污染物浓度排放标准；符合《饮食业油烟排放标准》（试行）（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GB18483-2001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）中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0.8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的标准</w:t>
            </w:r>
          </w:p>
        </w:tc>
      </w:tr>
      <w:tr w:rsidR="000A3251" w:rsidRPr="00745571" w:rsidTr="000430EC">
        <w:trPr>
          <w:trHeight w:hRule="exact" w:val="1289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根据北京市大气防治工作，继续推进锅炉改造工作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；根据拆迁进行，</w:t>
            </w:r>
            <w:proofErr w:type="gramStart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随拆随盖</w:t>
            </w:r>
            <w:proofErr w:type="gramEnd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，确保年底盖完；第一季度全面展开动员，第二三季度企业自行治理安装，第四季度完成验收。</w:t>
            </w:r>
          </w:p>
        </w:tc>
      </w:tr>
      <w:tr w:rsidR="000A3251" w:rsidRPr="00745571" w:rsidTr="000430EC">
        <w:trPr>
          <w:trHeight w:val="3493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严格按照《北京市环境保护局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北京市财政局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北京市质量技术监督局关于印发〈北京市燃气（油）锅炉低氮改造以奖代补资金管理办法〉的通知》（</w:t>
            </w:r>
            <w:proofErr w:type="gramStart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京环函【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2016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】</w:t>
            </w:r>
            <w:proofErr w:type="gramEnd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293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号）、《北京市环境保护局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北京市财政局关于〈燃气（油）锅炉低氮改造以奖代补资金管理办法〉相关事项补充规定的通知》（</w:t>
            </w:r>
            <w:proofErr w:type="gramStart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京环函【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2016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】</w:t>
            </w:r>
            <w:proofErr w:type="gramEnd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553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号）文件执行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；裸地苫盖成本：每平方米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3.29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元，全区预计新产生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910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万平方米拆迁裸地，总资金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3000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万元。有机挥发物：单台预计补助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7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万元，总补助额不超过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1000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万元。餐饮业油烟净化器改造每风量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0.67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元，补贴净化器款的三分之一。</w:t>
            </w:r>
          </w:p>
        </w:tc>
      </w:tr>
      <w:tr w:rsidR="000A3251" w:rsidRPr="00745571" w:rsidTr="000430EC">
        <w:trPr>
          <w:trHeight w:hRule="exact" w:val="385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0430EC">
        <w:trPr>
          <w:trHeight w:hRule="exact" w:val="277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0430EC">
        <w:trPr>
          <w:trHeight w:hRule="exact" w:val="1003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0430EC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通过燃气</w:t>
            </w:r>
            <w:proofErr w:type="gramStart"/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锅炉低氮改造</w:t>
            </w:r>
            <w:proofErr w:type="gramEnd"/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、餐饮业油烟净化器改造、</w:t>
            </w:r>
            <w:r w:rsidR="000430E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对产生</w:t>
            </w:r>
            <w:r w:rsidR="00593CD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有</w:t>
            </w:r>
            <w:r w:rsidR="000430E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机物的企业进行治理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，可有效降低</w:t>
            </w:r>
            <w:r w:rsidR="000430E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污染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物</w:t>
            </w:r>
            <w:r w:rsidR="000430EC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的排放。</w:t>
            </w:r>
          </w:p>
        </w:tc>
      </w:tr>
      <w:tr w:rsidR="000A3251" w:rsidRPr="00745571" w:rsidTr="000430EC">
        <w:trPr>
          <w:trHeight w:hRule="exact" w:val="740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改造后减少环境污染，减少氮氧化物等大气主要污染物排放，改善空气质量</w:t>
            </w:r>
          </w:p>
        </w:tc>
      </w:tr>
      <w:tr w:rsidR="000A3251" w:rsidRPr="00745571" w:rsidTr="000430EC">
        <w:trPr>
          <w:trHeight w:val="126"/>
        </w:trPr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改善区域空气质量，完成后使社会公众受益</w:t>
            </w:r>
          </w:p>
        </w:tc>
      </w:tr>
      <w:tr w:rsidR="000A3251" w:rsidRPr="00745571" w:rsidTr="000430EC">
        <w:trPr>
          <w:trHeight w:hRule="exact" w:val="352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0430EC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其他说明的问题</w:t>
            </w:r>
          </w:p>
        </w:tc>
        <w:tc>
          <w:tcPr>
            <w:tcW w:w="42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</w:tbl>
    <w:p w:rsidR="009F7761" w:rsidRPr="00745571" w:rsidRDefault="000A3251" w:rsidP="00324EE1">
      <w:pPr>
        <w:widowControl/>
        <w:spacing w:after="200" w:line="300" w:lineRule="exact"/>
        <w:ind w:firstLineChars="100" w:firstLine="180"/>
        <w:jc w:val="left"/>
        <w:rPr>
          <w:sz w:val="18"/>
          <w:szCs w:val="18"/>
        </w:rPr>
      </w:pP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填表人：</w:t>
      </w:r>
      <w:r w:rsidR="000430EC">
        <w:rPr>
          <w:rFonts w:ascii="Cambria" w:hAnsi="Cambria" w:hint="eastAsia"/>
          <w:b w:val="0"/>
          <w:bCs w:val="0"/>
          <w:kern w:val="0"/>
          <w:sz w:val="18"/>
          <w:szCs w:val="18"/>
        </w:rPr>
        <w:t>张岚</w:t>
      </w:r>
      <w:r w:rsidR="000430EC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 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联系电话：</w:t>
      </w:r>
      <w:r w:rsidR="00745571">
        <w:rPr>
          <w:rFonts w:hint="eastAsia"/>
          <w:b w:val="0"/>
        </w:rPr>
        <w:t>65</w:t>
      </w:r>
      <w:r w:rsidR="000430EC">
        <w:rPr>
          <w:rFonts w:hint="eastAsia"/>
          <w:b w:val="0"/>
        </w:rPr>
        <w:t>947131</w:t>
      </w:r>
      <w:r w:rsidR="00324EE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</w:t>
      </w:r>
      <w:r w:rsidR="000430EC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            </w:t>
      </w:r>
      <w:r w:rsidR="00324EE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填表日期：</w:t>
      </w:r>
      <w:r w:rsidR="00324EE1">
        <w:rPr>
          <w:rFonts w:ascii="Cambria" w:hAnsi="Cambria" w:hint="eastAsia"/>
          <w:b w:val="0"/>
          <w:bCs w:val="0"/>
          <w:kern w:val="0"/>
          <w:sz w:val="18"/>
          <w:szCs w:val="18"/>
        </w:rPr>
        <w:t>2017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年</w:t>
      </w:r>
      <w:r w:rsidR="00324EE1">
        <w:rPr>
          <w:rFonts w:ascii="Cambria" w:hAnsi="Cambria" w:hint="eastAsia"/>
          <w:b w:val="0"/>
          <w:bCs w:val="0"/>
          <w:kern w:val="0"/>
          <w:sz w:val="18"/>
          <w:szCs w:val="18"/>
        </w:rPr>
        <w:t>11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月</w:t>
      </w:r>
      <w:r w:rsidR="00324EE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24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日</w:t>
      </w:r>
    </w:p>
    <w:sectPr w:rsidR="009F7761" w:rsidRPr="00745571" w:rsidSect="000430E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73C" w:rsidRDefault="008B373C" w:rsidP="00745571">
      <w:r>
        <w:separator/>
      </w:r>
    </w:p>
  </w:endnote>
  <w:endnote w:type="continuationSeparator" w:id="1">
    <w:p w:rsidR="008B373C" w:rsidRDefault="008B373C" w:rsidP="0074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73C" w:rsidRDefault="008B373C" w:rsidP="00745571">
      <w:r>
        <w:separator/>
      </w:r>
    </w:p>
  </w:footnote>
  <w:footnote w:type="continuationSeparator" w:id="1">
    <w:p w:rsidR="008B373C" w:rsidRDefault="008B373C" w:rsidP="00745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251"/>
    <w:rsid w:val="000430EC"/>
    <w:rsid w:val="000A3251"/>
    <w:rsid w:val="00140375"/>
    <w:rsid w:val="0015701E"/>
    <w:rsid w:val="001A0D76"/>
    <w:rsid w:val="00324EE1"/>
    <w:rsid w:val="003345CA"/>
    <w:rsid w:val="00593CD7"/>
    <w:rsid w:val="00621FAD"/>
    <w:rsid w:val="00745571"/>
    <w:rsid w:val="008B373C"/>
    <w:rsid w:val="009B67C6"/>
    <w:rsid w:val="009F7761"/>
    <w:rsid w:val="00D70D9B"/>
    <w:rsid w:val="00E524CC"/>
    <w:rsid w:val="00EA40F1"/>
    <w:rsid w:val="00F10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51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5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5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2011-11-24T19:55:00Z</dcterms:created>
  <dcterms:modified xsi:type="dcterms:W3CDTF">2011-11-24T14:32:00Z</dcterms:modified>
</cp:coreProperties>
</file>