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ACD4E">
      <w:pPr>
        <w:overflowPunct w:val="0"/>
        <w:topLinePunct/>
        <w:adjustRightInd w:val="0"/>
        <w:snapToGrid w:val="0"/>
        <w:spacing w:after="312" w:afterLines="100" w:line="560" w:lineRule="exact"/>
        <w:jc w:val="both"/>
        <w:rPr>
          <w:rFonts w:hint="eastAsia" w:ascii="方正小标宋简体" w:hAnsi="方正小标宋简体" w:eastAsia="方正小标宋简体" w:cs="方正小标宋简体"/>
          <w:spacing w:val="-11"/>
          <w:w w:val="90"/>
          <w:sz w:val="44"/>
          <w:szCs w:val="40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w w:val="90"/>
          <w:sz w:val="44"/>
          <w:szCs w:val="40"/>
        </w:rPr>
        <w:t>朝阳区关于支持人工智能OPC创新发展的若干措施</w:t>
      </w:r>
    </w:p>
    <w:p w14:paraId="79AB2A50">
      <w:pPr>
        <w:overflowPunct w:val="0"/>
        <w:topLinePunct/>
        <w:adjustRightInd w:val="0"/>
        <w:snapToGrid w:val="0"/>
        <w:spacing w:after="312" w:afterLines="100" w:line="560" w:lineRule="exact"/>
        <w:jc w:val="center"/>
        <w:rPr>
          <w:rFonts w:hint="eastAsia" w:ascii="方正小标宋简体" w:hAnsi="方正小标宋简体" w:eastAsia="方正小标宋简体" w:cs="方正小标宋简体"/>
          <w:spacing w:val="-11"/>
          <w:w w:val="90"/>
          <w:sz w:val="44"/>
          <w:szCs w:val="40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w w:val="90"/>
          <w:sz w:val="44"/>
          <w:szCs w:val="40"/>
        </w:rPr>
        <w:t>（征求意见稿）</w:t>
      </w:r>
    </w:p>
    <w:p w14:paraId="346D84D5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为深入贯彻落实国家和北京市关于“人工智能+”战略部署，充分发挥朝阳区技术和应用场景是优势，催生人工智能新型创业模式，打造具有全国影响力的OPC（One Person Company，以人工智能技术为支撑、个人独立完成业务全链路闭环的新型组织形态）创业集聚地，特制定本措施。</w:t>
      </w:r>
    </w:p>
    <w:p w14:paraId="330CE71A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一、建设特色集聚社区。围绕人工智能创新街区和科技百园布局，打造“低成本空间+全生命周期创孵服务”的OPC特色创业社区，支持空间运营机构联合具有技术生态牵引能力的企业共建共享工位，配套共享会议室、共享展厅等公共设施。搭建一站式服务平台，形成覆盖政策咨询、工商注册、融资对接、算力供给、开发工具、技术平台等内容的特色创孵服务，常态化开展技术沙龙、孵化加速、市场对接、产业论坛等生态活动。对满足条件的OPC社区，可给予连续三年、每年最高不超过500万元资金支持。</w:t>
      </w:r>
    </w:p>
    <w:p w14:paraId="34E49530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二、支持生产工具平台建设。面向OPC的模型训练、智能体开发和内容生产等创新创业全栈需求，支持各类创新主体研发通用智能体工具、AIGC生产平台、智能体工厂平台等人工智能生产工具平台，并向区域内OPC提供优惠或免费服务。对符合条件的生产工具平台，可给予运营服务单位每年最高不超过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500</w:t>
      </w:r>
      <w:r>
        <w:rPr>
          <w:rFonts w:hint="eastAsia" w:ascii="仿宋_GB2312" w:hAnsi="仿宋_GB2312" w:eastAsia="仿宋_GB2312" w:cs="仿宋_GB2312"/>
          <w:sz w:val="32"/>
        </w:rPr>
        <w:t>万元的运营服务资金支持，同一平台连续支持不超过三年。</w:t>
      </w:r>
    </w:p>
    <w:p w14:paraId="09CB0992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三、打造超级个体网络。引进和推动成立超级个体网络（Super Individual Connectivity Network，SICN）机构，支持开展SICN服务，向有潜力的超级个体和OPC提供资源链接、商务谈判、品牌营销等经纪服务，补充OPC在市场资源、商业经验等方面的短板，支持有潜力的超级个体和OPC持续发展。</w:t>
      </w:r>
    </w:p>
    <w:p w14:paraId="2A0B2F04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四、推进应用场景开放。围绕金融、消费、文旅、政务、交通、工业等领域，推动央国企、行业头部企业等向OPC开放场景资源，鼓励应用场景专业服务机构为OPC挖掘和梳理场景需求，形成场景需求和技术能力两张清单，并定期与</w:t>
      </w:r>
      <w:r>
        <w:rPr>
          <w:rFonts w:hint="eastAsia" w:ascii="仿宋_GB2312" w:hAnsi="仿宋_GB2312" w:eastAsia="仿宋_GB2312" w:cs="仿宋_GB2312"/>
          <w:sz w:val="32"/>
          <w:szCs w:val="32"/>
        </w:rPr>
        <w:t>SICN机构和OPC社区联合</w:t>
      </w:r>
      <w:r>
        <w:rPr>
          <w:rFonts w:hint="eastAsia" w:ascii="仿宋_GB2312" w:hAnsi="仿宋_GB2312" w:eastAsia="仿宋_GB2312" w:cs="仿宋_GB2312"/>
          <w:sz w:val="32"/>
        </w:rPr>
        <w:t>发布，开展场景智能对接和精准匹配。举办OPC场景专项赛，围绕不同场景赛道，组织场景出题、OPC答题、公开遴选和精准撮合，支持OPC通过“揭榜挂帅”等方式参与场景建设。对引领性、创新性的应用场景项目，按照不超过研发与建设投资额（不含土建）的 30%给予资金支持，单个项目支持金额最高不超过500万元。</w:t>
      </w:r>
    </w:p>
    <w:p w14:paraId="200F1C01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五、加强算力保障。做强算力伙伴合作计划，鼓励合作伙伴开发和上架面向OPC的专属算力产品，支持OPC使用算力券、词元券等开展研发创新活动。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对符合要求的，</w:t>
      </w:r>
      <w:r>
        <w:rPr>
          <w:rFonts w:hint="eastAsia" w:ascii="仿宋_GB2312" w:hAnsi="仿宋_GB2312" w:eastAsia="仿宋_GB2312" w:cs="仿宋_GB2312"/>
          <w:sz w:val="32"/>
        </w:rPr>
        <w:t>按照算力或词元实际使用量的50%给予资金支持，每年最高50万元。</w:t>
      </w:r>
    </w:p>
    <w:p w14:paraId="68896325"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提升高质量数据供给。支持建设开放共享的高质量行业数据集，鼓励掌握专业性数据集的主体通过数据交易所进行场内交易，向OPC开放数据，为OPC提供数据供给、模型训练、数据存储、数据流通等全流程服务。通过语料券支持OPC使用数据服务和产品开展人工智能相关研发。符合要求的，</w:t>
      </w:r>
      <w:r>
        <w:rPr>
          <w:rFonts w:hint="eastAsia" w:ascii="仿宋_GB2312" w:hAnsi="仿宋_GB2312" w:eastAsia="仿宋_GB2312" w:cs="仿宋_GB2312"/>
          <w:sz w:val="32"/>
        </w:rPr>
        <w:t>按照项目合同的50%给予资金支持，每年最高50万元。</w:t>
      </w:r>
    </w:p>
    <w:p w14:paraId="5FD3A786"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七、强化金融服务。依托朝阳区科技金融服务矩阵，构建“股债贷投担财税法”全链条金融服务，形成投早投小、快速决策的投资机制，鼓励金融机构为OPC提供“园区贷”、科技成果转化贷等特色融资产品，常态化组织OPC专场投资路演活动，支持OPC通过信用贷款、知识产权质押贷款、短期融资券、私募债券、融资租赁等方式进行融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对符合条件的企业，可按照实际支付利息的30%每年给予最高100万贴息支持。</w:t>
      </w:r>
    </w:p>
    <w:p w14:paraId="7B7ABCCE"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</w:rPr>
        <w:t>八、优化人才服务。支持高校、园区、企业、行业协会等联合举办面向OPC和潜在人才的人才培训。加大OPC人才引进力度，支持OPC人才申报“朝阳青创15条”，优先提供人才认定、工作居住证申领、积分落户、子女入学等服务，优化医疗、住房等生活保障，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支持OPC人才申报国家级和市级重点人才项目。</w:t>
      </w:r>
    </w:p>
    <w:p w14:paraId="3ABD005F"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九、开展OPC接续培养。</w:t>
      </w:r>
      <w:r>
        <w:rPr>
          <w:rFonts w:hint="eastAsia" w:ascii="仿宋_GB2312" w:hAnsi="仿宋_GB2312" w:eastAsia="仿宋_GB2312" w:cs="仿宋_GB2312"/>
          <w:color w:val="000000"/>
          <w:sz w:val="32"/>
          <w:lang w:bidi="ar"/>
        </w:rPr>
        <w:t>联合投资机构、OPC社区及SICN机构</w:t>
      </w:r>
      <w:r>
        <w:rPr>
          <w:rFonts w:hint="eastAsia" w:ascii="仿宋_GB2312" w:hAnsi="仿宋_GB2312" w:eastAsia="仿宋_GB2312" w:cs="仿宋_GB2312"/>
          <w:sz w:val="32"/>
          <w:lang w:bidi="ar"/>
        </w:rPr>
        <w:t>等</w:t>
      </w:r>
      <w:r>
        <w:rPr>
          <w:rFonts w:hint="eastAsia" w:ascii="仿宋_GB2312" w:hAnsi="仿宋_GB2312" w:eastAsia="仿宋_GB2312" w:cs="仿宋_GB2312"/>
          <w:color w:val="000000"/>
          <w:sz w:val="32"/>
          <w:lang w:bidi="ar"/>
        </w:rPr>
        <w:t>，</w:t>
      </w:r>
      <w:r>
        <w:rPr>
          <w:rFonts w:hint="eastAsia" w:ascii="仿宋_GB2312" w:hAnsi="仿宋_GB2312" w:eastAsia="仿宋_GB2312" w:cs="仿宋_GB2312"/>
          <w:sz w:val="32"/>
          <w:lang w:bidi="ar"/>
        </w:rPr>
        <w:t>建立面向</w:t>
      </w:r>
      <w:r>
        <w:rPr>
          <w:rFonts w:hint="eastAsia" w:ascii="仿宋_GB2312" w:hAnsi="仿宋_GB2312" w:eastAsia="仿宋_GB2312" w:cs="仿宋_GB2312"/>
          <w:sz w:val="32"/>
        </w:rPr>
        <w:t>OPC及潜在OPC项目的常态化筛选机制，对有发展潜力的OPC开展接续培养和持续支持，促进有发展潜力的OPC向创新型中小企业、</w:t>
      </w:r>
      <w:r>
        <w:rPr>
          <w:rFonts w:hint="eastAsia" w:ascii="仿宋_GB2312" w:hAnsi="仿宋_GB2312" w:eastAsia="仿宋_GB2312" w:cs="仿宋_GB2312"/>
          <w:sz w:val="32"/>
          <w:szCs w:val="32"/>
        </w:rPr>
        <w:t>专精特新企业、高新技术企业发展，并将其纳入</w:t>
      </w:r>
      <w:r>
        <w:rPr>
          <w:rFonts w:hint="eastAsia" w:ascii="仿宋_GB2312" w:hAnsi="仿宋_GB2312" w:eastAsia="仿宋_GB2312" w:cs="仿宋_GB2312"/>
          <w:sz w:val="32"/>
        </w:rPr>
        <w:t>中小企业梯度培育政策予以支持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B398F39">
      <w:pPr>
        <w:adjustRightInd w:val="0"/>
        <w:snapToGrid w:val="0"/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22"/>
        </w:rPr>
      </w:pPr>
      <w:r>
        <w:rPr>
          <w:rFonts w:hint="eastAsia" w:ascii="仿宋_GB2312" w:hAnsi="仿宋_GB2312" w:eastAsia="仿宋_GB2312" w:cs="仿宋_GB2312"/>
          <w:sz w:val="32"/>
        </w:rPr>
        <w:t>十、做好财政资金保障。将OPC纳入《朝阳区促进通用人工智能创新应用发展的若干措施》、《朝阳区支持青年科技人才创新创业若干措施》、《朝阳区加快推进中小企业梯度培育若干措施》和《朝阳区促进高新技术产业发展若干措施》等资金政策支持范围，优先为OPC创新发展提供资金保障。</w:t>
      </w:r>
    </w:p>
    <w:p w14:paraId="5E7A284E">
      <w:pPr>
        <w:adjustRightInd w:val="0"/>
        <w:snapToGrid w:val="0"/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22"/>
        </w:rPr>
        <w:t>本若干措施适用于依法经营，有潜力成为OPC的个人，OPC及开展服务OPC创新发展业务的企业、社会团体、民办非企业单位等主体。本若干措施</w:t>
      </w:r>
      <w:r>
        <w:rPr>
          <w:rFonts w:hint="eastAsia" w:ascii="仿宋_GB2312" w:hAnsi="仿宋_GB2312" w:eastAsia="仿宋_GB2312" w:cs="仿宋_GB2312"/>
          <w:sz w:val="32"/>
        </w:rPr>
        <w:t>自发布之日起施行，有效期3年，由中关村科技园区朝阳园管理委员会（北京市朝阳区科学技术和信息化局）、北京市朝阳区人才局、北京市朝阳区市场监督管理局、北京朝阳国家文化产业创新实验区管理委员会负责解释。</w:t>
      </w:r>
    </w:p>
    <w:p w14:paraId="2E388CD4">
      <w:pPr>
        <w:pStyle w:val="4"/>
        <w:widowControl/>
        <w:ind w:firstLine="0" w:firstLineChars="0"/>
        <w:jc w:val="both"/>
        <w:rPr>
          <w:rFonts w:hint="eastAsia" w:eastAsia="仿宋_GB2312"/>
          <w:sz w:val="32"/>
          <w:szCs w:val="32"/>
          <w:lang w:val="en-US" w:eastAsia="zh-CN"/>
        </w:rPr>
      </w:pPr>
    </w:p>
    <w:p w14:paraId="23A929FA">
      <w:pPr>
        <w:pStyle w:val="4"/>
        <w:widowControl/>
        <w:ind w:firstLine="0" w:firstLineChars="0"/>
        <w:jc w:val="both"/>
        <w:rPr>
          <w:rFonts w:hint="eastAsia" w:eastAsia="仿宋_GB2312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17" w:right="1474" w:bottom="1417" w:left="1587" w:header="851" w:footer="992" w:gutter="0"/>
          <w:cols w:space="720" w:num="1"/>
          <w:docGrid w:type="lines" w:linePitch="317" w:charSpace="0"/>
        </w:sectPr>
      </w:pPr>
    </w:p>
    <w:p w14:paraId="58437DD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33950A">
    <w:pPr>
      <w:pStyle w:val="2"/>
      <w:jc w:val="both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DB543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Q+V+SdAAAAADAQAADwAAAAAAAAABACAAAAAiAAAAZHJzL2Rvd25y&#10;ZXYueG1sUEsBAhQAFAAAAAgAh07iQJQa1WfNAQAAlwMAAA4AAAAAAAAAAQAgAAAAHwEAAGRycy9l&#10;Mm9Eb2MueG1sUEsFBgAAAAAGAAYAWQEAAF4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4DB543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2C0455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58F8A5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DC1B6D"/>
    <w:rsid w:val="40DC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2026-04-08T07:13:00Z</dcterms:created>
  <dc:creator>bobos</dc:creator>
  <cp:lastModifiedBy>bobos</cp:lastModifiedBy>
  <dcterms:modified xsi:type="dcterms:W3CDTF">2026-04-08T07:14:30Z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EE201978DD7D4B0BABDBE93B08EBB062_11</vt:lpwstr>
  </property>
  <property fmtid="{D5CDD505-2E9C-101B-9397-08002B2CF9AE}" pid="4" name="KSOTemplateDocerSaveRecord">
    <vt:lpwstr>eyJoZGlkIjoiZmYxZjlkYTE2OWI2MTgwZDRmZGQxNTQ0YTA1Y2ZhYTgiLCJ1c2VySWQiOiI0MzgwMjk3NTAifQ==</vt:lpwstr>
  </property>
</Properties>
</file>