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北京市营利性文化艺术类校外培训机构培训课程预付费管理信用承诺书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本机构熟悉了解《北京市单用途预付卡管理条例》以及《北京市营利性文化艺术类校外培训机构培训课程预付费管理办法（修订）》等政策文件关于培训课程预付资金监管要求，知悉违反相关要</w:t>
      </w:r>
      <w:bookmarkStart w:id="0" w:name="_GoBack"/>
      <w:bookmarkEnd w:id="0"/>
      <w:r>
        <w:rPr>
          <w:rFonts w:hint="default" w:ascii="Times New Roman" w:hAnsi="Times New Roman" w:eastAsia="仿宋_GB2312" w:cs="Times New Roman"/>
          <w:sz w:val="32"/>
          <w:szCs w:val="32"/>
          <w:lang w:eastAsia="zh-CN"/>
        </w:rPr>
        <w:t>求所应当承担的责任，包括信用降级，以及限期改正、罚款、责令停业等。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本机构承诺：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1.在北京市营利性文化艺术类校外培训机构“风险+信用”综合监管系统上所填写的全部信息、提交的材料真实、有效、完整。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2.全部培训课程采用“一次（一课）一结”的收费方式。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愿意承担未履行承诺、虚假承诺的法律责任。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承诺人盖章（企业公章）：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承诺人法定代表人签字：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DEFAA6F"/>
    <w:rsid w:val="3FBF764D"/>
    <w:rsid w:val="4A1947CF"/>
    <w:rsid w:val="DEF73BA3"/>
    <w:rsid w:val="E6FB7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2018-07-12T15:11:00Z</dcterms:created>
  <dc:creator>d</dc:creator>
  <cp:lastModifiedBy>uos</cp:lastModifiedBy>
  <cp:lastPrinted>2024-01-30T03:54:00Z</cp:lastPrinted>
  <dcterms:modified xsi:type="dcterms:W3CDTF">2024-02-21T16:52:58Z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