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4528E">
      <w:pPr>
        <w:spacing w:before="159" w:beforeLines="50" w:line="620" w:lineRule="exact"/>
        <w:jc w:val="left"/>
        <w:rPr>
          <w:rFonts w:hint="eastAsia" w:ascii="Times New Roman" w:hAnsi="Times New Roman" w:eastAsia="楷体_GB2312" w:cs="Times New Roman"/>
          <w:color w:val="auto"/>
          <w:spacing w:val="-10"/>
          <w:sz w:val="36"/>
          <w:szCs w:val="36"/>
          <w:highlight w:val="none"/>
        </w:rPr>
      </w:pPr>
      <w:bookmarkStart w:id="0" w:name="_Toc19974"/>
      <w:bookmarkStart w:id="1" w:name="_Toc718968009_WPSOffice_Level2"/>
      <w:bookmarkStart w:id="2" w:name="_Toc72507467"/>
    </w:p>
    <w:p w14:paraId="31BAB567">
      <w:pPr>
        <w:spacing w:before="159" w:beforeLines="50" w:line="620" w:lineRule="exact"/>
        <w:jc w:val="center"/>
        <w:rPr>
          <w:rFonts w:hint="eastAsia" w:ascii="Times New Roman" w:hAnsi="Times New Roman" w:eastAsia="楷体_GB2312" w:cs="Times New Roman"/>
          <w:color w:val="auto"/>
          <w:spacing w:val="-10"/>
          <w:sz w:val="36"/>
          <w:szCs w:val="36"/>
          <w:highlight w:val="none"/>
          <w:lang w:val="en-US" w:eastAsia="zh-CN"/>
        </w:rPr>
      </w:pPr>
    </w:p>
    <w:p w14:paraId="72B7831A">
      <w:pPr>
        <w:spacing w:before="159" w:beforeLines="50" w:line="620" w:lineRule="exact"/>
        <w:jc w:val="center"/>
        <w:rPr>
          <w:rFonts w:ascii="Times New Roman" w:hAnsi="Times New Roman" w:eastAsia="楷体_GB2312" w:cs="Times New Roman"/>
          <w:color w:val="auto"/>
          <w:spacing w:val="-10"/>
          <w:sz w:val="36"/>
          <w:szCs w:val="36"/>
          <w:highlight w:val="none"/>
        </w:rPr>
      </w:pPr>
    </w:p>
    <w:p w14:paraId="282127C7">
      <w:pPr>
        <w:pBdr>
          <w:top w:val="none" w:color="auto" w:sz="0" w:space="1"/>
          <w:left w:val="none" w:color="auto" w:sz="0" w:space="4"/>
          <w:bottom w:val="none" w:color="auto" w:sz="0" w:space="1"/>
          <w:right w:val="none" w:color="auto" w:sz="0" w:space="4"/>
        </w:pBdr>
        <w:spacing w:after="0" w:line="640" w:lineRule="exact"/>
        <w:jc w:val="center"/>
        <w:rPr>
          <w:rFonts w:hint="eastAsia" w:ascii="Times New Roman" w:hAnsi="Times New Roman" w:eastAsia="方正小标宋简体" w:cs="Times New Roman"/>
          <w:color w:val="auto"/>
          <w:sz w:val="48"/>
          <w:szCs w:val="48"/>
          <w:highlight w:val="none"/>
          <w:lang w:val="en-US" w:eastAsia="zh-CN"/>
        </w:rPr>
      </w:pPr>
      <w:r>
        <w:rPr>
          <w:rFonts w:hint="eastAsia" w:ascii="Times New Roman" w:hAnsi="Times New Roman" w:eastAsia="方正小标宋简体" w:cs="Times New Roman"/>
          <w:color w:val="auto"/>
          <w:sz w:val="48"/>
          <w:szCs w:val="48"/>
          <w:highlight w:val="none"/>
          <w:lang w:val="en-US" w:eastAsia="zh-CN"/>
        </w:rPr>
        <w:t>北京市朝阳区“十五五”时期</w:t>
      </w:r>
    </w:p>
    <w:p w14:paraId="0E08EA9C">
      <w:pPr>
        <w:pBdr>
          <w:top w:val="none" w:color="auto" w:sz="0" w:space="1"/>
          <w:left w:val="none" w:color="auto" w:sz="0" w:space="4"/>
          <w:bottom w:val="none" w:color="auto" w:sz="0" w:space="1"/>
          <w:right w:val="none" w:color="auto" w:sz="0" w:space="4"/>
        </w:pBdr>
        <w:spacing w:after="0" w:line="640" w:lineRule="exact"/>
        <w:jc w:val="center"/>
        <w:rPr>
          <w:rFonts w:ascii="Times New Roman" w:hAnsi="Times New Roman" w:eastAsia="方正小标宋简体" w:cs="Times New Roman"/>
          <w:color w:val="auto"/>
          <w:sz w:val="48"/>
          <w:szCs w:val="48"/>
          <w:highlight w:val="none"/>
        </w:rPr>
      </w:pPr>
      <w:r>
        <w:rPr>
          <w:rFonts w:hint="eastAsia" w:ascii="Times New Roman" w:hAnsi="Times New Roman" w:eastAsia="方正小标宋简体" w:cs="Times New Roman"/>
          <w:color w:val="auto"/>
          <w:sz w:val="48"/>
          <w:szCs w:val="48"/>
          <w:highlight w:val="none"/>
          <w:lang w:val="en-US" w:eastAsia="zh-CN"/>
        </w:rPr>
        <w:t>应急管理规划</w:t>
      </w:r>
    </w:p>
    <w:p w14:paraId="3CE7CC9C">
      <w:pPr>
        <w:widowControl w:val="0"/>
        <w:pBdr>
          <w:top w:val="none" w:color="auto" w:sz="0" w:space="1"/>
          <w:left w:val="none" w:color="auto" w:sz="0" w:space="4"/>
          <w:bottom w:val="none" w:color="auto" w:sz="0" w:space="1"/>
          <w:right w:val="none" w:color="auto" w:sz="0" w:space="4"/>
        </w:pBdr>
        <w:spacing w:before="0" w:after="0" w:line="640" w:lineRule="exact"/>
        <w:jc w:val="center"/>
        <w:rPr>
          <w:rFonts w:ascii="Times New Roman" w:hAnsi="Times New Roman" w:eastAsia="方正小标宋简体" w:cs="Times New Roman"/>
          <w:color w:val="auto"/>
          <w:kern w:val="2"/>
          <w:sz w:val="48"/>
          <w:szCs w:val="48"/>
          <w:highlight w:val="none"/>
          <w:lang w:val="en-US" w:eastAsia="zh-CN" w:bidi="ar-SA"/>
        </w:rPr>
      </w:pPr>
    </w:p>
    <w:p w14:paraId="0A12677E">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5481FD14">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368DEA3B">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602F4BA5">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79596440">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44804B65">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75232B67">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7790AD74">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6D88CF01">
      <w:pPr>
        <w:widowControl w:val="0"/>
        <w:pBdr>
          <w:top w:val="none" w:color="auto" w:sz="0" w:space="1"/>
          <w:left w:val="none" w:color="auto" w:sz="0" w:space="4"/>
          <w:bottom w:val="none" w:color="auto" w:sz="0" w:space="1"/>
          <w:right w:val="none" w:color="auto" w:sz="0" w:space="4"/>
        </w:pBdr>
        <w:spacing w:before="190"/>
        <w:jc w:val="both"/>
        <w:rPr>
          <w:rFonts w:ascii="Times New Roman" w:hAnsi="Times New Roman" w:eastAsia="楷体_GB2312" w:cs="Times New Roman"/>
          <w:color w:val="auto"/>
          <w:spacing w:val="-10"/>
          <w:kern w:val="2"/>
          <w:sz w:val="36"/>
          <w:szCs w:val="36"/>
          <w:highlight w:val="none"/>
          <w:lang w:val="en-US" w:eastAsia="zh-CN" w:bidi="ar-SA"/>
        </w:rPr>
      </w:pPr>
    </w:p>
    <w:p w14:paraId="0D69E7EC">
      <w:pPr>
        <w:widowControl w:val="0"/>
        <w:pBdr>
          <w:top w:val="none" w:color="auto" w:sz="0" w:space="1"/>
          <w:left w:val="none" w:color="auto" w:sz="0" w:space="4"/>
          <w:bottom w:val="none" w:color="auto" w:sz="0" w:space="1"/>
          <w:right w:val="none" w:color="auto" w:sz="0" w:space="4"/>
        </w:pBdr>
        <w:spacing w:before="190"/>
        <w:jc w:val="center"/>
        <w:rPr>
          <w:rFonts w:ascii="Times New Roman" w:hAnsi="Times New Roman" w:eastAsia="楷体_GB2312" w:cs="Times New Roman"/>
          <w:color w:val="auto"/>
          <w:kern w:val="0"/>
          <w:sz w:val="32"/>
          <w:szCs w:val="32"/>
          <w:highlight w:val="none"/>
          <w:lang w:val="en-US" w:eastAsia="zh-CN" w:bidi="ar-SA"/>
        </w:rPr>
      </w:pPr>
      <w:r>
        <w:rPr>
          <w:rFonts w:ascii="Times New Roman" w:hAnsi="Times New Roman" w:eastAsia="楷体_GB2312" w:cs="Times New Roman"/>
          <w:color w:val="auto"/>
          <w:spacing w:val="-10"/>
          <w:kern w:val="2"/>
          <w:sz w:val="36"/>
          <w:szCs w:val="36"/>
          <w:highlight w:val="none"/>
          <w:lang w:val="en-US" w:eastAsia="zh-CN" w:bidi="ar-SA"/>
        </w:rPr>
        <w:t>202</w:t>
      </w:r>
      <w:r>
        <w:rPr>
          <w:rFonts w:hint="eastAsia" w:ascii="Times New Roman" w:hAnsi="Times New Roman" w:eastAsia="楷体_GB2312" w:cs="Times New Roman"/>
          <w:color w:val="auto"/>
          <w:spacing w:val="-10"/>
          <w:kern w:val="2"/>
          <w:sz w:val="36"/>
          <w:szCs w:val="36"/>
          <w:highlight w:val="none"/>
          <w:lang w:val="en-US" w:eastAsia="zh-CN" w:bidi="ar-SA"/>
        </w:rPr>
        <w:t>6</w:t>
      </w:r>
      <w:r>
        <w:rPr>
          <w:rFonts w:ascii="Times New Roman" w:hAnsi="Times New Roman" w:eastAsia="楷体_GB2312" w:cs="Times New Roman"/>
          <w:color w:val="auto"/>
          <w:spacing w:val="-10"/>
          <w:kern w:val="2"/>
          <w:sz w:val="36"/>
          <w:szCs w:val="36"/>
          <w:highlight w:val="none"/>
          <w:lang w:val="en-US" w:eastAsia="zh-CN" w:bidi="ar-SA"/>
        </w:rPr>
        <w:t>年</w:t>
      </w:r>
      <w:r>
        <w:rPr>
          <w:rFonts w:hint="eastAsia" w:ascii="Times New Roman" w:hAnsi="Times New Roman" w:eastAsia="楷体_GB2312" w:cs="Times New Roman"/>
          <w:color w:val="auto"/>
          <w:spacing w:val="-10"/>
          <w:kern w:val="2"/>
          <w:sz w:val="36"/>
          <w:szCs w:val="36"/>
          <w:highlight w:val="none"/>
          <w:lang w:val="en-US" w:eastAsia="zh-CN" w:bidi="ar-SA"/>
        </w:rPr>
        <w:t>10</w:t>
      </w:r>
      <w:r>
        <w:rPr>
          <w:rFonts w:ascii="Times New Roman" w:hAnsi="Times New Roman" w:eastAsia="楷体_GB2312" w:cs="Times New Roman"/>
          <w:color w:val="auto"/>
          <w:spacing w:val="-10"/>
          <w:kern w:val="2"/>
          <w:sz w:val="36"/>
          <w:szCs w:val="36"/>
          <w:highlight w:val="none"/>
          <w:lang w:val="en-US" w:eastAsia="zh-CN" w:bidi="ar-SA"/>
        </w:rPr>
        <w:t>月</w:t>
      </w:r>
    </w:p>
    <w:p w14:paraId="625301BD">
      <w:pPr>
        <w:widowControl w:val="0"/>
        <w:wordWrap w:val="0"/>
        <w:jc w:val="both"/>
        <w:rPr>
          <w:rFonts w:hint="eastAsia" w:ascii="宋体" w:hAnsi="宋体" w:eastAsia="方正小标宋简体" w:cs="Times New Roman"/>
          <w:bCs/>
          <w:color w:val="auto"/>
          <w:kern w:val="0"/>
          <w:sz w:val="44"/>
          <w:szCs w:val="44"/>
          <w:highlight w:val="none"/>
          <w:lang w:val="en-US" w:eastAsia="zh-CN" w:bidi="ar-SA"/>
        </w:rPr>
      </w:pPr>
      <w:r>
        <w:rPr>
          <w:rFonts w:hint="eastAsia" w:ascii="宋体" w:hAnsi="宋体" w:eastAsia="方正小标宋简体" w:cs="Times New Roman"/>
          <w:bCs/>
          <w:color w:val="auto"/>
          <w:kern w:val="0"/>
          <w:sz w:val="44"/>
          <w:szCs w:val="44"/>
          <w:highlight w:val="none"/>
          <w:lang w:val="en-US" w:eastAsia="zh-CN" w:bidi="ar-SA"/>
        </w:rPr>
        <w:br w:type="page"/>
      </w:r>
    </w:p>
    <w:p w14:paraId="1062296C">
      <w:pPr>
        <w:keepNext/>
        <w:keepLines/>
        <w:pageBreakBefore w:val="0"/>
        <w:widowControl w:val="0"/>
        <w:kinsoku/>
        <w:wordWrap/>
        <w:overflowPunct/>
        <w:topLinePunct w:val="0"/>
        <w:autoSpaceDE/>
        <w:autoSpaceDN/>
        <w:bidi w:val="0"/>
        <w:adjustRightInd/>
        <w:snapToGrid/>
        <w:spacing w:line="560" w:lineRule="exact"/>
        <w:jc w:val="center"/>
        <w:textAlignment w:val="auto"/>
        <w:outlineLvl w:val="9"/>
        <w:rPr>
          <w:rFonts w:ascii="Times New Roman" w:hAnsi="Times New Roman" w:eastAsia="黑体" w:cs="Times New Roman"/>
          <w:color w:val="auto"/>
          <w:kern w:val="0"/>
          <w:sz w:val="36"/>
          <w:szCs w:val="36"/>
          <w:highlight w:val="none"/>
        </w:rPr>
      </w:pPr>
      <w:r>
        <w:rPr>
          <w:rFonts w:hint="eastAsia" w:eastAsia="黑体"/>
          <w:color w:val="auto"/>
          <w:sz w:val="36"/>
          <w:szCs w:val="36"/>
          <w:highlight w:val="none"/>
        </w:rPr>
        <w:t>序  言</w:t>
      </w:r>
    </w:p>
    <w:p w14:paraId="5A496DF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仿宋_GB2312" w:cs="Times New Roman"/>
          <w:color w:val="auto"/>
          <w:sz w:val="32"/>
          <w:szCs w:val="20"/>
          <w:highlight w:val="none"/>
        </w:rPr>
      </w:pPr>
    </w:p>
    <w:p w14:paraId="1064BD31">
      <w:pPr>
        <w:spacing w:line="560" w:lineRule="exact"/>
        <w:ind w:firstLine="640" w:firstLineChars="200"/>
        <w:rPr>
          <w:rFonts w:ascii="Times New Roman" w:hAnsi="Times New Roman" w:eastAsia="仿宋_GB2312" w:cs="Times New Roman"/>
          <w:color w:val="auto"/>
          <w:sz w:val="32"/>
          <w:szCs w:val="20"/>
          <w:highlight w:val="none"/>
        </w:rPr>
      </w:pPr>
      <w:r>
        <w:rPr>
          <w:rFonts w:hint="eastAsia" w:ascii="Times New Roman" w:hAnsi="Times New Roman" w:eastAsia="仿宋_GB2312" w:cs="Times New Roman"/>
          <w:color w:val="auto"/>
          <w:sz w:val="32"/>
          <w:szCs w:val="20"/>
          <w:highlight w:val="none"/>
        </w:rPr>
        <w:t>应急管理是国家治理体系和治理能力的重要组成部分，承担防范化解重大安全风险、及时应对处置各类灾害事故的重要职责，担负保护人民群众生命财产安全和维护社会稳定的重要使命。党的二十大以来，习近平总书记就应急管理工作作出一系列重要指示批示，明确提出“坚持安全第一、预防为主，建立大安全大应急框架”，为深化应急管理改革</w:t>
      </w:r>
      <w:r>
        <w:rPr>
          <w:rFonts w:hint="default" w:ascii="Times New Roman" w:hAnsi="Times New Roman" w:eastAsia="仿宋_GB2312" w:cs="Times New Roman"/>
          <w:color w:val="auto"/>
          <w:sz w:val="32"/>
          <w:szCs w:val="20"/>
          <w:highlight w:val="none"/>
          <w:lang w:val="en-US"/>
        </w:rPr>
        <w:t>指明了</w:t>
      </w:r>
      <w:r>
        <w:rPr>
          <w:rFonts w:hint="default" w:ascii="Times New Roman" w:hAnsi="Times New Roman" w:eastAsia="仿宋_GB2312" w:cs="Times New Roman"/>
          <w:color w:val="auto"/>
          <w:sz w:val="32"/>
          <w:szCs w:val="20"/>
          <w:highlight w:val="none"/>
          <w:lang w:val="en-US" w:eastAsia="zh-CN"/>
        </w:rPr>
        <w:t>前进</w:t>
      </w:r>
      <w:r>
        <w:rPr>
          <w:rFonts w:hint="default" w:ascii="Times New Roman" w:hAnsi="Times New Roman" w:eastAsia="仿宋_GB2312" w:cs="Times New Roman"/>
          <w:color w:val="auto"/>
          <w:sz w:val="32"/>
          <w:szCs w:val="20"/>
          <w:highlight w:val="none"/>
          <w:lang w:val="en-US"/>
        </w:rPr>
        <w:t>方向、注入了强大动力</w:t>
      </w:r>
      <w:r>
        <w:rPr>
          <w:rFonts w:hint="eastAsia" w:ascii="Times New Roman" w:hAnsi="Times New Roman" w:eastAsia="仿宋_GB2312" w:cs="Times New Roman"/>
          <w:color w:val="auto"/>
          <w:sz w:val="32"/>
          <w:szCs w:val="20"/>
          <w:highlight w:val="none"/>
        </w:rPr>
        <w:t>。</w:t>
      </w:r>
    </w:p>
    <w:p w14:paraId="133F1B5A">
      <w:pPr>
        <w:spacing w:line="560" w:lineRule="exact"/>
        <w:ind w:firstLine="640" w:firstLineChars="200"/>
        <w:rPr>
          <w:rFonts w:ascii="Times New Roman" w:hAnsi="Times New Roman" w:eastAsia="仿宋_GB2312" w:cs="Times New Roman"/>
          <w:color w:val="auto"/>
          <w:sz w:val="32"/>
          <w:szCs w:val="20"/>
          <w:highlight w:val="none"/>
        </w:rPr>
      </w:pPr>
      <w:bookmarkStart w:id="3" w:name="OLE_LINK6"/>
      <w:bookmarkStart w:id="4" w:name="OLE_LINK5"/>
      <w:r>
        <w:rPr>
          <w:rFonts w:hint="eastAsia" w:ascii="Times New Roman" w:hAnsi="Times New Roman" w:eastAsia="仿宋_GB2312" w:cs="Times New Roman"/>
          <w:color w:val="auto"/>
          <w:sz w:val="32"/>
          <w:szCs w:val="20"/>
          <w:highlight w:val="none"/>
        </w:rPr>
        <w:t>“十五五”时期是基本实现社会主义现代化夯实基础、全面发力的关键时期，</w:t>
      </w:r>
      <w:bookmarkEnd w:id="3"/>
      <w:bookmarkEnd w:id="4"/>
      <w:r>
        <w:rPr>
          <w:rFonts w:hint="eastAsia" w:ascii="Times New Roman" w:hAnsi="Times New Roman" w:eastAsia="仿宋_GB2312" w:cs="Times New Roman"/>
          <w:color w:val="auto"/>
          <w:sz w:val="32"/>
          <w:szCs w:val="20"/>
          <w:highlight w:val="none"/>
        </w:rPr>
        <w:t>是以改革创新推动</w:t>
      </w:r>
      <w:r>
        <w:rPr>
          <w:rFonts w:hint="eastAsia" w:ascii="Times New Roman" w:hAnsi="Times New Roman" w:eastAsia="仿宋_GB2312" w:cs="Times New Roman"/>
          <w:color w:val="auto"/>
          <w:sz w:val="32"/>
          <w:szCs w:val="32"/>
          <w:highlight w:val="none"/>
        </w:rPr>
        <w:t>应急管理体系和能力现代化建设</w:t>
      </w:r>
      <w:r>
        <w:rPr>
          <w:rFonts w:hint="eastAsia" w:ascii="Times New Roman" w:hAnsi="Times New Roman" w:eastAsia="仿宋_GB2312" w:cs="Times New Roman"/>
          <w:color w:val="auto"/>
          <w:sz w:val="32"/>
          <w:szCs w:val="20"/>
          <w:highlight w:val="none"/>
        </w:rPr>
        <w:t>的重要窗口期。朝阳区</w:t>
      </w:r>
      <w:bookmarkStart w:id="5" w:name="OLE_LINK16"/>
      <w:r>
        <w:rPr>
          <w:rFonts w:hint="eastAsia" w:ascii="Times New Roman" w:hAnsi="Times New Roman" w:eastAsia="仿宋_GB2312" w:cs="Times New Roman"/>
          <w:color w:val="auto"/>
          <w:sz w:val="32"/>
          <w:szCs w:val="20"/>
          <w:highlight w:val="none"/>
        </w:rPr>
        <w:t>作为首都功能的重要承载区和国际交往的重要窗口</w:t>
      </w:r>
      <w:bookmarkEnd w:id="5"/>
      <w:r>
        <w:rPr>
          <w:rFonts w:hint="eastAsia" w:ascii="Times New Roman" w:hAnsi="Times New Roman" w:eastAsia="仿宋_GB2312" w:cs="Times New Roman"/>
          <w:color w:val="auto"/>
          <w:sz w:val="32"/>
          <w:szCs w:val="20"/>
          <w:highlight w:val="none"/>
        </w:rPr>
        <w:t>，</w:t>
      </w:r>
      <w:r>
        <w:rPr>
          <w:rFonts w:hint="eastAsia" w:ascii="Times New Roman" w:hAnsi="Times New Roman" w:eastAsia="仿宋_GB2312" w:cs="Times New Roman"/>
          <w:color w:val="auto"/>
          <w:sz w:val="32"/>
          <w:szCs w:val="20"/>
          <w:highlight w:val="none"/>
          <w:lang w:val="en-US" w:eastAsia="zh-CN"/>
        </w:rPr>
        <w:t>同时</w:t>
      </w:r>
      <w:r>
        <w:rPr>
          <w:rFonts w:hint="eastAsia" w:ascii="Times New Roman" w:hAnsi="Times New Roman" w:eastAsia="仿宋_GB2312" w:cs="Times New Roman"/>
          <w:color w:val="auto"/>
          <w:sz w:val="32"/>
          <w:szCs w:val="20"/>
          <w:highlight w:val="none"/>
        </w:rPr>
        <w:t>也是连接核心区与北京城市副中心的重要区域，在</w:t>
      </w:r>
      <w:r>
        <w:rPr>
          <w:rFonts w:hint="eastAsia" w:ascii="Times New Roman" w:hAnsi="Times New Roman" w:eastAsia="仿宋_GB2312" w:cs="Times New Roman"/>
          <w:color w:val="auto"/>
          <w:sz w:val="32"/>
          <w:szCs w:val="20"/>
          <w:highlight w:val="none"/>
          <w:lang w:val="en-US" w:eastAsia="zh-CN"/>
        </w:rPr>
        <w:t>服务</w:t>
      </w:r>
      <w:r>
        <w:rPr>
          <w:rFonts w:hint="eastAsia" w:ascii="Times New Roman" w:hAnsi="Times New Roman" w:eastAsia="仿宋_GB2312" w:cs="Times New Roman"/>
          <w:color w:val="auto"/>
          <w:sz w:val="32"/>
          <w:szCs w:val="20"/>
          <w:highlight w:val="none"/>
        </w:rPr>
        <w:t>“五子”联动</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rPr>
        <w:t>融入新发展格局中</w:t>
      </w:r>
      <w:r>
        <w:rPr>
          <w:rFonts w:hint="eastAsia" w:ascii="Times New Roman" w:hAnsi="Times New Roman" w:eastAsia="仿宋_GB2312" w:cs="Times New Roman"/>
          <w:color w:val="auto"/>
          <w:sz w:val="32"/>
          <w:szCs w:val="20"/>
          <w:highlight w:val="none"/>
          <w:lang w:val="en-US" w:eastAsia="zh-CN"/>
        </w:rPr>
        <w:t>发挥着</w:t>
      </w:r>
      <w:r>
        <w:rPr>
          <w:rFonts w:hint="eastAsia" w:ascii="Times New Roman" w:hAnsi="Times New Roman" w:eastAsia="仿宋_GB2312" w:cs="Times New Roman"/>
          <w:color w:val="auto"/>
          <w:sz w:val="32"/>
          <w:szCs w:val="20"/>
          <w:highlight w:val="none"/>
        </w:rPr>
        <w:t>重要作用。科学编制</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lang w:val="en-US" w:eastAsia="zh-CN"/>
        </w:rPr>
        <w:t>北京市</w:t>
      </w:r>
      <w:r>
        <w:rPr>
          <w:rFonts w:hint="eastAsia" w:ascii="Times New Roman" w:hAnsi="Times New Roman" w:eastAsia="仿宋_GB2312" w:cs="Times New Roman"/>
          <w:color w:val="auto"/>
          <w:sz w:val="32"/>
          <w:szCs w:val="20"/>
          <w:highlight w:val="none"/>
        </w:rPr>
        <w:t>朝阳区“十五五”时期应急</w:t>
      </w:r>
      <w:r>
        <w:rPr>
          <w:rFonts w:hint="eastAsia" w:ascii="Times New Roman" w:hAnsi="Times New Roman" w:eastAsia="仿宋_GB2312" w:cs="Times New Roman"/>
          <w:color w:val="auto"/>
          <w:sz w:val="32"/>
          <w:szCs w:val="20"/>
          <w:highlight w:val="none"/>
          <w:lang w:val="en-US" w:eastAsia="zh-CN"/>
        </w:rPr>
        <w:t>管理</w:t>
      </w:r>
      <w:r>
        <w:rPr>
          <w:rFonts w:hint="eastAsia" w:ascii="Times New Roman" w:hAnsi="Times New Roman" w:eastAsia="仿宋_GB2312" w:cs="Times New Roman"/>
          <w:color w:val="auto"/>
          <w:sz w:val="32"/>
          <w:szCs w:val="20"/>
          <w:highlight w:val="none"/>
        </w:rPr>
        <w:t>规划</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rPr>
        <w:t>，是深入贯彻落实党中央、国务院</w:t>
      </w:r>
      <w:r>
        <w:rPr>
          <w:rFonts w:hint="eastAsia" w:ascii="Times New Roman" w:hAnsi="Times New Roman" w:eastAsia="仿宋_GB2312" w:cs="Times New Roman"/>
          <w:color w:val="auto"/>
          <w:sz w:val="32"/>
          <w:szCs w:val="20"/>
          <w:highlight w:val="none"/>
          <w:lang w:val="en-US" w:eastAsia="zh-CN"/>
        </w:rPr>
        <w:t>及</w:t>
      </w:r>
      <w:r>
        <w:rPr>
          <w:rFonts w:hint="eastAsia" w:ascii="Times New Roman" w:hAnsi="Times New Roman" w:eastAsia="仿宋_GB2312" w:cs="Times New Roman"/>
          <w:color w:val="auto"/>
          <w:sz w:val="32"/>
          <w:szCs w:val="20"/>
          <w:highlight w:val="none"/>
        </w:rPr>
        <w:t>市委、市政府关于应急管理总体部署的关键举措，也是提</w:t>
      </w:r>
      <w:r>
        <w:rPr>
          <w:rFonts w:hint="eastAsia" w:ascii="Times New Roman" w:hAnsi="Times New Roman" w:eastAsia="仿宋_GB2312" w:cs="Times New Roman"/>
          <w:color w:val="auto"/>
          <w:sz w:val="32"/>
          <w:szCs w:val="20"/>
          <w:highlight w:val="none"/>
          <w:lang w:eastAsia="zh-CN"/>
        </w:rPr>
        <w:t>高</w:t>
      </w:r>
      <w:r>
        <w:rPr>
          <w:rFonts w:hint="eastAsia" w:ascii="Times New Roman" w:hAnsi="Times New Roman" w:eastAsia="仿宋_GB2312" w:cs="Times New Roman"/>
          <w:color w:val="auto"/>
          <w:sz w:val="32"/>
          <w:szCs w:val="20"/>
          <w:highlight w:val="none"/>
        </w:rPr>
        <w:t>城市精细化治理水平，</w:t>
      </w:r>
      <w:r>
        <w:rPr>
          <w:rFonts w:hint="eastAsia" w:ascii="Times New Roman" w:hAnsi="Times New Roman" w:eastAsia="仿宋_GB2312" w:cs="Times New Roman"/>
          <w:color w:val="auto"/>
          <w:sz w:val="32"/>
          <w:szCs w:val="20"/>
          <w:highlight w:val="none"/>
          <w:lang w:val="en-US" w:eastAsia="zh-CN"/>
        </w:rPr>
        <w:t>扎实</w:t>
      </w:r>
      <w:r>
        <w:rPr>
          <w:rFonts w:hint="eastAsia" w:ascii="Times New Roman" w:hAnsi="Times New Roman" w:eastAsia="仿宋_GB2312" w:cs="Times New Roman"/>
          <w:color w:val="auto"/>
          <w:sz w:val="32"/>
          <w:szCs w:val="20"/>
          <w:highlight w:val="none"/>
          <w:lang w:eastAsia="zh-CN"/>
        </w:rPr>
        <w:t>提升“五区”功能、建好</w:t>
      </w:r>
      <w:r>
        <w:rPr>
          <w:rFonts w:hint="eastAsia" w:ascii="Times New Roman" w:hAnsi="Times New Roman" w:eastAsia="仿宋_GB2312" w:cs="Times New Roman"/>
          <w:color w:val="auto"/>
          <w:sz w:val="32"/>
          <w:szCs w:val="20"/>
          <w:highlight w:val="none"/>
        </w:rPr>
        <w:t>“五宜”朝阳的</w:t>
      </w:r>
      <w:r>
        <w:rPr>
          <w:rFonts w:hint="eastAsia" w:ascii="Times New Roman" w:hAnsi="Times New Roman" w:eastAsia="仿宋_GB2312" w:cs="Times New Roman"/>
          <w:color w:val="auto"/>
          <w:sz w:val="32"/>
          <w:szCs w:val="20"/>
          <w:highlight w:val="none"/>
          <w:lang w:val="en-US" w:eastAsia="zh-CN"/>
        </w:rPr>
        <w:t>现实需要</w:t>
      </w:r>
      <w:r>
        <w:rPr>
          <w:rFonts w:hint="eastAsia" w:ascii="Times New Roman" w:hAnsi="Times New Roman" w:eastAsia="仿宋_GB2312" w:cs="Times New Roman"/>
          <w:color w:val="auto"/>
          <w:sz w:val="32"/>
          <w:szCs w:val="20"/>
          <w:highlight w:val="none"/>
        </w:rPr>
        <w:t>。</w:t>
      </w:r>
    </w:p>
    <w:p w14:paraId="2E39D787">
      <w:pPr>
        <w:spacing w:line="560" w:lineRule="exact"/>
        <w:ind w:firstLine="640" w:firstLineChars="200"/>
        <w:rPr>
          <w:rFonts w:ascii="Times New Roman" w:hAnsi="Times New Roman" w:eastAsia="仿宋_GB2312" w:cs="Times New Roman"/>
          <w:color w:val="auto"/>
          <w:sz w:val="32"/>
          <w:szCs w:val="20"/>
          <w:highlight w:val="none"/>
        </w:rPr>
      </w:pPr>
      <w:r>
        <w:rPr>
          <w:rFonts w:hint="eastAsia" w:ascii="Times New Roman" w:hAnsi="Times New Roman" w:eastAsia="仿宋_GB2312" w:cs="Times New Roman"/>
          <w:color w:val="auto"/>
          <w:sz w:val="32"/>
          <w:szCs w:val="20"/>
          <w:highlight w:val="none"/>
        </w:rPr>
        <w:t>《</w:t>
      </w:r>
      <w:r>
        <w:rPr>
          <w:rFonts w:hint="eastAsia" w:ascii="Times New Roman" w:hAnsi="Times New Roman" w:eastAsia="仿宋_GB2312" w:cs="Times New Roman"/>
          <w:color w:val="auto"/>
          <w:sz w:val="32"/>
          <w:szCs w:val="20"/>
          <w:highlight w:val="none"/>
          <w:lang w:val="en-US" w:eastAsia="zh-CN"/>
        </w:rPr>
        <w:t>北京市</w:t>
      </w:r>
      <w:r>
        <w:rPr>
          <w:rFonts w:hint="eastAsia" w:ascii="Times New Roman" w:hAnsi="Times New Roman" w:eastAsia="仿宋_GB2312" w:cs="Times New Roman"/>
          <w:color w:val="auto"/>
          <w:sz w:val="32"/>
          <w:szCs w:val="20"/>
          <w:highlight w:val="none"/>
        </w:rPr>
        <w:t>朝阳区“十五五”时期应急</w:t>
      </w:r>
      <w:r>
        <w:rPr>
          <w:rFonts w:hint="eastAsia" w:ascii="Times New Roman" w:hAnsi="Times New Roman" w:eastAsia="仿宋_GB2312" w:cs="Times New Roman"/>
          <w:color w:val="auto"/>
          <w:sz w:val="32"/>
          <w:szCs w:val="20"/>
          <w:highlight w:val="none"/>
          <w:lang w:val="en-US" w:eastAsia="zh-CN"/>
        </w:rPr>
        <w:t>管理</w:t>
      </w:r>
      <w:r>
        <w:rPr>
          <w:rFonts w:hint="eastAsia" w:ascii="Times New Roman" w:hAnsi="Times New Roman" w:eastAsia="仿宋_GB2312" w:cs="Times New Roman"/>
          <w:color w:val="auto"/>
          <w:sz w:val="32"/>
          <w:szCs w:val="20"/>
          <w:highlight w:val="none"/>
        </w:rPr>
        <w:t>规划》</w:t>
      </w:r>
      <w:bookmarkStart w:id="6" w:name="OLE_LINK21"/>
      <w:bookmarkStart w:id="7" w:name="OLE_LINK22"/>
      <w:r>
        <w:rPr>
          <w:rFonts w:hint="eastAsia" w:ascii="Times New Roman" w:hAnsi="Times New Roman" w:eastAsia="仿宋_GB2312" w:cs="Times New Roman"/>
          <w:color w:val="auto"/>
          <w:sz w:val="32"/>
          <w:szCs w:val="20"/>
          <w:highlight w:val="none"/>
        </w:rPr>
        <w:t>以习近平总书记关于应急管理重要论述精神为根本遵循，依据《中华人民共和国国民经济和社会发展第十五个五年规划纲要》《中共中央办公厅</w:t>
      </w:r>
      <w:r>
        <w:rPr>
          <w:rFonts w:hint="eastAsia" w:ascii="Times New Roman" w:hAnsi="Times New Roman" w:eastAsia="仿宋_GB2312" w:cs="Times New Roman"/>
          <w:color w:val="auto"/>
          <w:sz w:val="32"/>
          <w:szCs w:val="20"/>
          <w:highlight w:val="none"/>
          <w:lang w:eastAsia="zh-CN"/>
        </w:rPr>
        <w:t xml:space="preserve"> </w:t>
      </w:r>
      <w:r>
        <w:rPr>
          <w:rFonts w:hint="eastAsia" w:ascii="Times New Roman" w:hAnsi="Times New Roman" w:eastAsia="仿宋_GB2312" w:cs="Times New Roman"/>
          <w:color w:val="auto"/>
          <w:sz w:val="32"/>
          <w:szCs w:val="20"/>
          <w:highlight w:val="none"/>
        </w:rPr>
        <w:t>国务院办公厅关于进一步提升基层应急管理能力的意见》</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rPr>
        <w:t>北京市国民经济和社会发展第十五个五年规划纲要</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rPr>
        <w:t>北京市朝阳区国民经济和社会发展第十五个五年规划纲要</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rPr>
        <w:t>等编制。本规划与《北京市“十五五”时期应急</w:t>
      </w:r>
      <w:r>
        <w:rPr>
          <w:rFonts w:hint="eastAsia" w:ascii="Times New Roman" w:hAnsi="Times New Roman" w:eastAsia="仿宋_GB2312" w:cs="Times New Roman"/>
          <w:color w:val="auto"/>
          <w:sz w:val="32"/>
          <w:szCs w:val="20"/>
          <w:highlight w:val="none"/>
          <w:lang w:val="en-US" w:eastAsia="zh-CN"/>
        </w:rPr>
        <w:t>体系</w:t>
      </w:r>
      <w:r>
        <w:rPr>
          <w:rFonts w:hint="eastAsia" w:ascii="Times New Roman" w:hAnsi="Times New Roman" w:eastAsia="仿宋_GB2312" w:cs="Times New Roman"/>
          <w:color w:val="auto"/>
          <w:sz w:val="32"/>
          <w:szCs w:val="20"/>
          <w:highlight w:val="none"/>
        </w:rPr>
        <w:t>规划》紧密衔接，系统阐明了朝阳区“十五五”时期应急</w:t>
      </w:r>
      <w:r>
        <w:rPr>
          <w:rFonts w:hint="eastAsia" w:ascii="Times New Roman" w:hAnsi="Times New Roman" w:eastAsia="仿宋_GB2312" w:cs="Times New Roman"/>
          <w:color w:val="auto"/>
          <w:sz w:val="32"/>
          <w:szCs w:val="20"/>
          <w:highlight w:val="none"/>
          <w:lang w:val="en-US" w:eastAsia="zh-CN"/>
        </w:rPr>
        <w:t>管理</w:t>
      </w:r>
      <w:r>
        <w:rPr>
          <w:rFonts w:hint="eastAsia" w:ascii="Times New Roman" w:hAnsi="Times New Roman" w:eastAsia="仿宋_GB2312" w:cs="Times New Roman"/>
          <w:color w:val="auto"/>
          <w:sz w:val="32"/>
          <w:szCs w:val="20"/>
          <w:highlight w:val="none"/>
        </w:rPr>
        <w:t>发展战略，明确了总体思路、规划目标、主要任务和重点工程，是指导朝阳区“十五五”时期应急</w:t>
      </w:r>
      <w:r>
        <w:rPr>
          <w:rFonts w:hint="eastAsia" w:ascii="Times New Roman" w:hAnsi="Times New Roman" w:eastAsia="仿宋_GB2312" w:cs="Times New Roman"/>
          <w:color w:val="auto"/>
          <w:sz w:val="32"/>
          <w:szCs w:val="20"/>
          <w:highlight w:val="none"/>
          <w:lang w:val="en-US" w:eastAsia="zh-CN"/>
        </w:rPr>
        <w:t>管理事业发展</w:t>
      </w:r>
      <w:r>
        <w:rPr>
          <w:rFonts w:hint="eastAsia" w:ascii="Times New Roman" w:hAnsi="Times New Roman" w:eastAsia="仿宋_GB2312" w:cs="Times New Roman"/>
          <w:color w:val="auto"/>
          <w:sz w:val="32"/>
          <w:szCs w:val="20"/>
          <w:highlight w:val="none"/>
        </w:rPr>
        <w:t>的纲领性文件。</w:t>
      </w:r>
    </w:p>
    <w:p w14:paraId="12A8A76A">
      <w:pPr>
        <w:spacing w:line="560" w:lineRule="exact"/>
        <w:ind w:firstLine="640" w:firstLineChars="200"/>
        <w:rPr>
          <w:rFonts w:ascii="Times New Roman" w:hAnsi="Times New Roman" w:eastAsia="仿宋_GB2312" w:cs="Times New Roman"/>
          <w:color w:val="auto"/>
          <w:sz w:val="32"/>
          <w:szCs w:val="20"/>
          <w:highlight w:val="none"/>
        </w:rPr>
      </w:pPr>
    </w:p>
    <w:bookmarkEnd w:id="6"/>
    <w:bookmarkEnd w:id="7"/>
    <w:p w14:paraId="52B37D30">
      <w:pPr>
        <w:pStyle w:val="3"/>
        <w:spacing w:before="0" w:after="0" w:line="560" w:lineRule="exact"/>
        <w:ind w:firstLine="640" w:firstLineChars="200"/>
        <w:rPr>
          <w:rFonts w:ascii="Times New Roman" w:hAnsi="Times New Roman" w:eastAsia="黑体"/>
          <w:b w:val="0"/>
          <w:color w:val="auto"/>
          <w:kern w:val="0"/>
          <w:sz w:val="32"/>
          <w:szCs w:val="32"/>
          <w:highlight w:val="none"/>
        </w:rPr>
        <w:sectPr>
          <w:pgSz w:w="11906" w:h="16838"/>
          <w:pgMar w:top="2098" w:right="1474" w:bottom="1984" w:left="1587" w:header="851" w:footer="992" w:gutter="0"/>
          <w:pgNumType w:fmt="upperRoman" w:start="1"/>
          <w:cols w:space="0" w:num="1"/>
          <w:rtlGutter w:val="0"/>
          <w:docGrid w:type="lines" w:linePitch="312" w:charSpace="0"/>
        </w:sectPr>
      </w:pPr>
    </w:p>
    <w:sdt>
      <w:sdtPr>
        <w:rPr>
          <w:rFonts w:ascii="宋体" w:hAnsi="宋体" w:eastAsia="宋体"/>
          <w:color w:val="auto"/>
          <w:highlight w:val="none"/>
        </w:rPr>
        <w:id w:val="147465595"/>
        <w15:color w:val="DBDBDB"/>
        <w:docPartObj>
          <w:docPartGallery w:val="Table of Contents"/>
          <w:docPartUnique/>
        </w:docPartObj>
      </w:sdtPr>
      <w:sdtEndPr>
        <w:rPr>
          <w:rFonts w:hint="default" w:ascii="Times New Roman" w:hAnsi="Times New Roman" w:eastAsia="楷体_GB2312" w:cs="Times New Roman"/>
          <w:color w:val="auto"/>
          <w:sz w:val="32"/>
          <w:szCs w:val="32"/>
          <w:highlight w:val="none"/>
        </w:rPr>
      </w:sdtEndPr>
      <w:sdtContent>
        <w:p w14:paraId="6E2A53C3">
          <w:pPr>
            <w:adjustRightInd/>
            <w:snapToGrid/>
            <w:spacing w:before="157" w:beforeLines="50" w:after="157" w:afterLines="50" w:line="560" w:lineRule="exact"/>
            <w:jc w:val="center"/>
            <w:rPr>
              <w:rFonts w:hint="eastAsia" w:ascii="Times New Roman" w:hAnsi="Times New Roman" w:eastAsia="方正小标宋简体" w:cs="Times New Roman"/>
              <w:b w:val="0"/>
              <w:bCs w:val="0"/>
              <w:color w:val="auto"/>
              <w:kern w:val="0"/>
              <w:sz w:val="36"/>
              <w:szCs w:val="36"/>
              <w:highlight w:val="none"/>
              <w:lang w:val="zh-CN" w:eastAsia="zh-CN" w:bidi="ar-SA"/>
            </w:rPr>
          </w:pPr>
          <w:r>
            <w:rPr>
              <w:rFonts w:hint="eastAsia" w:ascii="Times New Roman" w:hAnsi="Times New Roman" w:eastAsia="方正小标宋简体" w:cs="Times New Roman"/>
              <w:color w:val="auto"/>
              <w:sz w:val="36"/>
              <w:szCs w:val="36"/>
              <w:highlight w:val="none"/>
              <w:lang w:val="zh-CN"/>
            </w:rPr>
            <w:t>目  录</w:t>
          </w:r>
        </w:p>
        <w:p w14:paraId="7C396D13">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黑体" w:hAnsi="黑体" w:eastAsia="黑体" w:cs="黑体"/>
              <w:kern w:val="44"/>
              <w:sz w:val="32"/>
              <w:szCs w:val="32"/>
              <w:highlight w:val="none"/>
              <w:lang w:val="en-US" w:eastAsia="zh-CN"/>
            </w:rPr>
            <w:fldChar w:fldCharType="begin"/>
          </w:r>
          <w:r>
            <w:rPr>
              <w:rFonts w:hint="default" w:ascii="黑体" w:hAnsi="黑体" w:eastAsia="黑体" w:cs="黑体"/>
              <w:kern w:val="44"/>
              <w:sz w:val="32"/>
              <w:szCs w:val="32"/>
              <w:highlight w:val="none"/>
              <w:lang w:val="en-US" w:eastAsia="zh-CN"/>
            </w:rPr>
            <w:instrText xml:space="preserve">TOC \o "1-2" \h \u </w:instrText>
          </w:r>
          <w:r>
            <w:rPr>
              <w:rFonts w:hint="default" w:ascii="黑体" w:hAnsi="黑体" w:eastAsia="黑体" w:cs="黑体"/>
              <w:kern w:val="44"/>
              <w:sz w:val="32"/>
              <w:szCs w:val="32"/>
              <w:highlight w:val="none"/>
              <w:lang w:val="en-US" w:eastAsia="zh-CN"/>
            </w:rPr>
            <w:fldChar w:fldCharType="separate"/>
          </w:r>
        </w:p>
        <w:p w14:paraId="1AC6C3C6">
          <w:pPr>
            <w:pStyle w:val="13"/>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_Toc28084 </w:instrText>
          </w:r>
          <w:r>
            <w:rPr>
              <w:rFonts w:hint="default" w:ascii="Times New Roman" w:hAnsi="Times New Roman" w:eastAsia="楷体_GB2312" w:cs="Times New Roman"/>
              <w:sz w:val="32"/>
              <w:szCs w:val="32"/>
              <w:highlight w:val="none"/>
            </w:rPr>
            <w:fldChar w:fldCharType="separate"/>
          </w:r>
          <w:r>
            <w:rPr>
              <w:rFonts w:hint="default" w:ascii="黑体" w:hAnsi="黑体" w:eastAsia="黑体" w:cs="黑体"/>
              <w:kern w:val="44"/>
              <w:sz w:val="32"/>
              <w:szCs w:val="32"/>
              <w:highlight w:val="none"/>
              <w:lang w:val="en-US" w:eastAsia="zh-CN"/>
            </w:rPr>
            <w:t>第</w:t>
          </w:r>
          <w:r>
            <w:rPr>
              <w:rFonts w:hint="eastAsia" w:ascii="黑体" w:hAnsi="黑体" w:eastAsia="黑体" w:cs="黑体"/>
              <w:kern w:val="44"/>
              <w:sz w:val="32"/>
              <w:szCs w:val="32"/>
              <w:highlight w:val="none"/>
              <w:lang w:val="en-US" w:eastAsia="zh-CN"/>
            </w:rPr>
            <w:t>一</w:t>
          </w:r>
          <w:r>
            <w:rPr>
              <w:rFonts w:hint="default" w:ascii="黑体" w:hAnsi="黑体" w:eastAsia="黑体" w:cs="黑体"/>
              <w:kern w:val="44"/>
              <w:sz w:val="32"/>
              <w:szCs w:val="32"/>
              <w:highlight w:val="none"/>
              <w:lang w:val="en-US" w:eastAsia="zh-CN"/>
            </w:rPr>
            <w:t>篇 “十五五”时期面临形势</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_Toc28084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1</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339F06C7">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_Toc31078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第一章 面临的挑战</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_Toc31078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1</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69E7D769">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_Toc3344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第二章 面临的机遇</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_Toc3344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4</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0640B8C3">
          <w:pPr>
            <w:pStyle w:val="13"/>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_Toc4357 </w:instrText>
          </w:r>
          <w:r>
            <w:rPr>
              <w:rFonts w:hint="default" w:ascii="Times New Roman" w:hAnsi="Times New Roman" w:eastAsia="楷体_GB2312" w:cs="Times New Roman"/>
              <w:sz w:val="32"/>
              <w:szCs w:val="32"/>
              <w:highlight w:val="none"/>
            </w:rPr>
            <w:fldChar w:fldCharType="separate"/>
          </w:r>
          <w:r>
            <w:rPr>
              <w:rFonts w:hint="default" w:ascii="黑体" w:hAnsi="黑体" w:eastAsia="黑体" w:cs="黑体"/>
              <w:kern w:val="44"/>
              <w:sz w:val="32"/>
              <w:szCs w:val="32"/>
              <w:highlight w:val="none"/>
              <w:lang w:val="en-US" w:eastAsia="zh-CN"/>
            </w:rPr>
            <w:t>第</w:t>
          </w:r>
          <w:r>
            <w:rPr>
              <w:rFonts w:hint="eastAsia" w:ascii="黑体" w:hAnsi="黑体" w:eastAsia="黑体" w:cs="黑体"/>
              <w:kern w:val="44"/>
              <w:sz w:val="32"/>
              <w:szCs w:val="32"/>
              <w:highlight w:val="none"/>
              <w:lang w:val="en-US" w:eastAsia="zh-CN"/>
            </w:rPr>
            <w:t>二</w:t>
          </w:r>
          <w:r>
            <w:rPr>
              <w:rFonts w:hint="default" w:ascii="黑体" w:hAnsi="黑体" w:eastAsia="黑体" w:cs="黑体"/>
              <w:kern w:val="44"/>
              <w:sz w:val="32"/>
              <w:szCs w:val="32"/>
              <w:highlight w:val="none"/>
              <w:lang w:val="en-US" w:eastAsia="zh-CN"/>
            </w:rPr>
            <w:t>篇 指导思想和规划目标</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_Toc4357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6</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73B92645">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_Toc24254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第一章 指导思想</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_Toc24254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6</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57814C21">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_Toc25980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第二章 基本原则</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_Toc25980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6</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6743BEA1">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_Toc19316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第三章 规划目标</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_Toc19316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7</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3C2D62B7">
          <w:pPr>
            <w:pStyle w:val="13"/>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_Toc3365 </w:instrText>
          </w:r>
          <w:r>
            <w:rPr>
              <w:rFonts w:hint="default" w:ascii="Times New Roman" w:hAnsi="Times New Roman" w:eastAsia="楷体_GB2312" w:cs="Times New Roman"/>
              <w:sz w:val="32"/>
              <w:szCs w:val="32"/>
              <w:highlight w:val="none"/>
            </w:rPr>
            <w:fldChar w:fldCharType="separate"/>
          </w:r>
          <w:r>
            <w:rPr>
              <w:rFonts w:hint="default" w:ascii="黑体" w:hAnsi="黑体" w:eastAsia="黑体" w:cs="黑体"/>
              <w:kern w:val="44"/>
              <w:sz w:val="32"/>
              <w:szCs w:val="32"/>
              <w:highlight w:val="none"/>
              <w:lang w:val="en-US" w:eastAsia="zh-CN"/>
            </w:rPr>
            <w:t>第</w:t>
          </w:r>
          <w:r>
            <w:rPr>
              <w:rFonts w:hint="eastAsia" w:ascii="黑体" w:hAnsi="黑体" w:eastAsia="黑体" w:cs="黑体"/>
              <w:kern w:val="44"/>
              <w:sz w:val="32"/>
              <w:szCs w:val="32"/>
              <w:highlight w:val="none"/>
              <w:lang w:val="en-US" w:eastAsia="zh-CN"/>
            </w:rPr>
            <w:t>三</w:t>
          </w:r>
          <w:r>
            <w:rPr>
              <w:rFonts w:hint="default" w:ascii="黑体" w:hAnsi="黑体" w:eastAsia="黑体" w:cs="黑体"/>
              <w:kern w:val="44"/>
              <w:sz w:val="32"/>
              <w:szCs w:val="32"/>
              <w:highlight w:val="none"/>
              <w:lang w:val="en-US" w:eastAsia="zh-CN"/>
            </w:rPr>
            <w:t>篇 主要任务</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_Toc3365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9</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5767F86D">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_Toc1722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第一章 聚焦大安全大应急，健全应急管理组织体系</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_Toc1722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9</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099B6A49">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_Toc20911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第二章 锚定本质安全提升，完善安全生产治理体系</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_Toc20911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10</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7F1484C9">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_Toc11938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第三章 坚持防消深度融合，筑牢消防安全管理体系</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_Toc11938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14</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2C465134">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_Toc28547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第四章 突出关口前移导向，增强韧性城市建设能力</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_Toc28547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18</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25436C0A">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_Toc12839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第五章 紧抓精准施策关键，提升</w:t>
          </w:r>
          <w:r>
            <w:rPr>
              <w:rFonts w:hint="eastAsia" w:ascii="Times New Roman" w:hAnsi="Times New Roman" w:eastAsia="楷体_GB2312" w:cs="Times New Roman"/>
              <w:kern w:val="0"/>
              <w:sz w:val="32"/>
              <w:szCs w:val="32"/>
              <w:highlight w:val="none"/>
              <w:lang w:val="en-US" w:eastAsia="zh-CN" w:bidi="ar-SA"/>
            </w:rPr>
            <w:t>防汛防</w:t>
          </w:r>
          <w:r>
            <w:rPr>
              <w:rFonts w:hint="default" w:ascii="Times New Roman" w:hAnsi="Times New Roman" w:eastAsia="楷体_GB2312" w:cs="Times New Roman"/>
              <w:kern w:val="0"/>
              <w:sz w:val="32"/>
              <w:szCs w:val="32"/>
              <w:highlight w:val="none"/>
              <w:lang w:val="en-US" w:eastAsia="zh-CN" w:bidi="ar-SA"/>
            </w:rPr>
            <w:t>震减灾能力</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_Toc12839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20</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1D945FAF">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_Toc29974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第六章 聚焦应急救援实战，增强综合应急处理能力</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_Toc29974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23</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5DA90343">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_Toc31656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 xml:space="preserve">第七章 </w:t>
          </w:r>
          <w:r>
            <w:rPr>
              <w:rFonts w:hint="default" w:ascii="Times New Roman" w:hAnsi="Times New Roman" w:eastAsia="楷体_GB2312" w:cs="Times New Roman"/>
              <w:kern w:val="0"/>
              <w:sz w:val="32"/>
              <w:szCs w:val="32"/>
              <w:highlight w:val="none"/>
              <w:lang w:val="en-US" w:eastAsia="zh-CN"/>
            </w:rPr>
            <w:t>坚持</w:t>
          </w:r>
          <w:r>
            <w:rPr>
              <w:rFonts w:hint="default" w:ascii="Times New Roman" w:hAnsi="Times New Roman" w:eastAsia="楷体_GB2312" w:cs="Times New Roman"/>
              <w:kern w:val="0"/>
              <w:sz w:val="32"/>
              <w:szCs w:val="32"/>
              <w:highlight w:val="none"/>
              <w:lang w:eastAsia="zh-CN"/>
            </w:rPr>
            <w:t>“</w:t>
          </w:r>
          <w:r>
            <w:rPr>
              <w:rFonts w:hint="default" w:ascii="Times New Roman" w:hAnsi="Times New Roman" w:eastAsia="楷体_GB2312" w:cs="Times New Roman"/>
              <w:kern w:val="0"/>
              <w:sz w:val="32"/>
              <w:szCs w:val="32"/>
              <w:highlight w:val="none"/>
              <w:lang w:val="en-US" w:eastAsia="zh-CN"/>
            </w:rPr>
            <w:t>平急</w:t>
          </w:r>
          <w:r>
            <w:rPr>
              <w:rFonts w:hint="default" w:ascii="Times New Roman" w:hAnsi="Times New Roman" w:eastAsia="楷体_GB2312" w:cs="Times New Roman"/>
              <w:kern w:val="0"/>
              <w:sz w:val="32"/>
              <w:szCs w:val="32"/>
              <w:highlight w:val="none"/>
              <w:lang w:eastAsia="zh-CN"/>
            </w:rPr>
            <w:t>”</w:t>
          </w:r>
          <w:r>
            <w:rPr>
              <w:rFonts w:hint="default" w:ascii="Times New Roman" w:hAnsi="Times New Roman" w:eastAsia="楷体_GB2312" w:cs="Times New Roman"/>
              <w:kern w:val="0"/>
              <w:sz w:val="32"/>
              <w:szCs w:val="32"/>
              <w:highlight w:val="none"/>
              <w:lang w:val="en-US" w:eastAsia="zh-CN"/>
            </w:rPr>
            <w:t>一体筹划，全面提升应急动员能力</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_Toc31656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26</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60FC4D2E">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_Toc27143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第八章 强化事业产业融合，构建智慧应急支撑体系</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_Toc27143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28</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2EC64646">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_Toc2074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第九章 深耕基层治理创新，夯实基层应急管理能力</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_Toc2074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31</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0AF07400">
          <w:pPr>
            <w:pStyle w:val="13"/>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_Toc25600 </w:instrText>
          </w:r>
          <w:r>
            <w:rPr>
              <w:rFonts w:hint="default" w:ascii="Times New Roman" w:hAnsi="Times New Roman" w:eastAsia="楷体_GB2312" w:cs="Times New Roman"/>
              <w:sz w:val="32"/>
              <w:szCs w:val="32"/>
              <w:highlight w:val="none"/>
            </w:rPr>
            <w:fldChar w:fldCharType="separate"/>
          </w:r>
          <w:r>
            <w:rPr>
              <w:rFonts w:hint="default" w:ascii="黑体" w:hAnsi="黑体" w:eastAsia="黑体" w:cs="黑体"/>
              <w:kern w:val="44"/>
              <w:sz w:val="32"/>
              <w:szCs w:val="32"/>
              <w:highlight w:val="none"/>
              <w:lang w:val="en-US" w:eastAsia="zh-CN"/>
            </w:rPr>
            <w:t>第</w:t>
          </w:r>
          <w:r>
            <w:rPr>
              <w:rFonts w:hint="eastAsia" w:ascii="黑体" w:hAnsi="黑体" w:eastAsia="黑体" w:cs="黑体"/>
              <w:kern w:val="44"/>
              <w:sz w:val="32"/>
              <w:szCs w:val="32"/>
              <w:highlight w:val="none"/>
              <w:lang w:val="en-US" w:eastAsia="zh-CN"/>
            </w:rPr>
            <w:t>四</w:t>
          </w:r>
          <w:r>
            <w:rPr>
              <w:rFonts w:hint="default" w:ascii="黑体" w:hAnsi="黑体" w:eastAsia="黑体" w:cs="黑体"/>
              <w:kern w:val="44"/>
              <w:sz w:val="32"/>
              <w:szCs w:val="32"/>
              <w:highlight w:val="none"/>
              <w:lang w:val="en-US" w:eastAsia="zh-CN"/>
            </w:rPr>
            <w:t>篇 重点工程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_Toc25600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35</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0B53EAEE">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_Toc6371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第一章 安全韧性城市建设工程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_Toc6371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35</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4173B7FA">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_Toc8103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第二章 安全生产专项整治工程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_Toc8103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36</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35220B49">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_Toc23938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第三章 自然灾害综合防治工程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_Toc23938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36</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410F5569">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_Toc9772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第四章 应急救援队伍提升工程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_Toc9772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37</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18541D3C">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_Toc7016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第五章 应急物资储备库建设工程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_Toc7016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38</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64878D57">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_Toc3128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第六章 应急避险空间建设工程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_Toc3128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38</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250006F6">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_Toc19889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第七章 应急消防一体化工作站建设工程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_Toc19889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39</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025FB87F">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_Toc32061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第八章 智慧应急能力提升工程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_Toc32061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39</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197F28C8">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_Toc17315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第九章 基层应急能力提升工程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_Toc17315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39</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0BD8FDC6">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_Toc7811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第十章 全民安全素养提升工程</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_Toc7811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40</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11DE8AC1">
          <w:pPr>
            <w:pStyle w:val="13"/>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_Toc15384 </w:instrText>
          </w:r>
          <w:r>
            <w:rPr>
              <w:rFonts w:hint="default" w:ascii="Times New Roman" w:hAnsi="Times New Roman" w:eastAsia="楷体_GB2312" w:cs="Times New Roman"/>
              <w:sz w:val="32"/>
              <w:szCs w:val="32"/>
              <w:highlight w:val="none"/>
            </w:rPr>
            <w:fldChar w:fldCharType="separate"/>
          </w:r>
          <w:r>
            <w:rPr>
              <w:rFonts w:hint="default" w:ascii="黑体" w:hAnsi="黑体" w:eastAsia="黑体" w:cs="黑体"/>
              <w:kern w:val="44"/>
              <w:sz w:val="32"/>
              <w:szCs w:val="32"/>
              <w:highlight w:val="none"/>
              <w:lang w:val="en-US" w:eastAsia="zh-CN"/>
            </w:rPr>
            <w:t>第</w:t>
          </w:r>
          <w:r>
            <w:rPr>
              <w:rFonts w:hint="eastAsia" w:ascii="黑体" w:hAnsi="黑体" w:eastAsia="黑体" w:cs="黑体"/>
              <w:kern w:val="44"/>
              <w:sz w:val="32"/>
              <w:szCs w:val="32"/>
              <w:highlight w:val="none"/>
              <w:lang w:val="en-US" w:eastAsia="zh-CN"/>
            </w:rPr>
            <w:t>五</w:t>
          </w:r>
          <w:r>
            <w:rPr>
              <w:rFonts w:hint="default" w:ascii="黑体" w:hAnsi="黑体" w:eastAsia="黑体" w:cs="黑体"/>
              <w:kern w:val="44"/>
              <w:sz w:val="32"/>
              <w:szCs w:val="32"/>
              <w:highlight w:val="none"/>
              <w:lang w:val="en-US" w:eastAsia="zh-CN"/>
            </w:rPr>
            <w:t>篇 保障措施</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_Toc15384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42</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76D7E860">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_Toc28520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第一章 加强组织领导</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_Toc28520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42</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291B45E4">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_Toc11582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第二章 强化要素保障</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_Toc11582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42</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416ECBAB">
          <w:pPr>
            <w:pStyle w:val="15"/>
            <w:keepNext w:val="0"/>
            <w:keepLines w:val="0"/>
            <w:pageBreakBefore w:val="0"/>
            <w:widowControl w:val="0"/>
            <w:tabs>
              <w:tab w:val="right" w:leader="dot" w:pos="8845"/>
            </w:tabs>
            <w:kinsoku/>
            <w:wordWrap/>
            <w:overflowPunct/>
            <w:topLinePunct w:val="0"/>
            <w:autoSpaceDE/>
            <w:autoSpaceDN/>
            <w:bidi w:val="0"/>
            <w:adjustRightInd/>
            <w:snapToGrid/>
            <w:spacing w:line="560" w:lineRule="exact"/>
            <w:textAlignment w:val="auto"/>
          </w:pPr>
          <w:r>
            <w:rPr>
              <w:rFonts w:hint="default" w:ascii="Times New Roman" w:hAnsi="Times New Roman" w:eastAsia="楷体_GB2312" w:cs="Times New Roman"/>
              <w:color w:val="auto"/>
              <w:sz w:val="32"/>
              <w:szCs w:val="32"/>
              <w:highlight w:val="none"/>
            </w:rPr>
            <w:fldChar w:fldCharType="begin"/>
          </w:r>
          <w:r>
            <w:rPr>
              <w:rFonts w:hint="default" w:ascii="Times New Roman" w:hAnsi="Times New Roman" w:eastAsia="楷体_GB2312" w:cs="Times New Roman"/>
              <w:sz w:val="32"/>
              <w:szCs w:val="32"/>
              <w:highlight w:val="none"/>
            </w:rPr>
            <w:instrText xml:space="preserve"> HYPERLINK \l _Toc14492 </w:instrText>
          </w:r>
          <w:r>
            <w:rPr>
              <w:rFonts w:hint="default" w:ascii="Times New Roman" w:hAnsi="Times New Roman" w:eastAsia="楷体_GB2312" w:cs="Times New Roman"/>
              <w:sz w:val="32"/>
              <w:szCs w:val="32"/>
              <w:highlight w:val="none"/>
            </w:rPr>
            <w:fldChar w:fldCharType="separate"/>
          </w:r>
          <w:r>
            <w:rPr>
              <w:rFonts w:hint="default" w:ascii="Times New Roman" w:hAnsi="Times New Roman" w:eastAsia="楷体_GB2312" w:cs="Times New Roman"/>
              <w:kern w:val="0"/>
              <w:sz w:val="32"/>
              <w:szCs w:val="32"/>
              <w:highlight w:val="none"/>
              <w:lang w:val="en-US" w:eastAsia="zh-CN" w:bidi="ar-SA"/>
            </w:rPr>
            <w:t>第三章 严格</w:t>
          </w:r>
          <w:r>
            <w:rPr>
              <w:rFonts w:hint="eastAsia" w:ascii="Times New Roman" w:hAnsi="Times New Roman" w:eastAsia="楷体_GB2312" w:cs="Times New Roman"/>
              <w:kern w:val="0"/>
              <w:sz w:val="32"/>
              <w:szCs w:val="32"/>
              <w:highlight w:val="none"/>
              <w:lang w:val="en-US" w:eastAsia="zh-CN" w:bidi="ar-SA"/>
            </w:rPr>
            <w:t>监测评估</w:t>
          </w:r>
          <w:r>
            <w:rPr>
              <w:rFonts w:hint="default" w:ascii="Times New Roman" w:hAnsi="Times New Roman" w:eastAsia="楷体_GB2312" w:cs="Times New Roman"/>
              <w:sz w:val="32"/>
              <w:szCs w:val="32"/>
            </w:rPr>
            <w:tab/>
          </w:r>
          <w:r>
            <w:rPr>
              <w:rFonts w:hint="default" w:ascii="Times New Roman" w:hAnsi="Times New Roman" w:eastAsia="楷体_GB2312" w:cs="Times New Roman"/>
              <w:sz w:val="32"/>
              <w:szCs w:val="32"/>
            </w:rPr>
            <w:fldChar w:fldCharType="begin"/>
          </w:r>
          <w:r>
            <w:rPr>
              <w:rFonts w:hint="default" w:ascii="Times New Roman" w:hAnsi="Times New Roman" w:eastAsia="楷体_GB2312" w:cs="Times New Roman"/>
              <w:sz w:val="32"/>
              <w:szCs w:val="32"/>
            </w:rPr>
            <w:instrText xml:space="preserve"> PAGEREF _Toc14492 \h </w:instrText>
          </w:r>
          <w:r>
            <w:rPr>
              <w:rFonts w:hint="default" w:ascii="Times New Roman" w:hAnsi="Times New Roman" w:eastAsia="楷体_GB2312" w:cs="Times New Roman"/>
              <w:sz w:val="32"/>
              <w:szCs w:val="32"/>
            </w:rPr>
            <w:fldChar w:fldCharType="separate"/>
          </w:r>
          <w:r>
            <w:rPr>
              <w:rFonts w:hint="default" w:ascii="Times New Roman" w:hAnsi="Times New Roman" w:eastAsia="楷体_GB2312" w:cs="Times New Roman"/>
              <w:sz w:val="32"/>
              <w:szCs w:val="32"/>
            </w:rPr>
            <w:t>42</w:t>
          </w:r>
          <w:r>
            <w:rPr>
              <w:rFonts w:hint="default" w:ascii="Times New Roman" w:hAnsi="Times New Roman" w:eastAsia="楷体_GB2312" w:cs="Times New Roman"/>
              <w:sz w:val="32"/>
              <w:szCs w:val="32"/>
            </w:rPr>
            <w:fldChar w:fldCharType="end"/>
          </w:r>
          <w:r>
            <w:rPr>
              <w:rFonts w:hint="default" w:ascii="Times New Roman" w:hAnsi="Times New Roman" w:eastAsia="楷体_GB2312" w:cs="Times New Roman"/>
              <w:color w:val="auto"/>
              <w:sz w:val="32"/>
              <w:szCs w:val="32"/>
              <w:highlight w:val="none"/>
            </w:rPr>
            <w:fldChar w:fldCharType="end"/>
          </w:r>
        </w:p>
        <w:p w14:paraId="1078E91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Cs w:val="32"/>
              <w:highlight w:val="none"/>
            </w:rPr>
            <w:fldChar w:fldCharType="end"/>
          </w:r>
        </w:p>
      </w:sdtContent>
    </w:sdt>
    <w:p w14:paraId="0DA7BFB8">
      <w:pPr>
        <w:spacing w:line="560" w:lineRule="exact"/>
        <w:rPr>
          <w:color w:val="auto"/>
          <w:highlight w:val="none"/>
        </w:rPr>
      </w:pPr>
    </w:p>
    <w:p w14:paraId="3097931E">
      <w:pPr>
        <w:spacing w:line="560" w:lineRule="exact"/>
        <w:rPr>
          <w:rFonts w:ascii="Times New Roman" w:hAnsi="Times New Roman" w:eastAsia="黑体" w:cs="Times New Roman"/>
          <w:bCs/>
          <w:color w:val="auto"/>
          <w:kern w:val="0"/>
          <w:sz w:val="36"/>
          <w:szCs w:val="36"/>
          <w:highlight w:val="none"/>
        </w:rPr>
      </w:pPr>
      <w:bookmarkStart w:id="8" w:name="_Toc440118996"/>
      <w:bookmarkStart w:id="9" w:name="_Toc423287672"/>
      <w:bookmarkStart w:id="10" w:name="OLE_LINK8"/>
      <w:bookmarkStart w:id="11" w:name="_Toc300549661_WPSOffice_Level1"/>
      <w:bookmarkStart w:id="12" w:name="_Toc440130940"/>
      <w:bookmarkStart w:id="13" w:name="_Toc72507450"/>
      <w:bookmarkStart w:id="14" w:name="_Toc437441341"/>
      <w:bookmarkStart w:id="15" w:name="_Toc72507451"/>
      <w:bookmarkStart w:id="16" w:name="_Toc2055780940_WPSOffice_Level1"/>
      <w:bookmarkStart w:id="17" w:name="_Toc455514572"/>
      <w:bookmarkStart w:id="18" w:name="OLE_LINK7"/>
      <w:r>
        <w:rPr>
          <w:rFonts w:hint="eastAsia" w:ascii="Times New Roman" w:hAnsi="Times New Roman" w:eastAsia="黑体" w:cs="Times New Roman"/>
          <w:bCs/>
          <w:color w:val="auto"/>
          <w:kern w:val="0"/>
          <w:sz w:val="36"/>
          <w:szCs w:val="36"/>
          <w:highlight w:val="none"/>
        </w:rPr>
        <w:br w:type="page"/>
      </w:r>
    </w:p>
    <w:p w14:paraId="3102B0B8">
      <w:pPr>
        <w:keepNext/>
        <w:keepLines/>
        <w:spacing w:after="312" w:afterLines="100" w:line="560" w:lineRule="exact"/>
        <w:jc w:val="center"/>
        <w:outlineLvl w:val="0"/>
        <w:rPr>
          <w:rFonts w:ascii="Times New Roman" w:hAnsi="Times New Roman" w:eastAsia="黑体" w:cs="Times New Roman"/>
          <w:bCs/>
          <w:color w:val="auto"/>
          <w:kern w:val="0"/>
          <w:sz w:val="36"/>
          <w:szCs w:val="36"/>
          <w:highlight w:val="none"/>
        </w:rPr>
        <w:sectPr>
          <w:footerReference r:id="rId4" w:type="default"/>
          <w:pgSz w:w="11906" w:h="16838"/>
          <w:pgMar w:top="2098" w:right="1474" w:bottom="1984" w:left="1587" w:header="851" w:footer="992" w:gutter="0"/>
          <w:pgNumType w:start="1"/>
          <w:cols w:space="0" w:num="1"/>
          <w:rtlGutter w:val="0"/>
          <w:docGrid w:type="lines" w:linePitch="312" w:charSpace="0"/>
        </w:sectPr>
      </w:pPr>
    </w:p>
    <w:bookmarkEnd w:id="8"/>
    <w:bookmarkEnd w:id="9"/>
    <w:bookmarkEnd w:id="10"/>
    <w:bookmarkEnd w:id="11"/>
    <w:bookmarkEnd w:id="12"/>
    <w:bookmarkEnd w:id="13"/>
    <w:bookmarkEnd w:id="14"/>
    <w:bookmarkEnd w:id="15"/>
    <w:bookmarkEnd w:id="16"/>
    <w:bookmarkEnd w:id="17"/>
    <w:bookmarkEnd w:id="18"/>
    <w:p w14:paraId="4434789A">
      <w:pPr>
        <w:pStyle w:val="28"/>
        <w:pBdr>
          <w:top w:val="none" w:color="auto" w:sz="0" w:space="1"/>
          <w:left w:val="none" w:color="auto" w:sz="0" w:space="4"/>
          <w:bottom w:val="none" w:color="auto" w:sz="0" w:space="1"/>
          <w:right w:val="none" w:color="auto" w:sz="0" w:space="4"/>
        </w:pBdr>
        <w:suppressAutoHyphens/>
        <w:spacing w:before="318" w:beforeLines="100" w:after="318" w:afterLines="100" w:line="560" w:lineRule="exact"/>
        <w:jc w:val="center"/>
        <w:outlineLvl w:val="0"/>
        <w:rPr>
          <w:rFonts w:hint="default" w:ascii="Times New Roman" w:hAnsi="Times New Roman" w:eastAsia="方正小标宋简体" w:cs="Times New Roman"/>
          <w:color w:val="auto"/>
          <w:kern w:val="44"/>
          <w:sz w:val="36"/>
          <w:szCs w:val="36"/>
          <w:highlight w:val="none"/>
          <w:lang w:val="en-US" w:eastAsia="zh-CN"/>
        </w:rPr>
      </w:pPr>
      <w:bookmarkStart w:id="19" w:name="_Toc22401"/>
      <w:bookmarkStart w:id="20" w:name="_Toc23343"/>
      <w:bookmarkStart w:id="21" w:name="_Toc11299"/>
      <w:bookmarkStart w:id="22" w:name="_Toc12745"/>
      <w:bookmarkStart w:id="23" w:name="_Toc28338"/>
      <w:bookmarkStart w:id="24" w:name="_Toc4137"/>
      <w:bookmarkStart w:id="25" w:name="_Toc16072"/>
      <w:bookmarkStart w:id="26" w:name="_Toc20407"/>
      <w:bookmarkStart w:id="27" w:name="_Toc6631"/>
      <w:bookmarkStart w:id="28" w:name="_Toc8245"/>
      <w:bookmarkStart w:id="29" w:name="_Toc4969"/>
      <w:bookmarkStart w:id="30" w:name="_Toc22912"/>
      <w:bookmarkStart w:id="31" w:name="_Toc32329"/>
      <w:bookmarkStart w:id="32" w:name="_Toc21002"/>
      <w:bookmarkStart w:id="33" w:name="_Toc475"/>
      <w:bookmarkStart w:id="34" w:name="_Toc28084"/>
      <w:bookmarkStart w:id="35" w:name="_Toc19966"/>
      <w:r>
        <w:rPr>
          <w:rFonts w:hint="eastAsia" w:ascii="Times New Roman" w:hAnsi="Times New Roman" w:eastAsia="方正小标宋简体" w:cs="Times New Roman"/>
          <w:color w:val="auto"/>
          <w:kern w:val="44"/>
          <w:sz w:val="36"/>
          <w:szCs w:val="36"/>
          <w:highlight w:val="none"/>
          <w:lang w:val="en-US" w:eastAsia="zh-CN"/>
        </w:rPr>
        <w:t>第一篇 “十五五”时期</w:t>
      </w:r>
      <w:bookmarkEnd w:id="19"/>
      <w:bookmarkEnd w:id="20"/>
      <w:bookmarkEnd w:id="21"/>
      <w:bookmarkEnd w:id="22"/>
      <w:bookmarkEnd w:id="23"/>
      <w:bookmarkEnd w:id="24"/>
      <w:bookmarkEnd w:id="25"/>
      <w:bookmarkEnd w:id="26"/>
      <w:bookmarkEnd w:id="27"/>
      <w:bookmarkEnd w:id="28"/>
      <w:r>
        <w:rPr>
          <w:rFonts w:hint="eastAsia" w:ascii="Times New Roman" w:hAnsi="Times New Roman" w:eastAsia="方正小标宋简体" w:cs="Times New Roman"/>
          <w:color w:val="auto"/>
          <w:kern w:val="44"/>
          <w:sz w:val="36"/>
          <w:szCs w:val="36"/>
          <w:highlight w:val="none"/>
          <w:lang w:val="en-US" w:eastAsia="zh-CN"/>
        </w:rPr>
        <w:t>面临形势</w:t>
      </w:r>
      <w:bookmarkEnd w:id="29"/>
      <w:bookmarkEnd w:id="30"/>
      <w:bookmarkEnd w:id="31"/>
      <w:bookmarkEnd w:id="32"/>
      <w:bookmarkEnd w:id="33"/>
      <w:bookmarkEnd w:id="34"/>
      <w:bookmarkEnd w:id="35"/>
    </w:p>
    <w:p w14:paraId="059AC91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36" w:name="_Toc22972"/>
      <w:bookmarkStart w:id="37" w:name="_Toc193962934"/>
      <w:bookmarkStart w:id="38" w:name="_Toc24432"/>
      <w:bookmarkStart w:id="39" w:name="_Toc27169"/>
      <w:bookmarkStart w:id="40" w:name="_Toc5615"/>
      <w:bookmarkStart w:id="41" w:name="_Toc6709"/>
      <w:bookmarkStart w:id="42" w:name="_Toc28444"/>
      <w:bookmarkStart w:id="43" w:name="_Toc24083"/>
      <w:bookmarkStart w:id="44" w:name="_Toc3303"/>
      <w:bookmarkStart w:id="45" w:name="_Toc30962"/>
      <w:bookmarkStart w:id="46" w:name="_Toc29730"/>
      <w:bookmarkStart w:id="47" w:name="_Toc8770"/>
      <w:bookmarkStart w:id="48" w:name="_Toc1876"/>
      <w:bookmarkStart w:id="49" w:name="_Toc13735"/>
      <w:bookmarkStart w:id="50" w:name="_Toc31078"/>
      <w:bookmarkStart w:id="51" w:name="_Toc4706"/>
      <w:bookmarkStart w:id="52" w:name="_Toc13941"/>
      <w:bookmarkStart w:id="53" w:name="_Toc9012"/>
      <w:r>
        <w:rPr>
          <w:rFonts w:hint="eastAsia" w:ascii="Times New Roman" w:hAnsi="Times New Roman" w:eastAsia="黑体" w:cs="黑体"/>
          <w:color w:val="auto"/>
          <w:kern w:val="0"/>
          <w:sz w:val="32"/>
          <w:szCs w:val="32"/>
          <w:highlight w:val="none"/>
          <w:lang w:val="en-US" w:eastAsia="zh-CN" w:bidi="ar-SA"/>
        </w:rPr>
        <w:t>第一章 面临的挑战</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72684FC0">
      <w:pPr>
        <w:pStyle w:val="2"/>
        <w:spacing w:after="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rPr>
        <w:t>“十五五”时期，全球治理体系深刻变革，外部环境</w:t>
      </w:r>
      <w:r>
        <w:rPr>
          <w:rFonts w:hint="eastAsia" w:ascii="Times New Roman" w:hAnsi="Times New Roman" w:eastAsia="仿宋_GB2312" w:cs="Times New Roman"/>
          <w:color w:val="auto"/>
          <w:sz w:val="32"/>
          <w:szCs w:val="32"/>
          <w:highlight w:val="none"/>
          <w:lang w:val="en-US" w:eastAsia="zh-CN"/>
        </w:rPr>
        <w:t>的复杂性、严峻性、不确定性进一步上升，</w:t>
      </w:r>
      <w:r>
        <w:rPr>
          <w:rFonts w:hint="eastAsia" w:ascii="Times New Roman" w:hAnsi="Times New Roman" w:eastAsia="仿宋_GB2312" w:cs="Times New Roman"/>
          <w:color w:val="auto"/>
          <w:sz w:val="32"/>
          <w:szCs w:val="32"/>
          <w:highlight w:val="none"/>
        </w:rPr>
        <w:t>新产业新业态</w:t>
      </w:r>
      <w:r>
        <w:rPr>
          <w:rFonts w:hint="eastAsia" w:ascii="Times New Roman" w:hAnsi="Times New Roman" w:eastAsia="仿宋_GB2312" w:cs="Times New Roman"/>
          <w:color w:val="auto"/>
          <w:sz w:val="32"/>
          <w:szCs w:val="32"/>
          <w:highlight w:val="none"/>
          <w:lang w:val="en-US" w:eastAsia="zh-CN"/>
        </w:rPr>
        <w:t>加速迭代</w:t>
      </w:r>
      <w:r>
        <w:rPr>
          <w:rFonts w:hint="eastAsia" w:ascii="Times New Roman" w:hAnsi="Times New Roman" w:eastAsia="仿宋_GB2312" w:cs="Times New Roman"/>
          <w:color w:val="auto"/>
          <w:sz w:val="32"/>
          <w:szCs w:val="32"/>
          <w:highlight w:val="none"/>
        </w:rPr>
        <w:t>，气候环境、自然灾害、事故灾难等各类风险隐患交织叠加，风险隐蔽性、突发性</w:t>
      </w:r>
      <w:r>
        <w:rPr>
          <w:rFonts w:hint="eastAsia" w:ascii="Times New Roman" w:hAnsi="Times New Roman" w:eastAsia="仿宋_GB2312" w:cs="Times New Roman"/>
          <w:color w:val="auto"/>
          <w:sz w:val="32"/>
          <w:szCs w:val="32"/>
          <w:highlight w:val="none"/>
          <w:lang w:val="en-US" w:eastAsia="zh-CN"/>
        </w:rPr>
        <w:t>显著</w:t>
      </w:r>
      <w:r>
        <w:rPr>
          <w:rFonts w:hint="eastAsia" w:ascii="Times New Roman" w:hAnsi="Times New Roman" w:eastAsia="仿宋_GB2312" w:cs="Times New Roman"/>
          <w:color w:val="auto"/>
          <w:sz w:val="32"/>
          <w:szCs w:val="32"/>
          <w:highlight w:val="none"/>
        </w:rPr>
        <w:t>增强。朝阳区作为</w:t>
      </w:r>
      <w:r>
        <w:rPr>
          <w:rFonts w:hint="eastAsia" w:ascii="Times New Roman" w:hAnsi="Times New Roman" w:eastAsia="仿宋_GB2312" w:cs="Times New Roman"/>
          <w:color w:val="auto"/>
          <w:sz w:val="32"/>
          <w:szCs w:val="32"/>
          <w:highlight w:val="none"/>
          <w:lang w:val="en-US" w:eastAsia="zh-CN"/>
        </w:rPr>
        <w:t>首都经济大区、国际交往重要窗口</w:t>
      </w:r>
      <w:r>
        <w:rPr>
          <w:rFonts w:hint="eastAsia" w:ascii="Times New Roman" w:hAnsi="Times New Roman" w:eastAsia="仿宋_GB2312" w:cs="Times New Roman"/>
          <w:color w:val="auto"/>
          <w:sz w:val="32"/>
          <w:szCs w:val="32"/>
          <w:highlight w:val="none"/>
        </w:rPr>
        <w:t>，人口</w:t>
      </w:r>
      <w:r>
        <w:rPr>
          <w:rFonts w:hint="eastAsia" w:ascii="Times New Roman" w:hAnsi="Times New Roman" w:eastAsia="仿宋_GB2312" w:cs="Times New Roman"/>
          <w:color w:val="auto"/>
          <w:sz w:val="32"/>
          <w:szCs w:val="32"/>
          <w:highlight w:val="none"/>
          <w:lang w:val="en-US" w:eastAsia="zh-CN"/>
        </w:rPr>
        <w:t>高度</w:t>
      </w:r>
      <w:r>
        <w:rPr>
          <w:rFonts w:hint="eastAsia" w:ascii="Times New Roman" w:hAnsi="Times New Roman" w:eastAsia="仿宋_GB2312" w:cs="Times New Roman"/>
          <w:color w:val="auto"/>
          <w:sz w:val="32"/>
          <w:szCs w:val="32"/>
          <w:highlight w:val="none"/>
        </w:rPr>
        <w:t>密集、经济</w:t>
      </w:r>
      <w:r>
        <w:rPr>
          <w:rFonts w:hint="eastAsia" w:ascii="Times New Roman" w:hAnsi="Times New Roman" w:eastAsia="仿宋_GB2312" w:cs="Times New Roman"/>
          <w:color w:val="auto"/>
          <w:sz w:val="32"/>
          <w:szCs w:val="32"/>
          <w:highlight w:val="none"/>
          <w:lang w:val="en-US" w:eastAsia="zh-CN"/>
        </w:rPr>
        <w:t>高度</w:t>
      </w:r>
      <w:r>
        <w:rPr>
          <w:rFonts w:hint="eastAsia" w:ascii="Times New Roman" w:hAnsi="Times New Roman" w:eastAsia="仿宋_GB2312" w:cs="Times New Roman"/>
          <w:color w:val="auto"/>
          <w:sz w:val="32"/>
          <w:szCs w:val="32"/>
          <w:highlight w:val="none"/>
        </w:rPr>
        <w:t>活跃、</w:t>
      </w:r>
      <w:r>
        <w:rPr>
          <w:rFonts w:hint="eastAsia" w:ascii="Times New Roman" w:hAnsi="Times New Roman" w:eastAsia="仿宋_GB2312" w:cs="Times New Roman"/>
          <w:color w:val="auto"/>
          <w:sz w:val="32"/>
          <w:szCs w:val="32"/>
          <w:highlight w:val="none"/>
          <w:lang w:val="en-US" w:eastAsia="zh-CN"/>
        </w:rPr>
        <w:t>要素高度流动、设施高度集中，超大城市运行系统的复杂性与脆弱性并存，传统风险与新型风险交织渗透，</w:t>
      </w:r>
      <w:r>
        <w:rPr>
          <w:rFonts w:hint="eastAsia" w:ascii="Times New Roman" w:hAnsi="Times New Roman" w:eastAsia="仿宋_GB2312" w:cs="Times New Roman"/>
          <w:color w:val="auto"/>
          <w:sz w:val="32"/>
          <w:szCs w:val="32"/>
          <w:highlight w:val="none"/>
        </w:rPr>
        <w:t>应急管理工作面临</w:t>
      </w:r>
      <w:r>
        <w:rPr>
          <w:rFonts w:hint="eastAsia" w:ascii="Times New Roman" w:hAnsi="Times New Roman" w:eastAsia="仿宋_GB2312" w:cs="Times New Roman"/>
          <w:color w:val="auto"/>
          <w:sz w:val="32"/>
          <w:szCs w:val="32"/>
          <w:highlight w:val="none"/>
          <w:lang w:val="en-US" w:eastAsia="zh-CN"/>
        </w:rPr>
        <w:t>前所未有的系统性</w:t>
      </w:r>
      <w:r>
        <w:rPr>
          <w:rFonts w:hint="eastAsia" w:ascii="Times New Roman" w:hAnsi="Times New Roman" w:eastAsia="仿宋_GB2312" w:cs="Times New Roman"/>
          <w:color w:val="auto"/>
          <w:sz w:val="32"/>
          <w:szCs w:val="32"/>
          <w:highlight w:val="none"/>
        </w:rPr>
        <w:t>挑战。</w:t>
      </w:r>
    </w:p>
    <w:p w14:paraId="0AA8E483">
      <w:pPr>
        <w:pStyle w:val="2"/>
        <w:spacing w:after="0" w:line="560" w:lineRule="exact"/>
        <w:ind w:firstLine="643"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rPr>
        <w:t>国际</w:t>
      </w:r>
      <w:r>
        <w:rPr>
          <w:rFonts w:hint="eastAsia" w:ascii="Times New Roman" w:hAnsi="Times New Roman" w:eastAsia="仿宋_GB2312" w:cs="Times New Roman"/>
          <w:b/>
          <w:bCs/>
          <w:color w:val="auto"/>
          <w:sz w:val="32"/>
          <w:szCs w:val="32"/>
          <w:highlight w:val="none"/>
          <w:lang w:val="en-US" w:eastAsia="zh-CN"/>
        </w:rPr>
        <w:t>形势复杂</w:t>
      </w:r>
      <w:r>
        <w:rPr>
          <w:rFonts w:hint="eastAsia" w:ascii="Times New Roman" w:hAnsi="Times New Roman" w:eastAsia="仿宋_GB2312" w:cs="Times New Roman"/>
          <w:b/>
          <w:bCs/>
          <w:color w:val="auto"/>
          <w:sz w:val="32"/>
          <w:szCs w:val="32"/>
          <w:highlight w:val="none"/>
        </w:rPr>
        <w:t>与高标准安全双重压力</w:t>
      </w:r>
      <w:r>
        <w:rPr>
          <w:rFonts w:hint="eastAsia" w:ascii="Times New Roman" w:hAnsi="Times New Roman" w:eastAsia="仿宋_GB2312" w:cs="Times New Roman"/>
          <w:b/>
          <w:bCs/>
          <w:color w:val="auto"/>
          <w:sz w:val="32"/>
          <w:szCs w:val="32"/>
          <w:highlight w:val="none"/>
          <w:lang w:val="en-US" w:eastAsia="zh-CN"/>
        </w:rPr>
        <w:t>凸显</w:t>
      </w:r>
      <w:r>
        <w:rPr>
          <w:rFonts w:hint="eastAsia"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b w:val="0"/>
          <w:bCs w:val="0"/>
          <w:color w:val="auto"/>
          <w:sz w:val="32"/>
          <w:szCs w:val="32"/>
          <w:highlight w:val="none"/>
          <w:lang w:val="en-US" w:eastAsia="zh-CN"/>
        </w:rPr>
        <w:t>当前，</w:t>
      </w:r>
      <w:r>
        <w:rPr>
          <w:rFonts w:hint="eastAsia" w:ascii="Times New Roman" w:hAnsi="Times New Roman" w:eastAsia="仿宋_GB2312" w:cs="Times New Roman"/>
          <w:color w:val="auto"/>
          <w:sz w:val="32"/>
          <w:szCs w:val="32"/>
          <w:highlight w:val="none"/>
        </w:rPr>
        <w:t>世界百年变局加速演</w:t>
      </w:r>
      <w:r>
        <w:rPr>
          <w:rFonts w:hint="eastAsia" w:ascii="Times New Roman" w:hAnsi="Times New Roman" w:eastAsia="仿宋_GB2312" w:cs="Times New Roman"/>
          <w:color w:val="auto"/>
          <w:sz w:val="32"/>
          <w:szCs w:val="32"/>
          <w:highlight w:val="none"/>
          <w:lang w:val="en-US" w:eastAsia="zh-CN"/>
        </w:rPr>
        <w:t>进</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地缘政治冲突、全球经济波动、国际公共卫生事件等外部风险传导效应日益凸显，极易引发产业链供应链安全风险。朝阳区国际化特征显著，</w:t>
      </w:r>
      <w:r>
        <w:rPr>
          <w:rFonts w:hint="eastAsia" w:ascii="Times New Roman" w:hAnsi="Times New Roman" w:eastAsia="仿宋_GB2312" w:cs="Times New Roman"/>
          <w:color w:val="auto"/>
          <w:sz w:val="32"/>
          <w:szCs w:val="32"/>
          <w:highlight w:val="none"/>
        </w:rPr>
        <w:t>重大</w:t>
      </w:r>
      <w:r>
        <w:rPr>
          <w:rFonts w:hint="eastAsia" w:ascii="Times New Roman" w:hAnsi="Times New Roman" w:eastAsia="仿宋_GB2312" w:cs="Times New Roman"/>
          <w:color w:val="auto"/>
          <w:sz w:val="32"/>
          <w:szCs w:val="32"/>
          <w:highlight w:val="none"/>
          <w:lang w:val="en-US" w:eastAsia="zh-CN"/>
        </w:rPr>
        <w:t>外交</w:t>
      </w:r>
      <w:r>
        <w:rPr>
          <w:rFonts w:hint="eastAsia" w:ascii="Times New Roman" w:hAnsi="Times New Roman" w:eastAsia="仿宋_GB2312" w:cs="Times New Roman"/>
          <w:color w:val="auto"/>
          <w:sz w:val="32"/>
          <w:szCs w:val="32"/>
          <w:highlight w:val="none"/>
        </w:rPr>
        <w:t>外事活动</w:t>
      </w:r>
      <w:r>
        <w:rPr>
          <w:rFonts w:hint="eastAsia" w:ascii="Times New Roman" w:hAnsi="Times New Roman" w:eastAsia="仿宋_GB2312" w:cs="Times New Roman"/>
          <w:color w:val="auto"/>
          <w:sz w:val="32"/>
          <w:szCs w:val="32"/>
          <w:highlight w:val="none"/>
          <w:lang w:val="en-US" w:eastAsia="zh-CN"/>
        </w:rPr>
        <w:t>常年高频次举办，</w:t>
      </w:r>
      <w:r>
        <w:rPr>
          <w:rFonts w:hint="eastAsia" w:ascii="Times New Roman" w:hAnsi="Times New Roman" w:eastAsia="仿宋_GB2312" w:cs="Times New Roman"/>
          <w:color w:val="auto"/>
          <w:sz w:val="32"/>
          <w:szCs w:val="32"/>
          <w:highlight w:val="none"/>
        </w:rPr>
        <w:t>对公共安全治理</w:t>
      </w:r>
      <w:r>
        <w:rPr>
          <w:rFonts w:hint="eastAsia" w:ascii="Times New Roman" w:hAnsi="Times New Roman" w:eastAsia="仿宋_GB2312" w:cs="Times New Roman"/>
          <w:color w:val="auto"/>
          <w:sz w:val="32"/>
          <w:szCs w:val="32"/>
          <w:highlight w:val="none"/>
          <w:lang w:val="en-US" w:eastAsia="zh-CN"/>
        </w:rPr>
        <w:t>精细化</w:t>
      </w:r>
      <w:r>
        <w:rPr>
          <w:rFonts w:hint="eastAsia" w:ascii="Times New Roman" w:hAnsi="Times New Roman" w:eastAsia="仿宋_GB2312" w:cs="Times New Roman"/>
          <w:color w:val="auto"/>
          <w:sz w:val="32"/>
          <w:szCs w:val="32"/>
          <w:highlight w:val="none"/>
        </w:rPr>
        <w:t>、应急管理</w:t>
      </w:r>
      <w:r>
        <w:rPr>
          <w:rFonts w:hint="eastAsia" w:ascii="Times New Roman" w:hAnsi="Times New Roman" w:eastAsia="仿宋_GB2312" w:cs="Times New Roman"/>
          <w:color w:val="auto"/>
          <w:sz w:val="32"/>
          <w:szCs w:val="32"/>
          <w:highlight w:val="none"/>
          <w:lang w:val="en-US" w:eastAsia="zh-CN"/>
        </w:rPr>
        <w:t>专业化</w:t>
      </w:r>
      <w:r>
        <w:rPr>
          <w:rFonts w:hint="eastAsia" w:ascii="Times New Roman" w:hAnsi="Times New Roman" w:eastAsia="仿宋_GB2312" w:cs="Times New Roman"/>
          <w:color w:val="auto"/>
          <w:sz w:val="32"/>
          <w:szCs w:val="32"/>
          <w:highlight w:val="none"/>
        </w:rPr>
        <w:t>提出</w:t>
      </w:r>
      <w:r>
        <w:rPr>
          <w:rFonts w:hint="eastAsia" w:ascii="Times New Roman" w:hAnsi="Times New Roman" w:eastAsia="仿宋_GB2312" w:cs="Times New Roman"/>
          <w:color w:val="auto"/>
          <w:sz w:val="32"/>
          <w:szCs w:val="32"/>
          <w:highlight w:val="none"/>
          <w:lang w:val="en-US" w:eastAsia="zh-CN"/>
        </w:rPr>
        <w:t>了</w:t>
      </w:r>
      <w:r>
        <w:rPr>
          <w:rFonts w:hint="eastAsia" w:ascii="Times New Roman" w:hAnsi="Times New Roman" w:eastAsia="仿宋_GB2312" w:cs="Times New Roman"/>
          <w:color w:val="auto"/>
          <w:sz w:val="32"/>
          <w:szCs w:val="32"/>
          <w:highlight w:val="none"/>
        </w:rPr>
        <w:t>更高</w:t>
      </w:r>
      <w:r>
        <w:rPr>
          <w:rFonts w:hint="eastAsia" w:ascii="Times New Roman" w:hAnsi="Times New Roman" w:eastAsia="仿宋_GB2312" w:cs="Times New Roman"/>
          <w:color w:val="auto"/>
          <w:sz w:val="32"/>
          <w:szCs w:val="32"/>
          <w:highlight w:val="none"/>
          <w:lang w:val="en-US" w:eastAsia="zh-CN"/>
        </w:rPr>
        <w:t>标准</w:t>
      </w:r>
      <w:r>
        <w:rPr>
          <w:rFonts w:hint="eastAsia" w:ascii="Times New Roman" w:hAnsi="Times New Roman" w:eastAsia="仿宋_GB2312" w:cs="Times New Roman"/>
          <w:color w:val="auto"/>
          <w:sz w:val="32"/>
          <w:szCs w:val="32"/>
          <w:highlight w:val="none"/>
        </w:rPr>
        <w:t>，亟需</w:t>
      </w:r>
      <w:r>
        <w:rPr>
          <w:rFonts w:hint="eastAsia" w:ascii="Times New Roman" w:hAnsi="Times New Roman" w:eastAsia="仿宋_GB2312" w:cs="Times New Roman"/>
          <w:color w:val="auto"/>
          <w:sz w:val="32"/>
          <w:szCs w:val="32"/>
          <w:highlight w:val="none"/>
          <w:lang w:val="en-US" w:eastAsia="zh-CN"/>
        </w:rPr>
        <w:t>以国际化视野强化</w:t>
      </w:r>
      <w:r>
        <w:rPr>
          <w:rFonts w:hint="eastAsia" w:ascii="Times New Roman" w:hAnsi="Times New Roman" w:eastAsia="仿宋_GB2312" w:cs="Times New Roman"/>
          <w:color w:val="auto"/>
          <w:sz w:val="32"/>
          <w:szCs w:val="32"/>
          <w:highlight w:val="none"/>
        </w:rPr>
        <w:t>跨文化沟通协同能力，构建多主体联动的风险防控体系，精准应对国际形势演变带来的多元风险挑战。</w:t>
      </w:r>
    </w:p>
    <w:p w14:paraId="5F182AC3">
      <w:pPr>
        <w:pStyle w:val="2"/>
        <w:spacing w:after="0" w:line="560" w:lineRule="exact"/>
        <w:ind w:firstLine="643"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lang w:val="en-US" w:eastAsia="zh-CN"/>
        </w:rPr>
        <w:t>灾害事故风险防控任务艰巨繁重</w:t>
      </w:r>
      <w:r>
        <w:rPr>
          <w:rFonts w:hint="eastAsia"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rPr>
        <w:t>全球气候变化</w:t>
      </w:r>
      <w:r>
        <w:rPr>
          <w:rFonts w:hint="eastAsia" w:ascii="Times New Roman" w:hAnsi="Times New Roman" w:eastAsia="仿宋_GB2312" w:cs="Times New Roman"/>
          <w:color w:val="auto"/>
          <w:sz w:val="32"/>
          <w:szCs w:val="32"/>
          <w:highlight w:val="none"/>
          <w:lang w:val="en-US" w:eastAsia="zh-CN"/>
        </w:rPr>
        <w:t>背景下，极端天气事件的发生频率与强度显著攀升，</w:t>
      </w:r>
      <w:r>
        <w:rPr>
          <w:rFonts w:hint="eastAsia" w:ascii="Times New Roman" w:hAnsi="Times New Roman" w:eastAsia="仿宋_GB2312" w:cs="Times New Roman"/>
          <w:color w:val="auto"/>
          <w:sz w:val="32"/>
          <w:szCs w:val="32"/>
          <w:highlight w:val="none"/>
        </w:rPr>
        <w:t>暴雨、大风等气象灾害引发的城市内涝</w:t>
      </w:r>
      <w:r>
        <w:rPr>
          <w:rFonts w:hint="eastAsia" w:ascii="Times New Roman" w:hAnsi="Times New Roman" w:eastAsia="仿宋_GB2312" w:cs="Times New Roman"/>
          <w:color w:val="auto"/>
          <w:sz w:val="32"/>
          <w:szCs w:val="32"/>
          <w:highlight w:val="none"/>
          <w:lang w:eastAsia="zh-CN"/>
        </w:rPr>
        <w:t>等</w:t>
      </w:r>
      <w:r>
        <w:rPr>
          <w:rFonts w:hint="eastAsia" w:ascii="Times New Roman" w:hAnsi="Times New Roman" w:eastAsia="仿宋_GB2312" w:cs="Times New Roman"/>
          <w:color w:val="auto"/>
          <w:sz w:val="32"/>
          <w:szCs w:val="32"/>
          <w:highlight w:val="none"/>
        </w:rPr>
        <w:t>风险</w:t>
      </w:r>
      <w:r>
        <w:rPr>
          <w:rFonts w:hint="eastAsia" w:ascii="Times New Roman" w:hAnsi="Times New Roman" w:eastAsia="仿宋_GB2312" w:cs="Times New Roman"/>
          <w:color w:val="auto"/>
          <w:sz w:val="32"/>
          <w:szCs w:val="32"/>
          <w:highlight w:val="none"/>
          <w:lang w:val="en-US" w:eastAsia="zh-CN"/>
        </w:rPr>
        <w:t>持续</w:t>
      </w:r>
      <w:r>
        <w:rPr>
          <w:rFonts w:hint="eastAsia" w:ascii="Times New Roman" w:hAnsi="Times New Roman" w:eastAsia="仿宋_GB2312" w:cs="Times New Roman"/>
          <w:color w:val="auto"/>
          <w:sz w:val="32"/>
          <w:szCs w:val="32"/>
          <w:highlight w:val="none"/>
        </w:rPr>
        <w:t>加剧</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同时，</w:t>
      </w:r>
      <w:r>
        <w:rPr>
          <w:rFonts w:hint="eastAsia" w:ascii="Times New Roman" w:hAnsi="Times New Roman" w:eastAsia="仿宋_GB2312" w:cs="Times New Roman"/>
          <w:color w:val="auto"/>
          <w:sz w:val="32"/>
          <w:szCs w:val="32"/>
          <w:highlight w:val="none"/>
          <w:lang w:val="en-US" w:eastAsia="zh-CN"/>
        </w:rPr>
        <w:t>区域</w:t>
      </w:r>
      <w:r>
        <w:rPr>
          <w:rFonts w:hint="eastAsia" w:ascii="Times New Roman" w:hAnsi="Times New Roman" w:eastAsia="仿宋_GB2312" w:cs="Times New Roman"/>
          <w:color w:val="auto"/>
          <w:sz w:val="32"/>
          <w:szCs w:val="32"/>
          <w:highlight w:val="none"/>
        </w:rPr>
        <w:t>地处地震活跃带，中强地震风险</w:t>
      </w:r>
      <w:r>
        <w:rPr>
          <w:rFonts w:hint="eastAsia" w:ascii="Times New Roman" w:hAnsi="Times New Roman" w:eastAsia="仿宋_GB2312" w:cs="Times New Roman"/>
          <w:color w:val="auto"/>
          <w:sz w:val="32"/>
          <w:szCs w:val="32"/>
          <w:highlight w:val="none"/>
          <w:lang w:val="en-US" w:eastAsia="zh-CN"/>
        </w:rPr>
        <w:t>客观存在，</w:t>
      </w:r>
      <w:r>
        <w:rPr>
          <w:rFonts w:hint="eastAsia" w:ascii="Times New Roman" w:hAnsi="Times New Roman" w:eastAsia="仿宋_GB2312" w:cs="Times New Roman"/>
          <w:color w:val="auto"/>
          <w:sz w:val="32"/>
          <w:szCs w:val="32"/>
          <w:highlight w:val="none"/>
        </w:rPr>
        <w:t>城市化进程</w:t>
      </w:r>
      <w:r>
        <w:rPr>
          <w:rFonts w:hint="eastAsia" w:ascii="Times New Roman" w:hAnsi="Times New Roman" w:eastAsia="仿宋_GB2312" w:cs="Times New Roman"/>
          <w:color w:val="auto"/>
          <w:sz w:val="32"/>
          <w:szCs w:val="32"/>
          <w:highlight w:val="none"/>
          <w:lang w:val="en-US" w:eastAsia="zh-CN"/>
        </w:rPr>
        <w:t>进一步放大了</w:t>
      </w:r>
      <w:r>
        <w:rPr>
          <w:rFonts w:hint="eastAsia" w:ascii="Times New Roman" w:hAnsi="Times New Roman" w:eastAsia="仿宋_GB2312" w:cs="Times New Roman"/>
          <w:color w:val="auto"/>
          <w:sz w:val="32"/>
          <w:szCs w:val="32"/>
          <w:highlight w:val="none"/>
        </w:rPr>
        <w:t>高温热浪等极端天气对城市运行</w:t>
      </w:r>
      <w:r>
        <w:rPr>
          <w:rFonts w:hint="eastAsia" w:ascii="Times New Roman" w:hAnsi="Times New Roman" w:eastAsia="仿宋_GB2312" w:cs="Times New Roman"/>
          <w:color w:val="auto"/>
          <w:sz w:val="32"/>
          <w:szCs w:val="32"/>
          <w:highlight w:val="none"/>
          <w:lang w:val="en-US" w:eastAsia="zh-CN"/>
        </w:rPr>
        <w:t>秩序及</w:t>
      </w:r>
      <w:r>
        <w:rPr>
          <w:rFonts w:hint="eastAsia" w:ascii="Times New Roman" w:hAnsi="Times New Roman" w:eastAsia="仿宋_GB2312" w:cs="Times New Roman"/>
          <w:color w:val="auto"/>
          <w:sz w:val="32"/>
          <w:szCs w:val="32"/>
          <w:highlight w:val="none"/>
        </w:rPr>
        <w:t>居民</w:t>
      </w:r>
      <w:r>
        <w:rPr>
          <w:rFonts w:hint="eastAsia" w:ascii="Times New Roman" w:hAnsi="Times New Roman" w:eastAsia="仿宋_GB2312" w:cs="Times New Roman"/>
          <w:color w:val="auto"/>
          <w:sz w:val="32"/>
          <w:szCs w:val="32"/>
          <w:highlight w:val="none"/>
          <w:lang w:val="en-US" w:eastAsia="zh-CN"/>
        </w:rPr>
        <w:t>生命</w:t>
      </w:r>
      <w:r>
        <w:rPr>
          <w:rFonts w:hint="eastAsia" w:ascii="Times New Roman" w:hAnsi="Times New Roman" w:eastAsia="仿宋_GB2312" w:cs="Times New Roman"/>
          <w:color w:val="auto"/>
          <w:sz w:val="32"/>
          <w:szCs w:val="32"/>
          <w:highlight w:val="none"/>
        </w:rPr>
        <w:t>健康的</w:t>
      </w:r>
      <w:r>
        <w:rPr>
          <w:rFonts w:hint="eastAsia" w:ascii="Times New Roman" w:hAnsi="Times New Roman" w:eastAsia="仿宋_GB2312" w:cs="Times New Roman"/>
          <w:color w:val="auto"/>
          <w:sz w:val="32"/>
          <w:szCs w:val="32"/>
          <w:highlight w:val="none"/>
          <w:lang w:val="en-US" w:eastAsia="zh-CN"/>
        </w:rPr>
        <w:t>影响</w:t>
      </w:r>
      <w:r>
        <w:rPr>
          <w:rFonts w:hint="eastAsia" w:ascii="Times New Roman" w:hAnsi="Times New Roman" w:eastAsia="仿宋_GB2312" w:cs="Times New Roman"/>
          <w:color w:val="auto"/>
          <w:sz w:val="32"/>
          <w:szCs w:val="32"/>
          <w:highlight w:val="none"/>
        </w:rPr>
        <w:t>。作为</w:t>
      </w:r>
      <w:r>
        <w:rPr>
          <w:rFonts w:hint="eastAsia" w:ascii="Times New Roman" w:hAnsi="Times New Roman" w:eastAsia="仿宋_GB2312" w:cs="Times New Roman"/>
          <w:color w:val="auto"/>
          <w:sz w:val="32"/>
          <w:szCs w:val="32"/>
          <w:highlight w:val="none"/>
          <w:lang w:val="en-US" w:eastAsia="zh-CN"/>
        </w:rPr>
        <w:t>北京市</w:t>
      </w:r>
      <w:r>
        <w:rPr>
          <w:rFonts w:hint="eastAsia" w:ascii="Times New Roman" w:hAnsi="Times New Roman" w:eastAsia="仿宋_GB2312" w:cs="Times New Roman"/>
          <w:color w:val="auto"/>
          <w:sz w:val="32"/>
          <w:szCs w:val="32"/>
          <w:highlight w:val="none"/>
        </w:rPr>
        <w:t>经济强区，朝阳区高层建筑</w:t>
      </w:r>
      <w:r>
        <w:rPr>
          <w:rFonts w:hint="eastAsia" w:ascii="Times New Roman" w:hAnsi="Times New Roman" w:eastAsia="仿宋_GB2312" w:cs="Times New Roman"/>
          <w:color w:val="auto"/>
          <w:sz w:val="32"/>
          <w:szCs w:val="32"/>
          <w:highlight w:val="none"/>
          <w:lang w:val="en-US" w:eastAsia="zh-CN"/>
        </w:rPr>
        <w:t>密集</w:t>
      </w:r>
      <w:r>
        <w:rPr>
          <w:rFonts w:hint="eastAsia" w:ascii="Times New Roman" w:hAnsi="Times New Roman" w:eastAsia="仿宋_GB2312" w:cs="Times New Roman"/>
          <w:color w:val="auto"/>
          <w:sz w:val="32"/>
          <w:szCs w:val="32"/>
          <w:highlight w:val="none"/>
        </w:rPr>
        <w:t>、地下空间</w:t>
      </w:r>
      <w:r>
        <w:rPr>
          <w:rFonts w:hint="eastAsia" w:ascii="Times New Roman" w:hAnsi="Times New Roman" w:eastAsia="仿宋_GB2312" w:cs="Times New Roman"/>
          <w:color w:val="auto"/>
          <w:sz w:val="32"/>
          <w:szCs w:val="32"/>
          <w:highlight w:val="none"/>
          <w:lang w:val="en-US" w:eastAsia="zh-CN"/>
        </w:rPr>
        <w:t>复杂</w:t>
      </w:r>
      <w:r>
        <w:rPr>
          <w:rFonts w:hint="eastAsia" w:ascii="Times New Roman" w:hAnsi="Times New Roman" w:eastAsia="仿宋_GB2312" w:cs="Times New Roman"/>
          <w:color w:val="auto"/>
          <w:sz w:val="32"/>
          <w:szCs w:val="32"/>
          <w:highlight w:val="none"/>
        </w:rPr>
        <w:t>、人员密集场所众多，火灾、踩踏等</w:t>
      </w:r>
      <w:r>
        <w:rPr>
          <w:rFonts w:hint="eastAsia" w:ascii="Times New Roman" w:hAnsi="Times New Roman" w:eastAsia="仿宋_GB2312" w:cs="Times New Roman"/>
          <w:color w:val="auto"/>
          <w:sz w:val="32"/>
          <w:szCs w:val="32"/>
          <w:highlight w:val="none"/>
          <w:lang w:val="en-US" w:eastAsia="zh-CN"/>
        </w:rPr>
        <w:t>安全</w:t>
      </w:r>
      <w:r>
        <w:rPr>
          <w:rFonts w:hint="eastAsia" w:ascii="Times New Roman" w:hAnsi="Times New Roman" w:eastAsia="仿宋_GB2312" w:cs="Times New Roman"/>
          <w:color w:val="auto"/>
          <w:sz w:val="32"/>
          <w:szCs w:val="32"/>
          <w:highlight w:val="none"/>
        </w:rPr>
        <w:t>事故</w:t>
      </w:r>
      <w:r>
        <w:rPr>
          <w:rFonts w:hint="eastAsia" w:ascii="Times New Roman" w:hAnsi="Times New Roman" w:eastAsia="仿宋_GB2312" w:cs="Times New Roman"/>
          <w:color w:val="auto"/>
          <w:sz w:val="32"/>
          <w:szCs w:val="32"/>
          <w:highlight w:val="none"/>
          <w:lang w:val="en-US" w:eastAsia="zh-CN"/>
        </w:rPr>
        <w:t>隐患基数大、分布广；</w:t>
      </w:r>
      <w:r>
        <w:rPr>
          <w:rFonts w:hint="eastAsia" w:ascii="Times New Roman" w:hAnsi="Times New Roman" w:eastAsia="仿宋_GB2312" w:cs="Times New Roman"/>
          <w:color w:val="auto"/>
          <w:sz w:val="32"/>
          <w:szCs w:val="32"/>
          <w:highlight w:val="none"/>
        </w:rPr>
        <w:t>老旧小区、大型商圈、交通枢纽等重点区域的安全隐患突出，水、电、气、热、交通等</w:t>
      </w:r>
      <w:r>
        <w:rPr>
          <w:rFonts w:hint="eastAsia" w:ascii="Times New Roman" w:hAnsi="Times New Roman" w:eastAsia="仿宋_GB2312" w:cs="Times New Roman"/>
          <w:color w:val="auto"/>
          <w:sz w:val="32"/>
          <w:szCs w:val="32"/>
          <w:highlight w:val="none"/>
          <w:lang w:val="en-US" w:eastAsia="zh-CN"/>
        </w:rPr>
        <w:t>城市生命线</w:t>
      </w:r>
      <w:r>
        <w:rPr>
          <w:rFonts w:hint="eastAsia" w:ascii="Times New Roman" w:hAnsi="Times New Roman" w:eastAsia="仿宋_GB2312" w:cs="Times New Roman"/>
          <w:color w:val="auto"/>
          <w:sz w:val="32"/>
          <w:szCs w:val="32"/>
          <w:highlight w:val="none"/>
        </w:rPr>
        <w:t>系统</w:t>
      </w:r>
      <w:r>
        <w:rPr>
          <w:rFonts w:hint="eastAsia" w:ascii="Times New Roman" w:hAnsi="Times New Roman" w:eastAsia="仿宋_GB2312" w:cs="Times New Roman"/>
          <w:color w:val="auto"/>
          <w:sz w:val="32"/>
          <w:szCs w:val="32"/>
          <w:highlight w:val="none"/>
          <w:lang w:val="en-US" w:eastAsia="zh-CN"/>
        </w:rPr>
        <w:t>交织耦合</w:t>
      </w:r>
      <w:r>
        <w:rPr>
          <w:rFonts w:hint="eastAsia" w:ascii="Times New Roman" w:hAnsi="Times New Roman" w:eastAsia="仿宋_GB2312" w:cs="Times New Roman"/>
          <w:color w:val="auto"/>
          <w:sz w:val="32"/>
          <w:szCs w:val="32"/>
          <w:highlight w:val="none"/>
        </w:rPr>
        <w:t>，易引发连锁反应，综合风险防控的复杂性与艰巨性凸显。</w:t>
      </w:r>
    </w:p>
    <w:p w14:paraId="09F508B6">
      <w:pPr>
        <w:pStyle w:val="2"/>
        <w:spacing w:after="0" w:line="560" w:lineRule="exact"/>
        <w:ind w:firstLine="643" w:firstLineChars="200"/>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rPr>
        <w:t>安全</w:t>
      </w:r>
      <w:r>
        <w:rPr>
          <w:rFonts w:hint="eastAsia" w:ascii="Times New Roman" w:hAnsi="Times New Roman" w:eastAsia="仿宋_GB2312" w:cs="Times New Roman"/>
          <w:b/>
          <w:bCs/>
          <w:color w:val="auto"/>
          <w:sz w:val="32"/>
          <w:szCs w:val="32"/>
          <w:highlight w:val="none"/>
          <w:lang w:val="en-US" w:eastAsia="zh-CN"/>
        </w:rPr>
        <w:t>生产领域防控</w:t>
      </w:r>
      <w:r>
        <w:rPr>
          <w:rFonts w:hint="eastAsia" w:ascii="Times New Roman" w:hAnsi="Times New Roman" w:eastAsia="仿宋_GB2312" w:cs="Times New Roman"/>
          <w:b/>
          <w:bCs/>
          <w:color w:val="auto"/>
          <w:sz w:val="32"/>
          <w:szCs w:val="32"/>
          <w:highlight w:val="none"/>
        </w:rPr>
        <w:t>压力</w:t>
      </w:r>
      <w:r>
        <w:rPr>
          <w:rFonts w:hint="eastAsia" w:ascii="Times New Roman" w:hAnsi="Times New Roman" w:eastAsia="仿宋_GB2312" w:cs="Times New Roman"/>
          <w:b/>
          <w:bCs/>
          <w:color w:val="auto"/>
          <w:sz w:val="32"/>
          <w:szCs w:val="32"/>
          <w:highlight w:val="none"/>
          <w:lang w:val="en-US" w:eastAsia="zh-CN"/>
        </w:rPr>
        <w:t>突出</w:t>
      </w:r>
      <w:r>
        <w:rPr>
          <w:rFonts w:hint="eastAsia"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b w:val="0"/>
          <w:bCs w:val="0"/>
          <w:color w:val="auto"/>
          <w:sz w:val="32"/>
          <w:szCs w:val="32"/>
          <w:highlight w:val="none"/>
          <w:lang w:val="en-US" w:eastAsia="zh-CN"/>
        </w:rPr>
        <w:t>朝阳区作为首都高质量发展的重要承载区，在产业结构升级与新旧动能转换背景下，安全生产面临传统领域风险持续与新兴业态风险凸显的双重压力。</w:t>
      </w:r>
      <w:r>
        <w:rPr>
          <w:rFonts w:hint="eastAsia" w:ascii="Times New Roman" w:hAnsi="Times New Roman" w:eastAsia="仿宋_GB2312" w:cs="Times New Roman"/>
          <w:b w:val="0"/>
          <w:bCs w:val="0"/>
          <w:color w:val="auto"/>
          <w:sz w:val="32"/>
          <w:szCs w:val="32"/>
          <w:highlight w:val="none"/>
        </w:rPr>
        <w:t>消防、危险化学品、道路运输等传统领域固有风险</w:t>
      </w:r>
      <w:r>
        <w:rPr>
          <w:rFonts w:hint="eastAsia" w:ascii="Times New Roman" w:hAnsi="Times New Roman" w:eastAsia="仿宋_GB2312" w:cs="Times New Roman"/>
          <w:b w:val="0"/>
          <w:bCs w:val="0"/>
          <w:color w:val="auto"/>
          <w:sz w:val="32"/>
          <w:szCs w:val="32"/>
          <w:highlight w:val="none"/>
          <w:lang w:val="en-US" w:eastAsia="zh-CN"/>
        </w:rPr>
        <w:t>依然突出</w:t>
      </w:r>
      <w:r>
        <w:rPr>
          <w:rFonts w:hint="eastAsia" w:ascii="Times New Roman" w:hAnsi="Times New Roman" w:eastAsia="仿宋_GB2312" w:cs="Times New Roman"/>
          <w:b w:val="0"/>
          <w:bCs w:val="0"/>
          <w:color w:val="auto"/>
          <w:sz w:val="32"/>
          <w:szCs w:val="32"/>
          <w:highlight w:val="none"/>
        </w:rPr>
        <w:t>，各类用火用电</w:t>
      </w:r>
      <w:r>
        <w:rPr>
          <w:rFonts w:hint="eastAsia"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rPr>
        <w:t>城市燃气、电动自行车等</w:t>
      </w:r>
      <w:r>
        <w:rPr>
          <w:rFonts w:hint="eastAsia" w:ascii="Times New Roman" w:hAnsi="Times New Roman" w:eastAsia="仿宋_GB2312" w:cs="Times New Roman"/>
          <w:b w:val="0"/>
          <w:bCs w:val="0"/>
          <w:color w:val="auto"/>
          <w:sz w:val="32"/>
          <w:szCs w:val="32"/>
          <w:highlight w:val="none"/>
          <w:lang w:eastAsia="zh-CN"/>
        </w:rPr>
        <w:t>动</w:t>
      </w:r>
      <w:r>
        <w:rPr>
          <w:rFonts w:hint="eastAsia" w:ascii="Times New Roman" w:hAnsi="Times New Roman" w:eastAsia="仿宋_GB2312" w:cs="Times New Roman"/>
          <w:b w:val="0"/>
          <w:bCs w:val="0"/>
          <w:color w:val="auto"/>
          <w:sz w:val="32"/>
          <w:szCs w:val="32"/>
          <w:highlight w:val="none"/>
        </w:rPr>
        <w:t>态隐患</w:t>
      </w:r>
      <w:r>
        <w:rPr>
          <w:rFonts w:hint="eastAsia" w:ascii="Times New Roman" w:hAnsi="Times New Roman" w:eastAsia="仿宋_GB2312" w:cs="Times New Roman"/>
          <w:b w:val="0"/>
          <w:bCs w:val="0"/>
          <w:color w:val="auto"/>
          <w:sz w:val="32"/>
          <w:szCs w:val="32"/>
          <w:highlight w:val="none"/>
          <w:lang w:val="en-US" w:eastAsia="zh-CN"/>
        </w:rPr>
        <w:t>点多面广，治理基础亟待夯实。</w:t>
      </w:r>
      <w:r>
        <w:rPr>
          <w:rFonts w:hint="eastAsia" w:ascii="Times New Roman" w:hAnsi="Times New Roman" w:eastAsia="仿宋_GB2312" w:cs="Times New Roman"/>
          <w:b w:val="0"/>
          <w:bCs w:val="0"/>
          <w:color w:val="auto"/>
          <w:sz w:val="32"/>
          <w:szCs w:val="32"/>
          <w:highlight w:val="none"/>
        </w:rPr>
        <w:t>新兴行业</w:t>
      </w:r>
      <w:r>
        <w:rPr>
          <w:rFonts w:hint="eastAsia" w:ascii="Times New Roman" w:hAnsi="Times New Roman" w:eastAsia="仿宋_GB2312" w:cs="Times New Roman"/>
          <w:b w:val="0"/>
          <w:bCs w:val="0"/>
          <w:color w:val="auto"/>
          <w:sz w:val="32"/>
          <w:szCs w:val="32"/>
          <w:highlight w:val="none"/>
          <w:lang w:val="en-US" w:eastAsia="zh-CN"/>
        </w:rPr>
        <w:t>则</w:t>
      </w:r>
      <w:r>
        <w:rPr>
          <w:rFonts w:hint="eastAsia" w:ascii="Times New Roman" w:hAnsi="Times New Roman" w:eastAsia="仿宋_GB2312" w:cs="Times New Roman"/>
          <w:b w:val="0"/>
          <w:bCs w:val="0"/>
          <w:color w:val="auto"/>
          <w:sz w:val="32"/>
          <w:szCs w:val="32"/>
          <w:highlight w:val="none"/>
        </w:rPr>
        <w:t>呈现跨界融合、技术迭代快、业态复杂多变等</w:t>
      </w:r>
      <w:r>
        <w:rPr>
          <w:rFonts w:hint="eastAsia" w:ascii="Times New Roman" w:hAnsi="Times New Roman" w:eastAsia="仿宋_GB2312" w:cs="Times New Roman"/>
          <w:b w:val="0"/>
          <w:bCs w:val="0"/>
          <w:color w:val="auto"/>
          <w:sz w:val="32"/>
          <w:szCs w:val="32"/>
          <w:highlight w:val="none"/>
          <w:lang w:val="en-US" w:eastAsia="zh-CN"/>
        </w:rPr>
        <w:t>特征</w:t>
      </w:r>
      <w:r>
        <w:rPr>
          <w:rFonts w:hint="eastAsia"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在应对</w:t>
      </w:r>
      <w:r>
        <w:rPr>
          <w:rFonts w:hint="eastAsia" w:ascii="Times New Roman" w:hAnsi="Times New Roman" w:eastAsia="仿宋_GB2312" w:cs="Times New Roman"/>
          <w:color w:val="auto"/>
          <w:sz w:val="32"/>
          <w:szCs w:val="32"/>
          <w:highlight w:val="none"/>
        </w:rPr>
        <w:t>新业态</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交叉领域监管时前瞻性不足，责任落实有待强化。</w:t>
      </w:r>
      <w:r>
        <w:rPr>
          <w:rFonts w:hint="eastAsia" w:ascii="Times New Roman" w:hAnsi="Times New Roman" w:eastAsia="仿宋_GB2312" w:cs="Times New Roman"/>
          <w:color w:val="auto"/>
          <w:sz w:val="32"/>
          <w:szCs w:val="32"/>
          <w:highlight w:val="none"/>
        </w:rPr>
        <w:t>此外，部分单位对“三管三必须”原则理解不</w:t>
      </w:r>
      <w:r>
        <w:rPr>
          <w:rFonts w:hint="eastAsia" w:ascii="Times New Roman" w:hAnsi="Times New Roman" w:eastAsia="仿宋_GB2312" w:cs="Times New Roman"/>
          <w:color w:val="auto"/>
          <w:sz w:val="32"/>
          <w:szCs w:val="32"/>
          <w:highlight w:val="none"/>
          <w:lang w:val="en-US" w:eastAsia="zh-CN"/>
        </w:rPr>
        <w:t>深刻</w:t>
      </w:r>
      <w:r>
        <w:rPr>
          <w:rFonts w:hint="eastAsia" w:ascii="Times New Roman" w:hAnsi="Times New Roman" w:eastAsia="仿宋_GB2312" w:cs="Times New Roman"/>
          <w:color w:val="auto"/>
          <w:sz w:val="32"/>
          <w:szCs w:val="32"/>
          <w:highlight w:val="none"/>
        </w:rPr>
        <w:t>、安全生产责任落实不够到位</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个别</w:t>
      </w:r>
      <w:r>
        <w:rPr>
          <w:rFonts w:hint="eastAsia" w:ascii="Times New Roman" w:hAnsi="Times New Roman" w:eastAsia="仿宋_GB2312" w:cs="Times New Roman"/>
          <w:color w:val="auto"/>
          <w:sz w:val="32"/>
          <w:szCs w:val="32"/>
          <w:highlight w:val="none"/>
        </w:rPr>
        <w:t>企业存在隐患排查质量不高、现场风险管控不足等问题，对专业化、深层次隐患的全链条挖掘和追溯力度不足</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安全生产防线面临持续承压。</w:t>
      </w:r>
    </w:p>
    <w:p w14:paraId="017E17A2">
      <w:pPr>
        <w:pStyle w:val="2"/>
        <w:spacing w:after="0" w:line="560" w:lineRule="exact"/>
        <w:ind w:firstLine="643"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rPr>
        <w:t>城市运行</w:t>
      </w:r>
      <w:r>
        <w:rPr>
          <w:rFonts w:hint="eastAsia" w:ascii="Times New Roman" w:hAnsi="Times New Roman" w:eastAsia="仿宋_GB2312" w:cs="Times New Roman"/>
          <w:b/>
          <w:bCs/>
          <w:color w:val="auto"/>
          <w:sz w:val="32"/>
          <w:szCs w:val="32"/>
          <w:highlight w:val="none"/>
          <w:lang w:val="en-US" w:eastAsia="zh-CN"/>
        </w:rPr>
        <w:t>安全</w:t>
      </w:r>
      <w:r>
        <w:rPr>
          <w:rFonts w:hint="eastAsia" w:ascii="Times New Roman" w:hAnsi="Times New Roman" w:eastAsia="仿宋_GB2312" w:cs="Times New Roman"/>
          <w:b/>
          <w:bCs/>
          <w:color w:val="auto"/>
          <w:sz w:val="32"/>
          <w:szCs w:val="32"/>
          <w:highlight w:val="none"/>
        </w:rPr>
        <w:t>风险</w:t>
      </w:r>
      <w:r>
        <w:rPr>
          <w:rFonts w:hint="eastAsia" w:ascii="Times New Roman" w:hAnsi="Times New Roman" w:eastAsia="仿宋_GB2312" w:cs="Times New Roman"/>
          <w:b/>
          <w:bCs/>
          <w:color w:val="auto"/>
          <w:sz w:val="32"/>
          <w:szCs w:val="32"/>
          <w:highlight w:val="none"/>
          <w:lang w:val="en-US" w:eastAsia="zh-CN"/>
        </w:rPr>
        <w:t>持续攀升。</w:t>
      </w:r>
      <w:r>
        <w:rPr>
          <w:rFonts w:hint="eastAsia" w:ascii="Times New Roman" w:hAnsi="Times New Roman" w:eastAsia="仿宋_GB2312" w:cs="Times New Roman"/>
          <w:color w:val="auto"/>
          <w:sz w:val="32"/>
          <w:szCs w:val="32"/>
          <w:highlight w:val="none"/>
        </w:rPr>
        <w:t>朝阳区城市建设呈现多元复杂格局，涵盖建成区、建设区和城乡结合部，项目投资规模持续高位运行，重点工程、大型项目及地下轨道交通建设密集，高空、地下及有限空间作业频繁，建筑工程风险点多面广。区域内快速道路、地下轨道交通、高架桥梁及交叉路口分布广泛，交通流量大，交通安全风险管控压力持续增加。中心城区建筑密度高，高层楼宇、大型综合体及人员密集场所集中，消防安全隐患显著。同时，基层应急管理能力不足，韧性城市建设面临诸多挑战，需系统性提升风险防控和应急响应能力。</w:t>
      </w:r>
    </w:p>
    <w:p w14:paraId="4A25B535">
      <w:pPr>
        <w:pStyle w:val="2"/>
        <w:spacing w:after="0" w:line="560" w:lineRule="exact"/>
        <w:ind w:firstLine="643" w:firstLineChars="200"/>
        <w:rPr>
          <w:rFonts w:hint="default"/>
          <w:color w:val="auto"/>
          <w:highlight w:val="none"/>
        </w:rPr>
      </w:pPr>
      <w:r>
        <w:rPr>
          <w:rFonts w:hint="eastAsia" w:ascii="Times New Roman" w:hAnsi="Times New Roman" w:eastAsia="仿宋_GB2312"/>
          <w:b/>
          <w:bCs/>
          <w:color w:val="auto"/>
          <w:sz w:val="32"/>
          <w:szCs w:val="32"/>
          <w:highlight w:val="none"/>
        </w:rPr>
        <w:t>应急管理</w:t>
      </w:r>
      <w:r>
        <w:rPr>
          <w:rFonts w:hint="eastAsia" w:ascii="Times New Roman" w:hAnsi="Times New Roman" w:eastAsia="仿宋_GB2312"/>
          <w:b/>
          <w:bCs/>
          <w:color w:val="auto"/>
          <w:sz w:val="32"/>
          <w:szCs w:val="32"/>
          <w:highlight w:val="none"/>
          <w:lang w:val="en-US" w:eastAsia="zh-CN"/>
        </w:rPr>
        <w:t>科技赋能仍需加大。</w:t>
      </w:r>
      <w:r>
        <w:rPr>
          <w:rFonts w:hint="eastAsia" w:ascii="Times New Roman" w:hAnsi="Times New Roman" w:eastAsia="仿宋_GB2312"/>
          <w:color w:val="auto"/>
          <w:sz w:val="32"/>
          <w:szCs w:val="32"/>
          <w:highlight w:val="none"/>
        </w:rPr>
        <w:t>当前</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rPr>
        <w:t>区域应急管理仍较多依赖传统技术手段，在监测预警、信息发布、应急指挥等核心环节的信息化、数字化、智能化水平未能</w:t>
      </w:r>
      <w:r>
        <w:rPr>
          <w:rFonts w:hint="eastAsia" w:ascii="Times New Roman" w:hAnsi="Times New Roman" w:eastAsia="仿宋_GB2312"/>
          <w:color w:val="auto"/>
          <w:sz w:val="32"/>
          <w:szCs w:val="32"/>
          <w:highlight w:val="none"/>
          <w:lang w:val="en-US" w:eastAsia="zh-CN"/>
        </w:rPr>
        <w:t>完全</w:t>
      </w:r>
      <w:r>
        <w:rPr>
          <w:rFonts w:hint="eastAsia" w:ascii="Times New Roman" w:hAnsi="Times New Roman" w:eastAsia="仿宋_GB2312"/>
          <w:color w:val="auto"/>
          <w:sz w:val="32"/>
          <w:szCs w:val="32"/>
          <w:highlight w:val="none"/>
        </w:rPr>
        <w:t>适配现代化应急管理需求。基于人工智能、大数据、云计算等新技术手段的全区统一的应急管理综合监测、预警、指挥系统和应急管理信息共享平台尚未健全完善，各街乡、各部门科技信息化</w:t>
      </w:r>
      <w:r>
        <w:rPr>
          <w:rFonts w:hint="eastAsia" w:ascii="Times New Roman" w:hAnsi="Times New Roman" w:eastAsia="仿宋_GB2312"/>
          <w:color w:val="auto"/>
          <w:sz w:val="32"/>
          <w:szCs w:val="32"/>
          <w:highlight w:val="none"/>
          <w:lang w:val="en-US" w:eastAsia="zh-CN"/>
        </w:rPr>
        <w:t>建设不均衡，</w:t>
      </w:r>
      <w:r>
        <w:rPr>
          <w:rFonts w:hint="eastAsia" w:ascii="Times New Roman" w:hAnsi="Times New Roman" w:eastAsia="仿宋_GB2312"/>
          <w:color w:val="auto"/>
          <w:sz w:val="32"/>
          <w:szCs w:val="32"/>
          <w:highlight w:val="none"/>
        </w:rPr>
        <w:t>技术</w:t>
      </w:r>
      <w:r>
        <w:rPr>
          <w:rFonts w:hint="eastAsia" w:ascii="Times New Roman" w:hAnsi="Times New Roman" w:eastAsia="仿宋_GB2312"/>
          <w:color w:val="auto"/>
          <w:sz w:val="32"/>
          <w:szCs w:val="32"/>
          <w:highlight w:val="none"/>
          <w:lang w:val="en-US" w:eastAsia="zh-CN"/>
        </w:rPr>
        <w:t>支撑能力与</w:t>
      </w:r>
      <w:r>
        <w:rPr>
          <w:rFonts w:hint="eastAsia" w:ascii="Times New Roman" w:hAnsi="Times New Roman" w:eastAsia="仿宋_GB2312"/>
          <w:color w:val="auto"/>
          <w:sz w:val="32"/>
          <w:szCs w:val="32"/>
          <w:highlight w:val="none"/>
        </w:rPr>
        <w:t>数据</w:t>
      </w:r>
      <w:r>
        <w:rPr>
          <w:rFonts w:hint="eastAsia" w:ascii="Times New Roman" w:hAnsi="Times New Roman" w:eastAsia="仿宋_GB2312"/>
          <w:color w:val="auto"/>
          <w:sz w:val="32"/>
          <w:szCs w:val="32"/>
          <w:highlight w:val="none"/>
          <w:lang w:val="en-US" w:eastAsia="zh-CN"/>
        </w:rPr>
        <w:t>治理水平</w:t>
      </w:r>
      <w:r>
        <w:rPr>
          <w:rFonts w:hint="eastAsia" w:ascii="Times New Roman" w:hAnsi="Times New Roman" w:eastAsia="仿宋_GB2312"/>
          <w:color w:val="auto"/>
          <w:sz w:val="32"/>
          <w:szCs w:val="32"/>
          <w:highlight w:val="none"/>
        </w:rPr>
        <w:t>参差不齐，各项信息数据互联互通程度不够。</w:t>
      </w:r>
      <w:r>
        <w:rPr>
          <w:rFonts w:hint="eastAsia" w:ascii="Times New Roman" w:hAnsi="Times New Roman" w:eastAsia="仿宋_GB2312" w:cs="Times New Roman"/>
          <w:color w:val="auto"/>
          <w:sz w:val="32"/>
          <w:szCs w:val="32"/>
          <w:highlight w:val="none"/>
        </w:rPr>
        <w:t>面对新型风险，技术应用深度有限，智慧应急体系支撑不足，难以适应现代化应急管理的复杂需求。</w:t>
      </w:r>
    </w:p>
    <w:p w14:paraId="18E4476F">
      <w:pPr>
        <w:pStyle w:val="2"/>
        <w:spacing w:line="560" w:lineRule="exact"/>
        <w:ind w:firstLine="643" w:firstLineChars="200"/>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rPr>
        <w:t>应急保障基础</w:t>
      </w:r>
      <w:r>
        <w:rPr>
          <w:rFonts w:hint="eastAsia" w:ascii="Times New Roman" w:hAnsi="Times New Roman" w:eastAsia="仿宋_GB2312" w:cs="Times New Roman"/>
          <w:b/>
          <w:bCs/>
          <w:color w:val="auto"/>
          <w:sz w:val="32"/>
          <w:szCs w:val="32"/>
          <w:highlight w:val="none"/>
          <w:lang w:val="en-US" w:eastAsia="zh-CN"/>
        </w:rPr>
        <w:t>亟待夯实补强</w:t>
      </w:r>
      <w:r>
        <w:rPr>
          <w:rFonts w:hint="eastAsia"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rPr>
        <w:t>朝阳区应急管理工作</w:t>
      </w:r>
      <w:r>
        <w:rPr>
          <w:rFonts w:hint="eastAsia" w:ascii="Times New Roman" w:hAnsi="Times New Roman" w:eastAsia="仿宋_GB2312" w:cs="Times New Roman"/>
          <w:color w:val="auto"/>
          <w:sz w:val="32"/>
          <w:szCs w:val="32"/>
          <w:highlight w:val="none"/>
          <w:lang w:val="en-US" w:eastAsia="zh-CN"/>
        </w:rPr>
        <w:t>覆盖</w:t>
      </w:r>
      <w:r>
        <w:rPr>
          <w:rFonts w:hint="eastAsia" w:ascii="Times New Roman" w:hAnsi="Times New Roman" w:eastAsia="仿宋_GB2312" w:cs="Times New Roman"/>
          <w:color w:val="auto"/>
          <w:sz w:val="32"/>
          <w:szCs w:val="32"/>
          <w:highlight w:val="none"/>
        </w:rPr>
        <w:t>多部门、</w:t>
      </w:r>
      <w:r>
        <w:rPr>
          <w:rFonts w:hint="eastAsia" w:ascii="Times New Roman" w:hAnsi="Times New Roman" w:eastAsia="仿宋_GB2312" w:cs="Times New Roman"/>
          <w:color w:val="auto"/>
          <w:sz w:val="32"/>
          <w:szCs w:val="32"/>
          <w:highlight w:val="none"/>
          <w:lang w:val="en-US" w:eastAsia="zh-CN"/>
        </w:rPr>
        <w:t>多</w:t>
      </w:r>
      <w:r>
        <w:rPr>
          <w:rFonts w:hint="eastAsia" w:ascii="Times New Roman" w:hAnsi="Times New Roman" w:eastAsia="仿宋_GB2312" w:cs="Times New Roman"/>
          <w:color w:val="auto"/>
          <w:sz w:val="32"/>
          <w:szCs w:val="32"/>
          <w:highlight w:val="none"/>
        </w:rPr>
        <w:t>领域，</w:t>
      </w:r>
      <w:r>
        <w:rPr>
          <w:rFonts w:hint="eastAsia" w:ascii="Times New Roman" w:hAnsi="Times New Roman" w:eastAsia="仿宋_GB2312" w:cs="Times New Roman"/>
          <w:color w:val="auto"/>
          <w:sz w:val="32"/>
          <w:szCs w:val="32"/>
          <w:highlight w:val="none"/>
          <w:lang w:val="en-US" w:eastAsia="zh-CN"/>
        </w:rPr>
        <w:t>跨部门</w:t>
      </w:r>
      <w:r>
        <w:rPr>
          <w:rFonts w:hint="eastAsia" w:ascii="Times New Roman" w:hAnsi="Times New Roman" w:eastAsia="仿宋_GB2312" w:cs="Times New Roman"/>
          <w:color w:val="auto"/>
          <w:sz w:val="32"/>
          <w:szCs w:val="32"/>
          <w:highlight w:val="none"/>
        </w:rPr>
        <w:t>信息共享、资源整合</w:t>
      </w:r>
      <w:r>
        <w:rPr>
          <w:rFonts w:hint="eastAsia" w:ascii="Times New Roman" w:hAnsi="Times New Roman" w:eastAsia="仿宋_GB2312" w:cs="Times New Roman"/>
          <w:color w:val="auto"/>
          <w:sz w:val="32"/>
          <w:szCs w:val="32"/>
          <w:highlight w:val="none"/>
          <w:lang w:val="en-US" w:eastAsia="zh-CN"/>
        </w:rPr>
        <w:t>与</w:t>
      </w:r>
      <w:r>
        <w:rPr>
          <w:rFonts w:hint="eastAsia" w:ascii="Times New Roman" w:hAnsi="Times New Roman" w:eastAsia="仿宋_GB2312" w:cs="Times New Roman"/>
          <w:color w:val="auto"/>
          <w:sz w:val="32"/>
          <w:szCs w:val="32"/>
          <w:highlight w:val="none"/>
        </w:rPr>
        <w:t>协同联动</w:t>
      </w:r>
      <w:r>
        <w:rPr>
          <w:rFonts w:hint="eastAsia" w:ascii="Times New Roman" w:hAnsi="Times New Roman" w:eastAsia="仿宋_GB2312" w:cs="Times New Roman"/>
          <w:color w:val="auto"/>
          <w:sz w:val="32"/>
          <w:szCs w:val="32"/>
          <w:highlight w:val="none"/>
          <w:lang w:val="en-US" w:eastAsia="zh-CN"/>
        </w:rPr>
        <w:t>的一体化机制尚未完全形成，统筹推进效能仍有一定提升空间。</w:t>
      </w:r>
      <w:r>
        <w:rPr>
          <w:rFonts w:hint="eastAsia" w:ascii="Times New Roman" w:hAnsi="Times New Roman" w:eastAsia="仿宋_GB2312" w:cs="Times New Roman"/>
          <w:color w:val="auto"/>
          <w:sz w:val="32"/>
          <w:szCs w:val="32"/>
          <w:highlight w:val="none"/>
        </w:rPr>
        <w:t>应急物资供给保障不足，基层应急管理能力相对薄弱，社会力量参与应急管理的机制尚不完善，公众安全意识和自救互救能力有待提高。</w:t>
      </w:r>
      <w:r>
        <w:rPr>
          <w:rFonts w:hint="eastAsia" w:ascii="Times New Roman" w:hAnsi="Times New Roman" w:eastAsia="仿宋_GB2312" w:cs="Times New Roman"/>
          <w:color w:val="auto"/>
          <w:sz w:val="32"/>
          <w:szCs w:val="32"/>
          <w:highlight w:val="none"/>
          <w:lang w:val="en-US" w:eastAsia="zh-CN"/>
        </w:rPr>
        <w:t>尤其，基层应急管理队伍建设仍需加强，一方面，</w:t>
      </w:r>
      <w:r>
        <w:rPr>
          <w:rFonts w:hint="eastAsia" w:ascii="Times New Roman" w:hAnsi="Times New Roman" w:eastAsia="仿宋_GB2312" w:cs="Times New Roman"/>
          <w:color w:val="auto"/>
          <w:sz w:val="32"/>
          <w:szCs w:val="32"/>
          <w:highlight w:val="none"/>
        </w:rPr>
        <w:t>现有队伍人员结构较为复杂，专业素养存在差异，多数为兼职人员，缺乏系统化培训与持续专业学习，导致业务能力与应急处置水平受限。另一方面，专业人才储备不足，具备专业知识与实操技能的骨干力量匮乏，应对</w:t>
      </w:r>
      <w:r>
        <w:rPr>
          <w:rFonts w:hint="eastAsia" w:ascii="Times New Roman" w:hAnsi="Times New Roman" w:eastAsia="仿宋_GB2312" w:cs="Times New Roman"/>
          <w:color w:val="auto"/>
          <w:sz w:val="32"/>
          <w:szCs w:val="32"/>
          <w:highlight w:val="none"/>
          <w:lang w:eastAsia="zh-CN"/>
        </w:rPr>
        <w:t>各类</w:t>
      </w:r>
      <w:r>
        <w:rPr>
          <w:rFonts w:hint="eastAsia" w:ascii="Times New Roman" w:hAnsi="Times New Roman" w:eastAsia="仿宋_GB2312" w:cs="Times New Roman"/>
          <w:color w:val="auto"/>
          <w:sz w:val="32"/>
          <w:szCs w:val="32"/>
          <w:highlight w:val="none"/>
        </w:rPr>
        <w:t>复杂突发</w:t>
      </w:r>
      <w:r>
        <w:rPr>
          <w:rFonts w:hint="eastAsia" w:ascii="Times New Roman" w:hAnsi="Times New Roman" w:eastAsia="仿宋_GB2312" w:cs="Times New Roman"/>
          <w:color w:val="auto"/>
          <w:sz w:val="32"/>
          <w:szCs w:val="32"/>
          <w:highlight w:val="none"/>
          <w:lang w:eastAsia="zh-CN"/>
        </w:rPr>
        <w:t>情况的能力有待提升</w:t>
      </w:r>
      <w:r>
        <w:rPr>
          <w:rFonts w:hint="eastAsia" w:ascii="Times New Roman" w:hAnsi="Times New Roman" w:eastAsia="仿宋_GB2312" w:cs="Times New Roman"/>
          <w:color w:val="auto"/>
          <w:sz w:val="32"/>
          <w:szCs w:val="32"/>
          <w:highlight w:val="none"/>
        </w:rPr>
        <w:t>。</w:t>
      </w:r>
    </w:p>
    <w:p w14:paraId="1817046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54" w:name="_Toc21674"/>
      <w:bookmarkStart w:id="55" w:name="_Toc18218"/>
      <w:bookmarkStart w:id="56" w:name="_Toc9029"/>
      <w:bookmarkStart w:id="57" w:name="_Toc15614"/>
      <w:bookmarkStart w:id="58" w:name="_Toc6164"/>
      <w:bookmarkStart w:id="59" w:name="_Toc6347"/>
      <w:bookmarkStart w:id="60" w:name="_Toc25792"/>
      <w:bookmarkStart w:id="61" w:name="_Toc193962935"/>
      <w:bookmarkStart w:id="62" w:name="_Toc6863"/>
      <w:bookmarkStart w:id="63" w:name="_Toc3344"/>
      <w:bookmarkStart w:id="64" w:name="_Toc20401"/>
      <w:bookmarkStart w:id="65" w:name="_Toc3741"/>
      <w:bookmarkStart w:id="66" w:name="_Toc5549"/>
      <w:bookmarkStart w:id="67" w:name="_Toc19307"/>
      <w:bookmarkStart w:id="68" w:name="_Toc29579"/>
      <w:bookmarkStart w:id="69" w:name="_Toc29105"/>
      <w:bookmarkStart w:id="70" w:name="_Toc13549"/>
      <w:bookmarkStart w:id="71" w:name="_Toc12489"/>
      <w:r>
        <w:rPr>
          <w:rFonts w:hint="eastAsia" w:ascii="Times New Roman" w:hAnsi="Times New Roman" w:eastAsia="黑体" w:cs="黑体"/>
          <w:color w:val="auto"/>
          <w:kern w:val="0"/>
          <w:sz w:val="32"/>
          <w:szCs w:val="32"/>
          <w:highlight w:val="none"/>
          <w:lang w:val="en-US" w:eastAsia="zh-CN" w:bidi="ar-SA"/>
        </w:rPr>
        <w:t>第二章 面临的机遇</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7BFE227D">
      <w:pPr>
        <w:pStyle w:val="2"/>
        <w:spacing w:after="0" w:line="560" w:lineRule="exact"/>
        <w:ind w:firstLine="640" w:firstLineChars="200"/>
        <w:rPr>
          <w:rFonts w:ascii="Times New Roman" w:hAnsi="Times New Roman" w:eastAsia="仿宋_GB2312" w:cs="Times New Roman"/>
          <w:b/>
          <w:bCs/>
          <w:color w:val="auto"/>
          <w:sz w:val="32"/>
          <w:szCs w:val="32"/>
          <w:highlight w:val="none"/>
        </w:rPr>
      </w:pPr>
      <w:r>
        <w:rPr>
          <w:rFonts w:hint="eastAsia" w:ascii="Times New Roman" w:hAnsi="Times New Roman" w:eastAsia="仿宋_GB2312" w:cs="Times New Roman"/>
          <w:color w:val="auto"/>
          <w:sz w:val="32"/>
          <w:szCs w:val="32"/>
          <w:highlight w:val="none"/>
        </w:rPr>
        <w:t>“十五五”时期是基本实现社会主义现代化夯实基础、全面发力的关键</w:t>
      </w:r>
      <w:r>
        <w:rPr>
          <w:rFonts w:hint="eastAsia" w:ascii="Times New Roman" w:hAnsi="Times New Roman" w:eastAsia="仿宋_GB2312" w:cs="Times New Roman"/>
          <w:color w:val="auto"/>
          <w:sz w:val="32"/>
          <w:szCs w:val="32"/>
          <w:highlight w:val="none"/>
          <w:lang w:val="en-US" w:eastAsia="zh-CN"/>
        </w:rPr>
        <w:t>时期</w:t>
      </w:r>
      <w:r>
        <w:rPr>
          <w:rFonts w:hint="eastAsia" w:ascii="Times New Roman" w:hAnsi="Times New Roman" w:eastAsia="仿宋_GB2312" w:cs="Times New Roman"/>
          <w:color w:val="auto"/>
          <w:sz w:val="32"/>
          <w:szCs w:val="32"/>
          <w:highlight w:val="none"/>
        </w:rPr>
        <w:t>，是北京率先基本实现社会主义现代化承前启后的关键五年，是朝阳建设具有国际影响力的中国式现代化强区的重要五年</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也是全面推进朝阳区应急管理体系和能力现代化建设的攻坚期，应急管理工作面临着前所未有的历史机遇。</w:t>
      </w:r>
    </w:p>
    <w:p w14:paraId="07837AE8">
      <w:pPr>
        <w:pStyle w:val="2"/>
        <w:spacing w:after="0" w:line="560" w:lineRule="exact"/>
        <w:ind w:firstLine="643"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rPr>
        <w:t>国家层面高度重视，为应急管理发展提供方向指引。</w:t>
      </w:r>
      <w:r>
        <w:rPr>
          <w:rFonts w:hint="eastAsia" w:ascii="Times New Roman" w:hAnsi="Times New Roman" w:eastAsia="仿宋_GB2312" w:cs="Times New Roman"/>
          <w:color w:val="auto"/>
          <w:sz w:val="32"/>
          <w:szCs w:val="32"/>
          <w:highlight w:val="none"/>
        </w:rPr>
        <w:t>国家高度重视应急管理工作，将其纳入国家治理体系和治理能力现代化建设的重要内容。习近平总书记对应急管理作出了一系列重要指示和批示，为应急管理工作提供了明确的方向和目标。党的二十届三中全会指出“完善大安全大应急框架下应急指挥机制，强化基层应急基础和力量，提高防灾减灾救灾能力。”中办、国办印发《关于进一步提升基层应急管理能力的意见》，明确了提升基层应急管理能力的目标任务和工作要求</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共同构成了新时代应急管理建设的重要指导方针。</w:t>
      </w:r>
    </w:p>
    <w:p w14:paraId="45BF0F3C">
      <w:pPr>
        <w:pStyle w:val="2"/>
        <w:spacing w:after="0" w:line="560" w:lineRule="exact"/>
        <w:ind w:firstLine="643"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szCs w:val="32"/>
          <w:highlight w:val="none"/>
        </w:rPr>
        <w:t>科技赋能应急管理，为提升应急管理能力提供强大助力。</w:t>
      </w:r>
      <w:r>
        <w:rPr>
          <w:rFonts w:hint="eastAsia" w:ascii="Times New Roman" w:hAnsi="Times New Roman" w:eastAsia="仿宋_GB2312" w:cs="Times New Roman"/>
          <w:color w:val="auto"/>
          <w:sz w:val="32"/>
          <w:szCs w:val="32"/>
          <w:highlight w:val="none"/>
        </w:rPr>
        <w:t>随着大数据、人工智能、物联网等为代表的新一代信息技术的普遍和深度应用，能有效提高应急管理的科学化、专业化、智能化、精细化水平，为风险监测预警、应急指挥调度、救援力量部署等提供了有力支撑。此外，</w:t>
      </w:r>
      <w:r>
        <w:rPr>
          <w:rFonts w:hint="eastAsia" w:ascii="Times New Roman" w:hAnsi="Times New Roman" w:eastAsia="仿宋_GB2312" w:cs="Times New Roman"/>
          <w:color w:val="auto"/>
          <w:sz w:val="32"/>
          <w:szCs w:val="32"/>
          <w:highlight w:val="none"/>
          <w:lang w:val="en-US" w:eastAsia="zh-CN"/>
        </w:rPr>
        <w:t>朝阳区智慧建设的</w:t>
      </w:r>
      <w:r>
        <w:rPr>
          <w:rFonts w:hint="eastAsia" w:ascii="Times New Roman" w:hAnsi="Times New Roman" w:eastAsia="仿宋_GB2312" w:cs="Times New Roman"/>
          <w:color w:val="auto"/>
          <w:sz w:val="32"/>
          <w:szCs w:val="32"/>
          <w:highlight w:val="none"/>
        </w:rPr>
        <w:t>深入推进，进一步打通数据赋能，也为应急管理数字化治理提供坚实保障。</w:t>
      </w:r>
    </w:p>
    <w:p w14:paraId="76C8539E">
      <w:pPr>
        <w:pStyle w:val="2"/>
        <w:spacing w:after="0" w:line="560" w:lineRule="exact"/>
        <w:ind w:firstLine="643"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b/>
          <w:bCs w:val="0"/>
          <w:color w:val="auto"/>
          <w:sz w:val="32"/>
          <w:szCs w:val="32"/>
          <w:highlight w:val="none"/>
          <w:lang w:val="en-US" w:eastAsia="zh-CN"/>
        </w:rPr>
        <w:t>大抓基层导向鲜明，为守住城市安全底线锻造坚实根基。</w:t>
      </w:r>
      <w:r>
        <w:rPr>
          <w:rFonts w:hint="eastAsia" w:ascii="Times New Roman" w:hAnsi="Times New Roman" w:eastAsia="仿宋_GB2312"/>
          <w:bCs/>
          <w:color w:val="auto"/>
          <w:sz w:val="32"/>
          <w:szCs w:val="32"/>
          <w:highlight w:val="none"/>
        </w:rPr>
        <w:t>中办、国办印发的《关于进一步提升基层应急管理能力的意见》</w:t>
      </w:r>
      <w:r>
        <w:rPr>
          <w:rFonts w:hint="eastAsia" w:ascii="Times New Roman" w:hAnsi="Times New Roman" w:eastAsia="仿宋_GB2312"/>
          <w:bCs/>
          <w:color w:val="auto"/>
          <w:sz w:val="32"/>
          <w:szCs w:val="32"/>
          <w:highlight w:val="none"/>
          <w:lang w:eastAsia="zh-CN"/>
        </w:rPr>
        <w:t>和</w:t>
      </w:r>
      <w:r>
        <w:rPr>
          <w:rFonts w:hint="eastAsia" w:ascii="Times New Roman" w:hAnsi="Times New Roman" w:eastAsia="仿宋_GB2312"/>
          <w:bCs/>
          <w:color w:val="auto"/>
          <w:sz w:val="32"/>
          <w:szCs w:val="32"/>
          <w:highlight w:val="none"/>
        </w:rPr>
        <w:t>《中共北京市委办公厅、北京市人民政府办公厅关于进一步加强基层应急管理能力建设的实施意见》，为大力提升基层应急管理能力指明了方向，大抓基层鲜明导向对</w:t>
      </w:r>
      <w:r>
        <w:rPr>
          <w:rFonts w:hint="eastAsia" w:ascii="Times New Roman" w:hAnsi="Times New Roman" w:eastAsia="仿宋_GB2312"/>
          <w:bCs/>
          <w:color w:val="auto"/>
          <w:sz w:val="32"/>
          <w:szCs w:val="32"/>
          <w:highlight w:val="none"/>
          <w:lang w:eastAsia="zh-CN"/>
        </w:rPr>
        <w:t>应急管理</w:t>
      </w:r>
      <w:r>
        <w:rPr>
          <w:rFonts w:hint="eastAsia" w:ascii="Times New Roman" w:hAnsi="Times New Roman" w:eastAsia="仿宋_GB2312"/>
          <w:bCs/>
          <w:color w:val="auto"/>
          <w:sz w:val="32"/>
          <w:szCs w:val="32"/>
          <w:highlight w:val="none"/>
        </w:rPr>
        <w:t>工作带来新的发展机遇</w:t>
      </w:r>
      <w:r>
        <w:rPr>
          <w:rFonts w:hint="eastAsia" w:ascii="Times New Roman" w:hAnsi="Times New Roman" w:eastAsia="仿宋_GB2312"/>
          <w:bCs/>
          <w:color w:val="auto"/>
          <w:sz w:val="32"/>
          <w:szCs w:val="32"/>
          <w:highlight w:val="none"/>
          <w:lang w:eastAsia="zh-CN"/>
        </w:rPr>
        <w:t>。</w:t>
      </w:r>
      <w:r>
        <w:rPr>
          <w:rFonts w:hint="eastAsia" w:ascii="Times New Roman" w:hAnsi="Times New Roman" w:eastAsia="仿宋_GB2312" w:cs="Times New Roman"/>
          <w:color w:val="auto"/>
          <w:sz w:val="32"/>
          <w:szCs w:val="32"/>
          <w:highlight w:val="none"/>
        </w:rPr>
        <w:t>基层处于应急管理第一线，是防止“小险变大险、小灾成大灾”的关键环节，是突发事件处置的第一现场和前沿阵地。</w:t>
      </w:r>
    </w:p>
    <w:p w14:paraId="2A8F9069">
      <w:pPr>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br w:type="page"/>
      </w:r>
    </w:p>
    <w:p w14:paraId="30DB9B5C">
      <w:pPr>
        <w:pStyle w:val="28"/>
        <w:pBdr>
          <w:top w:val="none" w:color="auto" w:sz="0" w:space="1"/>
          <w:left w:val="none" w:color="auto" w:sz="0" w:space="4"/>
          <w:bottom w:val="none" w:color="auto" w:sz="0" w:space="1"/>
          <w:right w:val="none" w:color="auto" w:sz="0" w:space="4"/>
        </w:pBdr>
        <w:suppressAutoHyphens/>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lang w:val="en-US" w:eastAsia="zh-CN"/>
        </w:rPr>
      </w:pPr>
      <w:bookmarkStart w:id="72" w:name="_Toc10068"/>
      <w:bookmarkStart w:id="73" w:name="_Toc7543"/>
      <w:bookmarkStart w:id="74" w:name="_Toc30992"/>
      <w:bookmarkStart w:id="75" w:name="_Toc6376"/>
      <w:bookmarkStart w:id="76" w:name="_Toc4357"/>
      <w:bookmarkStart w:id="77" w:name="_Toc23513"/>
      <w:bookmarkStart w:id="78" w:name="_Toc19198"/>
      <w:bookmarkStart w:id="79" w:name="_Toc27475"/>
      <w:bookmarkStart w:id="80" w:name="_Toc32566"/>
      <w:bookmarkStart w:id="81" w:name="_Toc4013"/>
      <w:bookmarkStart w:id="82" w:name="_Toc14688"/>
      <w:bookmarkStart w:id="83" w:name="_Toc13718"/>
      <w:bookmarkStart w:id="84" w:name="_Toc30360"/>
      <w:bookmarkStart w:id="85" w:name="_Toc9431"/>
      <w:bookmarkStart w:id="86" w:name="_Toc9184"/>
      <w:bookmarkStart w:id="87" w:name="_Toc1080"/>
      <w:bookmarkStart w:id="88" w:name="_Toc25242"/>
      <w:r>
        <w:rPr>
          <w:rFonts w:hint="eastAsia" w:ascii="Times New Roman" w:hAnsi="Times New Roman" w:eastAsia="方正小标宋简体" w:cs="Times New Roman"/>
          <w:color w:val="auto"/>
          <w:kern w:val="44"/>
          <w:sz w:val="36"/>
          <w:szCs w:val="36"/>
          <w:highlight w:val="none"/>
          <w:lang w:val="en-US" w:eastAsia="zh-CN"/>
        </w:rPr>
        <w:t>第二篇 指导思想和规划目标</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6B0D64E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89" w:name="_Toc15164"/>
      <w:bookmarkStart w:id="90" w:name="_Toc193962942"/>
      <w:bookmarkStart w:id="91" w:name="_Toc26066"/>
      <w:bookmarkStart w:id="92" w:name="_Toc17256"/>
      <w:bookmarkStart w:id="93" w:name="_Toc25603"/>
      <w:bookmarkStart w:id="94" w:name="_Toc17935"/>
      <w:bookmarkStart w:id="95" w:name="_Toc25616"/>
      <w:bookmarkStart w:id="96" w:name="_Toc9399"/>
      <w:bookmarkStart w:id="97" w:name="_Toc20281"/>
      <w:bookmarkStart w:id="98" w:name="_Toc10590"/>
      <w:bookmarkStart w:id="99" w:name="_Toc14586"/>
      <w:bookmarkStart w:id="100" w:name="_Toc25067"/>
      <w:bookmarkStart w:id="101" w:name="_Toc1598"/>
      <w:bookmarkStart w:id="102" w:name="_Toc10037"/>
      <w:bookmarkStart w:id="103" w:name="_Toc20160"/>
      <w:bookmarkStart w:id="104" w:name="_Toc24254"/>
      <w:bookmarkStart w:id="105" w:name="_Toc27672"/>
      <w:bookmarkStart w:id="106" w:name="_Toc21846"/>
      <w:r>
        <w:rPr>
          <w:rFonts w:hint="eastAsia" w:ascii="Times New Roman" w:hAnsi="Times New Roman" w:eastAsia="黑体" w:cs="黑体"/>
          <w:color w:val="auto"/>
          <w:kern w:val="0"/>
          <w:sz w:val="32"/>
          <w:szCs w:val="32"/>
          <w:highlight w:val="none"/>
          <w:lang w:val="en-US" w:eastAsia="zh-CN" w:bidi="ar-SA"/>
        </w:rPr>
        <w:t>第一章 指导思想</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5D235349">
      <w:pPr>
        <w:pStyle w:val="2"/>
        <w:spacing w:after="0" w:line="56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以习近平新时代中国特色社会主义思想为指导，</w:t>
      </w:r>
      <w:r>
        <w:rPr>
          <w:rFonts w:hint="eastAsia" w:ascii="Times New Roman" w:hAnsi="Times New Roman" w:eastAsia="仿宋_GB2312" w:cs="Times New Roman"/>
          <w:color w:val="auto"/>
          <w:sz w:val="32"/>
          <w:szCs w:val="32"/>
          <w:highlight w:val="none"/>
          <w:lang w:val="en-US" w:eastAsia="zh-CN"/>
        </w:rPr>
        <w:t>全面</w:t>
      </w:r>
      <w:r>
        <w:rPr>
          <w:rFonts w:hint="eastAsia" w:ascii="Times New Roman" w:hAnsi="Times New Roman" w:eastAsia="仿宋_GB2312" w:cs="Times New Roman"/>
          <w:color w:val="auto"/>
          <w:sz w:val="32"/>
          <w:szCs w:val="32"/>
          <w:highlight w:val="none"/>
        </w:rPr>
        <w:t>贯彻党的二十大和二十届历次全会精神，深入</w:t>
      </w:r>
      <w:r>
        <w:rPr>
          <w:rFonts w:hint="eastAsia" w:ascii="Times New Roman" w:hAnsi="Times New Roman" w:eastAsia="仿宋_GB2312" w:cs="Times New Roman"/>
          <w:color w:val="auto"/>
          <w:sz w:val="32"/>
          <w:szCs w:val="32"/>
          <w:highlight w:val="none"/>
          <w:lang w:val="en-US" w:eastAsia="zh-CN"/>
        </w:rPr>
        <w:t>落实</w:t>
      </w:r>
      <w:r>
        <w:rPr>
          <w:rFonts w:hint="eastAsia" w:ascii="Times New Roman" w:hAnsi="Times New Roman" w:eastAsia="仿宋_GB2312" w:cs="Times New Roman"/>
          <w:color w:val="auto"/>
          <w:sz w:val="32"/>
          <w:szCs w:val="32"/>
          <w:highlight w:val="none"/>
        </w:rPr>
        <w:t>习近平总书记</w:t>
      </w:r>
      <w:r>
        <w:rPr>
          <w:rFonts w:hint="eastAsia" w:ascii="Times New Roman" w:hAnsi="Times New Roman" w:eastAsia="仿宋_GB2312" w:cs="Times New Roman"/>
          <w:color w:val="auto"/>
          <w:sz w:val="32"/>
          <w:szCs w:val="32"/>
          <w:highlight w:val="none"/>
          <w:lang w:val="en-US" w:eastAsia="zh-CN"/>
        </w:rPr>
        <w:t>对北京特别是对</w:t>
      </w:r>
      <w:r>
        <w:rPr>
          <w:rFonts w:hint="eastAsia" w:ascii="Times New Roman" w:hAnsi="Times New Roman" w:eastAsia="仿宋_GB2312" w:cs="Times New Roman"/>
          <w:color w:val="auto"/>
          <w:sz w:val="32"/>
          <w:szCs w:val="32"/>
          <w:highlight w:val="none"/>
        </w:rPr>
        <w:t>应急管理工作的一系列重要讲话精神，完整准确全面贯彻新发展理念，</w:t>
      </w:r>
      <w:r>
        <w:rPr>
          <w:rFonts w:hint="eastAsia" w:ascii="Times New Roman" w:hAnsi="Times New Roman" w:eastAsia="仿宋_GB2312" w:cs="Times New Roman"/>
          <w:color w:val="auto"/>
          <w:sz w:val="32"/>
          <w:szCs w:val="32"/>
          <w:highlight w:val="none"/>
          <w:lang w:val="en-US" w:eastAsia="zh-CN"/>
        </w:rPr>
        <w:t>坚持稳中求进工作总基调，坚持人民至上、生命至上，</w:t>
      </w:r>
      <w:r>
        <w:rPr>
          <w:rFonts w:hint="eastAsia" w:ascii="Times New Roman" w:hAnsi="Times New Roman" w:eastAsia="仿宋_GB2312" w:cs="Times New Roman"/>
          <w:color w:val="auto"/>
          <w:sz w:val="32"/>
          <w:szCs w:val="32"/>
          <w:highlight w:val="none"/>
        </w:rPr>
        <w:t>坚定不移贯彻总体国家安全观，统筹发展和安全，</w:t>
      </w:r>
      <w:r>
        <w:rPr>
          <w:rFonts w:hint="eastAsia" w:ascii="Times New Roman" w:hAnsi="Times New Roman" w:eastAsia="仿宋_GB2312" w:cs="Times New Roman"/>
          <w:color w:val="auto"/>
          <w:sz w:val="32"/>
          <w:szCs w:val="32"/>
          <w:highlight w:val="none"/>
          <w:lang w:val="en-US" w:eastAsia="zh-CN"/>
        </w:rPr>
        <w:t>加强</w:t>
      </w:r>
      <w:r>
        <w:rPr>
          <w:rFonts w:hint="eastAsia" w:ascii="Times New Roman" w:hAnsi="Times New Roman" w:eastAsia="仿宋_GB2312" w:cs="Times New Roman"/>
          <w:color w:val="auto"/>
          <w:sz w:val="32"/>
          <w:szCs w:val="32"/>
          <w:highlight w:val="none"/>
        </w:rPr>
        <w:t>“四个中心”功能建设，提高“四个服务”水平，</w:t>
      </w:r>
      <w:r>
        <w:rPr>
          <w:rFonts w:hint="eastAsia" w:ascii="Times New Roman" w:hAnsi="Times New Roman" w:eastAsia="仿宋_GB2312" w:cs="Times New Roman"/>
          <w:color w:val="auto"/>
          <w:sz w:val="32"/>
          <w:szCs w:val="32"/>
          <w:highlight w:val="none"/>
          <w:lang w:val="en-US" w:eastAsia="zh-CN"/>
        </w:rPr>
        <w:t>系统</w:t>
      </w:r>
      <w:bookmarkStart w:id="107" w:name="OLE_LINK38"/>
      <w:r>
        <w:rPr>
          <w:rFonts w:hint="eastAsia" w:ascii="Times New Roman" w:hAnsi="Times New Roman" w:eastAsia="仿宋_GB2312" w:cs="Times New Roman"/>
          <w:color w:val="auto"/>
          <w:sz w:val="32"/>
          <w:szCs w:val="32"/>
          <w:highlight w:val="none"/>
          <w:lang w:val="en-US" w:eastAsia="zh-CN"/>
        </w:rPr>
        <w:t>推进</w:t>
      </w:r>
      <w:r>
        <w:rPr>
          <w:rFonts w:hint="eastAsia" w:ascii="Times New Roman" w:hAnsi="Times New Roman" w:eastAsia="仿宋_GB2312" w:cs="Times New Roman"/>
          <w:color w:val="auto"/>
          <w:sz w:val="32"/>
          <w:szCs w:val="32"/>
          <w:highlight w:val="none"/>
        </w:rPr>
        <w:t>应急管理体系和能力现代化</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加快构建</w:t>
      </w:r>
      <w:r>
        <w:rPr>
          <w:rFonts w:hint="eastAsia" w:ascii="Times New Roman" w:hAnsi="Times New Roman" w:eastAsia="仿宋_GB2312" w:cs="Times New Roman"/>
          <w:color w:val="auto"/>
          <w:sz w:val="32"/>
          <w:szCs w:val="32"/>
          <w:highlight w:val="none"/>
        </w:rPr>
        <w:t>“大安全大应急”</w:t>
      </w:r>
      <w:r>
        <w:rPr>
          <w:rFonts w:hint="eastAsia" w:ascii="Times New Roman" w:hAnsi="Times New Roman" w:eastAsia="仿宋_GB2312" w:cs="Times New Roman"/>
          <w:color w:val="auto"/>
          <w:sz w:val="32"/>
          <w:szCs w:val="32"/>
          <w:highlight w:val="none"/>
          <w:lang w:val="en-US" w:eastAsia="zh-CN"/>
        </w:rPr>
        <w:t>工作格局</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不断提升</w:t>
      </w:r>
      <w:r>
        <w:rPr>
          <w:rFonts w:hint="eastAsia" w:ascii="Times New Roman" w:hAnsi="Times New Roman" w:eastAsia="仿宋_GB2312" w:cs="Times New Roman"/>
          <w:color w:val="auto"/>
          <w:sz w:val="32"/>
          <w:szCs w:val="32"/>
          <w:highlight w:val="none"/>
        </w:rPr>
        <w:t>社会治理和公共安全治理水平</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持续增强</w:t>
      </w:r>
      <w:r>
        <w:rPr>
          <w:rFonts w:hint="eastAsia" w:ascii="Times New Roman" w:hAnsi="Times New Roman" w:eastAsia="仿宋_GB2312" w:cs="Times New Roman"/>
          <w:color w:val="auto"/>
          <w:sz w:val="32"/>
          <w:szCs w:val="32"/>
          <w:highlight w:val="none"/>
        </w:rPr>
        <w:t>重大安全风险防范化解水平，为</w:t>
      </w:r>
      <w:r>
        <w:rPr>
          <w:rFonts w:hint="eastAsia" w:ascii="Times New Roman" w:hAnsi="Times New Roman" w:eastAsia="仿宋_GB2312" w:cs="Times New Roman"/>
          <w:color w:val="auto"/>
          <w:sz w:val="32"/>
          <w:szCs w:val="32"/>
          <w:highlight w:val="none"/>
          <w:lang w:eastAsia="zh-CN"/>
        </w:rPr>
        <w:t>提升“五区”功能、</w:t>
      </w:r>
      <w:r>
        <w:rPr>
          <w:rFonts w:hint="eastAsia" w:ascii="Times New Roman" w:hAnsi="Times New Roman" w:eastAsia="仿宋_GB2312" w:cs="Times New Roman"/>
          <w:color w:val="auto"/>
          <w:sz w:val="32"/>
          <w:szCs w:val="32"/>
          <w:highlight w:val="none"/>
        </w:rPr>
        <w:t>建</w:t>
      </w:r>
      <w:r>
        <w:rPr>
          <w:rFonts w:hint="eastAsia" w:ascii="Times New Roman" w:hAnsi="Times New Roman" w:eastAsia="仿宋_GB2312" w:cs="Times New Roman"/>
          <w:color w:val="auto"/>
          <w:sz w:val="32"/>
          <w:szCs w:val="32"/>
          <w:highlight w:val="none"/>
          <w:lang w:eastAsia="zh-CN"/>
        </w:rPr>
        <w:t>好</w:t>
      </w:r>
      <w:r>
        <w:rPr>
          <w:rFonts w:hint="eastAsia" w:ascii="Times New Roman" w:hAnsi="Times New Roman" w:eastAsia="仿宋_GB2312" w:cs="Times New Roman"/>
          <w:color w:val="auto"/>
          <w:sz w:val="32"/>
          <w:szCs w:val="32"/>
          <w:highlight w:val="none"/>
          <w:lang w:val="en-US" w:eastAsia="zh-CN"/>
        </w:rPr>
        <w:t>“五宜”朝阳</w:t>
      </w:r>
      <w:r>
        <w:rPr>
          <w:rFonts w:hint="eastAsia" w:ascii="Times New Roman" w:hAnsi="Times New Roman" w:eastAsia="仿宋_GB2312" w:cs="Times New Roman"/>
          <w:color w:val="auto"/>
          <w:sz w:val="32"/>
          <w:szCs w:val="32"/>
          <w:highlight w:val="none"/>
        </w:rPr>
        <w:t>提供坚实安全保障。</w:t>
      </w:r>
    </w:p>
    <w:bookmarkEnd w:id="107"/>
    <w:p w14:paraId="6EF8E49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108" w:name="_Toc21281"/>
      <w:bookmarkStart w:id="109" w:name="_Toc31492"/>
      <w:bookmarkStart w:id="110" w:name="_Toc14036"/>
      <w:bookmarkStart w:id="111" w:name="_Toc19268"/>
      <w:bookmarkStart w:id="112" w:name="_Toc3674"/>
      <w:bookmarkStart w:id="113" w:name="_Toc3956"/>
      <w:bookmarkStart w:id="114" w:name="_Toc2609"/>
      <w:bookmarkStart w:id="115" w:name="_Toc5778"/>
      <w:bookmarkStart w:id="116" w:name="_Toc22602"/>
      <w:bookmarkStart w:id="117" w:name="_Toc7923"/>
      <w:bookmarkStart w:id="118" w:name="_Toc11207"/>
      <w:bookmarkStart w:id="119" w:name="_Toc193962943"/>
      <w:bookmarkStart w:id="120" w:name="_Toc21716"/>
      <w:bookmarkStart w:id="121" w:name="_Toc28300"/>
      <w:bookmarkStart w:id="122" w:name="_Toc25980"/>
      <w:bookmarkStart w:id="123" w:name="_Toc4893"/>
      <w:bookmarkStart w:id="124" w:name="_Toc15648"/>
      <w:bookmarkStart w:id="125" w:name="_Toc19975"/>
      <w:bookmarkStart w:id="126" w:name="OLE_LINK37"/>
      <w:bookmarkStart w:id="127" w:name="OLE_LINK36"/>
      <w:r>
        <w:rPr>
          <w:rFonts w:hint="eastAsia" w:ascii="Times New Roman" w:hAnsi="Times New Roman" w:eastAsia="黑体" w:cs="黑体"/>
          <w:color w:val="auto"/>
          <w:kern w:val="0"/>
          <w:sz w:val="32"/>
          <w:szCs w:val="32"/>
          <w:highlight w:val="none"/>
          <w:lang w:val="en-US" w:eastAsia="zh-CN" w:bidi="ar-SA"/>
        </w:rPr>
        <w:t>第二章 基本原则</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bookmarkEnd w:id="126"/>
    <w:bookmarkEnd w:id="127"/>
    <w:p w14:paraId="4F661183">
      <w:pPr>
        <w:spacing w:line="560" w:lineRule="exact"/>
        <w:ind w:firstLine="643"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color w:val="auto"/>
          <w:sz w:val="32"/>
          <w:szCs w:val="20"/>
          <w:highlight w:val="none"/>
        </w:rPr>
        <w:t>坚持</w:t>
      </w:r>
      <w:r>
        <w:rPr>
          <w:rFonts w:hint="eastAsia" w:ascii="Times New Roman" w:hAnsi="Times New Roman" w:eastAsia="仿宋_GB2312" w:cs="Times New Roman"/>
          <w:b/>
          <w:color w:val="auto"/>
          <w:sz w:val="32"/>
          <w:szCs w:val="20"/>
          <w:highlight w:val="none"/>
          <w:lang w:val="en-US" w:eastAsia="zh-CN"/>
        </w:rPr>
        <w:t>党的领导、改革创新</w:t>
      </w:r>
      <w:r>
        <w:rPr>
          <w:rFonts w:hint="eastAsia" w:ascii="Times New Roman" w:hAnsi="Times New Roman" w:eastAsia="仿宋_GB2312" w:cs="Times New Roman"/>
          <w:b/>
          <w:color w:val="auto"/>
          <w:sz w:val="32"/>
          <w:szCs w:val="20"/>
          <w:highlight w:val="none"/>
        </w:rPr>
        <w:t>。</w:t>
      </w:r>
      <w:r>
        <w:rPr>
          <w:rFonts w:hint="eastAsia" w:ascii="Times New Roman" w:hAnsi="Times New Roman" w:eastAsia="仿宋_GB2312" w:cs="Times New Roman"/>
          <w:bCs/>
          <w:color w:val="auto"/>
          <w:sz w:val="32"/>
          <w:szCs w:val="20"/>
          <w:highlight w:val="none"/>
        </w:rPr>
        <w:t>坚持和加强党对应急管理工作的全面领导</w:t>
      </w:r>
      <w:r>
        <w:rPr>
          <w:rFonts w:hint="eastAsia" w:ascii="Times New Roman" w:hAnsi="Times New Roman" w:eastAsia="仿宋_GB2312" w:cs="Times New Roman"/>
          <w:b w:val="0"/>
          <w:bCs/>
          <w:color w:val="auto"/>
          <w:sz w:val="32"/>
          <w:szCs w:val="20"/>
          <w:highlight w:val="none"/>
        </w:rPr>
        <w:t>，</w:t>
      </w:r>
      <w:r>
        <w:rPr>
          <w:rFonts w:hint="eastAsia" w:ascii="Times New Roman" w:hAnsi="Times New Roman" w:eastAsia="仿宋_GB2312" w:cs="Times New Roman"/>
          <w:bCs/>
          <w:color w:val="auto"/>
          <w:sz w:val="32"/>
          <w:szCs w:val="20"/>
          <w:highlight w:val="none"/>
        </w:rPr>
        <w:t>发挥党总揽全局、协调各方的领导核心作用，紧紧围绕构建大安全大应急框架</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以改革创新精神大力推进</w:t>
      </w:r>
      <w:r>
        <w:rPr>
          <w:rFonts w:hint="eastAsia" w:ascii="Times New Roman" w:hAnsi="Times New Roman" w:eastAsia="仿宋_GB2312" w:cs="Times New Roman"/>
          <w:bCs/>
          <w:color w:val="auto"/>
          <w:sz w:val="32"/>
          <w:szCs w:val="20"/>
          <w:highlight w:val="none"/>
        </w:rPr>
        <w:t>机制</w:t>
      </w:r>
      <w:r>
        <w:rPr>
          <w:rFonts w:hint="eastAsia" w:ascii="Times New Roman" w:hAnsi="Times New Roman" w:eastAsia="仿宋_GB2312" w:cs="Times New Roman"/>
          <w:bCs/>
          <w:color w:val="auto"/>
          <w:sz w:val="32"/>
          <w:szCs w:val="20"/>
          <w:highlight w:val="none"/>
          <w:lang w:val="en-US" w:eastAsia="zh-CN"/>
        </w:rPr>
        <w:t>创新</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lang w:val="en-US" w:eastAsia="zh-CN"/>
        </w:rPr>
        <w:t>手段创新、方法创新</w:t>
      </w:r>
      <w:r>
        <w:rPr>
          <w:rFonts w:hint="eastAsia" w:ascii="Times New Roman" w:hAnsi="Times New Roman" w:eastAsia="仿宋_GB2312" w:cs="Times New Roman"/>
          <w:bCs/>
          <w:color w:val="auto"/>
          <w:sz w:val="32"/>
          <w:szCs w:val="20"/>
          <w:highlight w:val="none"/>
        </w:rPr>
        <w:t>，持续夯实应急管理根基。</w:t>
      </w:r>
      <w:bookmarkStart w:id="128" w:name="OLE_LINK20"/>
    </w:p>
    <w:p w14:paraId="1C212BE9">
      <w:pPr>
        <w:pStyle w:val="2"/>
        <w:spacing w:after="0" w:line="560" w:lineRule="exact"/>
        <w:ind w:firstLine="643" w:firstLineChars="200"/>
        <w:rPr>
          <w:rFonts w:ascii="仿宋_GB2312" w:hAnsi="Times New Roman" w:eastAsia="仿宋_GB2312" w:cs="Times New Roman"/>
          <w:color w:val="auto"/>
          <w:sz w:val="32"/>
          <w:szCs w:val="20"/>
          <w:highlight w:val="none"/>
        </w:rPr>
      </w:pPr>
      <w:bookmarkStart w:id="129" w:name="OLE_LINK44"/>
      <w:bookmarkStart w:id="130" w:name="OLE_LINK45"/>
      <w:r>
        <w:rPr>
          <w:rFonts w:hint="eastAsia" w:ascii="Times New Roman" w:hAnsi="Times New Roman" w:eastAsia="仿宋_GB2312" w:cs="Times New Roman"/>
          <w:b/>
          <w:color w:val="auto"/>
          <w:sz w:val="32"/>
          <w:szCs w:val="20"/>
          <w:highlight w:val="none"/>
        </w:rPr>
        <w:t>坚持</w:t>
      </w:r>
      <w:r>
        <w:rPr>
          <w:rFonts w:hint="eastAsia" w:ascii="Times New Roman" w:hAnsi="Times New Roman" w:eastAsia="仿宋_GB2312" w:cs="Times New Roman"/>
          <w:b/>
          <w:color w:val="auto"/>
          <w:sz w:val="32"/>
          <w:szCs w:val="20"/>
          <w:highlight w:val="none"/>
          <w:lang w:val="en-US" w:eastAsia="zh-CN"/>
        </w:rPr>
        <w:t>人民至上</w:t>
      </w:r>
      <w:r>
        <w:rPr>
          <w:rFonts w:hint="eastAsia" w:ascii="Times New Roman" w:hAnsi="Times New Roman" w:eastAsia="仿宋_GB2312" w:cs="Times New Roman"/>
          <w:b/>
          <w:color w:val="auto"/>
          <w:sz w:val="32"/>
          <w:szCs w:val="20"/>
          <w:highlight w:val="none"/>
        </w:rPr>
        <w:t>、</w:t>
      </w:r>
      <w:bookmarkEnd w:id="129"/>
      <w:bookmarkEnd w:id="130"/>
      <w:r>
        <w:rPr>
          <w:rFonts w:hint="eastAsia" w:ascii="Times New Roman" w:hAnsi="Times New Roman" w:eastAsia="仿宋_GB2312" w:cs="Times New Roman"/>
          <w:b/>
          <w:color w:val="auto"/>
          <w:sz w:val="32"/>
          <w:szCs w:val="20"/>
          <w:highlight w:val="none"/>
          <w:lang w:val="en-US" w:eastAsia="zh-CN"/>
        </w:rPr>
        <w:t>生命至上</w:t>
      </w:r>
      <w:r>
        <w:rPr>
          <w:rFonts w:hint="eastAsia" w:ascii="Times New Roman" w:hAnsi="Times New Roman" w:eastAsia="仿宋_GB2312" w:cs="Times New Roman"/>
          <w:b/>
          <w:color w:val="auto"/>
          <w:sz w:val="32"/>
          <w:szCs w:val="20"/>
          <w:highlight w:val="none"/>
        </w:rPr>
        <w:t>。</w:t>
      </w:r>
      <w:r>
        <w:rPr>
          <w:rFonts w:hint="eastAsia" w:ascii="仿宋_GB2312" w:hAnsi="Times New Roman" w:eastAsia="仿宋_GB2312" w:cs="Times New Roman"/>
          <w:color w:val="auto"/>
          <w:sz w:val="32"/>
          <w:szCs w:val="20"/>
          <w:highlight w:val="none"/>
        </w:rPr>
        <w:t>深入践行以人民为中心的发展思想，注重底线思维和极限思维，</w:t>
      </w:r>
      <w:r>
        <w:rPr>
          <w:rFonts w:hint="eastAsia" w:ascii="Times New Roman" w:hAnsi="Times New Roman" w:eastAsia="仿宋_GB2312" w:cs="Times New Roman"/>
          <w:color w:val="auto"/>
          <w:sz w:val="32"/>
          <w:szCs w:val="32"/>
          <w:highlight w:val="none"/>
        </w:rPr>
        <w:t>统筹好发展和安全两件大事，</w:t>
      </w:r>
      <w:bookmarkStart w:id="131" w:name="OLE_LINK41"/>
      <w:bookmarkStart w:id="132" w:name="OLE_LINK43"/>
      <w:bookmarkStart w:id="133" w:name="OLE_LINK42"/>
      <w:r>
        <w:rPr>
          <w:rFonts w:hint="eastAsia" w:ascii="Times New Roman" w:hAnsi="Times New Roman" w:eastAsia="仿宋_GB2312" w:cs="Times New Roman"/>
          <w:color w:val="auto"/>
          <w:sz w:val="32"/>
          <w:szCs w:val="32"/>
          <w:highlight w:val="none"/>
        </w:rPr>
        <w:t>切实维护人民生命财产安全和社会大局稳定</w:t>
      </w:r>
      <w:r>
        <w:rPr>
          <w:rFonts w:hint="eastAsia" w:ascii="仿宋_GB2312" w:hAnsi="Times New Roman" w:eastAsia="仿宋_GB2312" w:cs="Times New Roman"/>
          <w:color w:val="auto"/>
          <w:sz w:val="32"/>
          <w:szCs w:val="20"/>
          <w:highlight w:val="none"/>
        </w:rPr>
        <w:t>。</w:t>
      </w:r>
    </w:p>
    <w:bookmarkEnd w:id="128"/>
    <w:bookmarkEnd w:id="131"/>
    <w:bookmarkEnd w:id="132"/>
    <w:bookmarkEnd w:id="133"/>
    <w:p w14:paraId="68171F40">
      <w:pPr>
        <w:spacing w:line="560" w:lineRule="exact"/>
        <w:ind w:firstLine="643" w:firstLineChars="200"/>
        <w:rPr>
          <w:rFonts w:hint="eastAsia" w:ascii="Times New Roman" w:hAnsi="Times New Roman" w:eastAsia="仿宋_GB2312" w:cs="Times New Roman"/>
          <w:color w:val="auto"/>
          <w:kern w:val="2"/>
          <w:sz w:val="32"/>
          <w:szCs w:val="32"/>
          <w:highlight w:val="none"/>
          <w:lang w:val="en-US" w:eastAsia="zh-CN" w:bidi="ar-SA"/>
        </w:rPr>
      </w:pPr>
      <w:bookmarkStart w:id="134" w:name="OLE_LINK19"/>
      <w:bookmarkStart w:id="135" w:name="OLE_LINK18"/>
      <w:bookmarkStart w:id="136" w:name="OLE_LINK17"/>
      <w:r>
        <w:rPr>
          <w:rFonts w:hint="eastAsia" w:ascii="Times New Roman" w:hAnsi="Times New Roman" w:eastAsia="仿宋_GB2312" w:cs="Times New Roman"/>
          <w:b/>
          <w:color w:val="auto"/>
          <w:sz w:val="32"/>
          <w:szCs w:val="20"/>
          <w:highlight w:val="none"/>
        </w:rPr>
        <w:t>坚持以防为主、综合治理。</w:t>
      </w:r>
      <w:r>
        <w:rPr>
          <w:rFonts w:hint="eastAsia" w:ascii="Times New Roman" w:hAnsi="Times New Roman" w:eastAsia="仿宋_GB2312" w:cs="Times New Roman"/>
          <w:b w:val="0"/>
          <w:bCs/>
          <w:color w:val="auto"/>
          <w:sz w:val="32"/>
          <w:szCs w:val="20"/>
          <w:highlight w:val="none"/>
          <w:lang w:val="en-US" w:eastAsia="zh-CN"/>
        </w:rPr>
        <w:t>牢固</w:t>
      </w:r>
      <w:r>
        <w:rPr>
          <w:rFonts w:hint="eastAsia" w:ascii="Times New Roman" w:hAnsi="Times New Roman" w:eastAsia="仿宋_GB2312" w:cs="Times New Roman"/>
          <w:color w:val="auto"/>
          <w:kern w:val="2"/>
          <w:sz w:val="32"/>
          <w:szCs w:val="32"/>
          <w:highlight w:val="none"/>
          <w:lang w:val="en-US" w:eastAsia="zh-CN" w:bidi="ar-SA"/>
        </w:rPr>
        <w:t>树立大安全、大应急理念，</w:t>
      </w:r>
      <w:r>
        <w:rPr>
          <w:rFonts w:hint="eastAsia" w:ascii="Times New Roman" w:hAnsi="Times New Roman" w:eastAsia="仿宋_GB2312" w:cs="Times New Roman"/>
          <w:color w:val="auto"/>
          <w:sz w:val="32"/>
          <w:szCs w:val="32"/>
          <w:highlight w:val="none"/>
        </w:rPr>
        <w:t>统筹常态减灾</w:t>
      </w:r>
      <w:r>
        <w:rPr>
          <w:rFonts w:hint="eastAsia" w:ascii="Times New Roman" w:hAnsi="Times New Roman" w:eastAsia="仿宋_GB2312" w:cs="Times New Roman"/>
          <w:color w:val="auto"/>
          <w:sz w:val="32"/>
          <w:szCs w:val="32"/>
          <w:highlight w:val="none"/>
          <w:lang w:val="en-US" w:eastAsia="zh-CN"/>
        </w:rPr>
        <w:t>和</w:t>
      </w:r>
      <w:r>
        <w:rPr>
          <w:rFonts w:hint="eastAsia" w:ascii="Times New Roman" w:hAnsi="Times New Roman" w:eastAsia="仿宋_GB2312" w:cs="Times New Roman"/>
          <w:color w:val="auto"/>
          <w:sz w:val="32"/>
          <w:szCs w:val="32"/>
          <w:highlight w:val="none"/>
        </w:rPr>
        <w:t>非常态救灾，</w:t>
      </w:r>
      <w:r>
        <w:rPr>
          <w:rFonts w:hint="eastAsia" w:ascii="Times New Roman" w:hAnsi="Times New Roman" w:eastAsia="仿宋_GB2312" w:cs="Times New Roman"/>
          <w:color w:val="auto"/>
          <w:kern w:val="2"/>
          <w:sz w:val="32"/>
          <w:szCs w:val="32"/>
          <w:highlight w:val="none"/>
          <w:lang w:val="en-US" w:eastAsia="zh-CN" w:bidi="ar-SA"/>
        </w:rPr>
        <w:t>切实采取综合防范措施，系统完善风险防范化解机制，持续推动应急管理关口前移、重心下沉，加快实现公共安全治理模式向事前预防转型。</w:t>
      </w:r>
    </w:p>
    <w:p w14:paraId="514BE415">
      <w:pPr>
        <w:spacing w:line="560" w:lineRule="exact"/>
        <w:ind w:firstLine="643" w:firstLineChars="200"/>
        <w:rPr>
          <w:rFonts w:ascii="Times New Roman" w:hAnsi="Times New Roman" w:eastAsia="仿宋_GB2312" w:cs="Times New Roman"/>
          <w:color w:val="auto"/>
          <w:sz w:val="32"/>
          <w:szCs w:val="20"/>
          <w:highlight w:val="none"/>
        </w:rPr>
      </w:pPr>
      <w:bookmarkStart w:id="137" w:name="OLE_LINK30"/>
      <w:bookmarkStart w:id="138" w:name="OLE_LINK31"/>
      <w:r>
        <w:rPr>
          <w:rFonts w:hint="eastAsia" w:ascii="Times New Roman" w:hAnsi="Times New Roman" w:eastAsia="仿宋_GB2312" w:cs="Times New Roman"/>
          <w:b/>
          <w:color w:val="auto"/>
          <w:sz w:val="32"/>
          <w:szCs w:val="20"/>
          <w:highlight w:val="none"/>
        </w:rPr>
        <w:t>坚持数智赋能、</w:t>
      </w:r>
      <w:bookmarkEnd w:id="137"/>
      <w:bookmarkEnd w:id="138"/>
      <w:r>
        <w:rPr>
          <w:rFonts w:hint="eastAsia" w:ascii="Times New Roman" w:hAnsi="Times New Roman" w:eastAsia="仿宋_GB2312" w:cs="Times New Roman"/>
          <w:b/>
          <w:color w:val="auto"/>
          <w:sz w:val="32"/>
          <w:szCs w:val="20"/>
          <w:highlight w:val="none"/>
        </w:rPr>
        <w:t>科学防治。</w:t>
      </w:r>
      <w:r>
        <w:rPr>
          <w:rFonts w:hint="eastAsia" w:ascii="Times New Roman" w:hAnsi="Times New Roman" w:eastAsia="仿宋_GB2312" w:cs="Times New Roman"/>
          <w:color w:val="auto"/>
          <w:sz w:val="32"/>
          <w:szCs w:val="20"/>
          <w:highlight w:val="none"/>
        </w:rPr>
        <w:t>以数字化变革为引领，</w:t>
      </w:r>
      <w:bookmarkEnd w:id="134"/>
      <w:bookmarkEnd w:id="135"/>
      <w:bookmarkEnd w:id="136"/>
      <w:r>
        <w:rPr>
          <w:rFonts w:hint="eastAsia" w:ascii="Times New Roman" w:hAnsi="Times New Roman" w:eastAsia="仿宋_GB2312" w:cs="Times New Roman"/>
          <w:color w:val="auto"/>
          <w:sz w:val="32"/>
          <w:szCs w:val="20"/>
          <w:highlight w:val="none"/>
        </w:rPr>
        <w:t>充分利用智慧应急建设成果和城市智慧大脑基础平台，强化源头管控、注重关口前移，提升风险防范化解精准度，重塑应急管理科技支撑体系。</w:t>
      </w:r>
    </w:p>
    <w:p w14:paraId="12ABE2AD">
      <w:pPr>
        <w:spacing w:line="560" w:lineRule="exact"/>
        <w:ind w:firstLine="643" w:firstLineChars="200"/>
        <w:rPr>
          <w:rFonts w:ascii="Times New Roman" w:hAnsi="Times New Roman" w:eastAsia="仿宋_GB2312" w:cs="Times New Roman"/>
          <w:color w:val="auto"/>
          <w:sz w:val="32"/>
          <w:szCs w:val="20"/>
          <w:highlight w:val="none"/>
        </w:rPr>
      </w:pPr>
      <w:bookmarkStart w:id="139" w:name="OLE_LINK29"/>
      <w:bookmarkStart w:id="140" w:name="OLE_LINK28"/>
      <w:bookmarkStart w:id="141" w:name="OLE_LINK32"/>
      <w:bookmarkStart w:id="142" w:name="OLE_LINK33"/>
      <w:r>
        <w:rPr>
          <w:rFonts w:hint="eastAsia" w:ascii="Times New Roman" w:hAnsi="Times New Roman" w:eastAsia="仿宋_GB2312" w:cs="Times New Roman"/>
          <w:b/>
          <w:color w:val="auto"/>
          <w:sz w:val="32"/>
          <w:szCs w:val="20"/>
          <w:highlight w:val="none"/>
        </w:rPr>
        <w:t>坚持系统协同、</w:t>
      </w:r>
      <w:bookmarkEnd w:id="139"/>
      <w:bookmarkEnd w:id="140"/>
      <w:bookmarkStart w:id="143" w:name="OLE_LINK26"/>
      <w:bookmarkStart w:id="144" w:name="OLE_LINK27"/>
      <w:r>
        <w:rPr>
          <w:rFonts w:hint="eastAsia" w:ascii="Times New Roman" w:hAnsi="Times New Roman" w:eastAsia="仿宋_GB2312" w:cs="Times New Roman"/>
          <w:b/>
          <w:color w:val="auto"/>
          <w:sz w:val="32"/>
          <w:szCs w:val="20"/>
          <w:highlight w:val="none"/>
        </w:rPr>
        <w:t>韧性支撑</w:t>
      </w:r>
      <w:bookmarkEnd w:id="143"/>
      <w:bookmarkEnd w:id="144"/>
      <w:r>
        <w:rPr>
          <w:rFonts w:hint="eastAsia" w:ascii="Times New Roman" w:hAnsi="Times New Roman" w:eastAsia="仿宋_GB2312" w:cs="Times New Roman"/>
          <w:b/>
          <w:color w:val="auto"/>
          <w:sz w:val="32"/>
          <w:szCs w:val="20"/>
          <w:highlight w:val="none"/>
        </w:rPr>
        <w:t>。</w:t>
      </w:r>
      <w:r>
        <w:rPr>
          <w:rFonts w:hint="eastAsia" w:ascii="Times New Roman" w:hAnsi="Times New Roman" w:eastAsia="仿宋_GB2312" w:cs="Times New Roman"/>
          <w:color w:val="auto"/>
          <w:sz w:val="32"/>
          <w:szCs w:val="20"/>
          <w:highlight w:val="none"/>
        </w:rPr>
        <w:t>加强谋划的全局性、系统性，</w:t>
      </w:r>
      <w:bookmarkStart w:id="145" w:name="OLE_LINK47"/>
      <w:bookmarkStart w:id="146" w:name="OLE_LINK46"/>
      <w:r>
        <w:rPr>
          <w:rFonts w:hint="eastAsia" w:ascii="Times New Roman" w:hAnsi="Times New Roman" w:eastAsia="仿宋_GB2312" w:cs="Times New Roman"/>
          <w:color w:val="auto"/>
          <w:sz w:val="32"/>
          <w:szCs w:val="20"/>
          <w:highlight w:val="none"/>
        </w:rPr>
        <w:t>加强多方联动、政企合作、政社协同、</w:t>
      </w:r>
      <w:bookmarkEnd w:id="145"/>
      <w:bookmarkEnd w:id="146"/>
      <w:r>
        <w:rPr>
          <w:rFonts w:hint="eastAsia" w:ascii="Times New Roman" w:hAnsi="Times New Roman" w:eastAsia="仿宋_GB2312" w:cs="Times New Roman"/>
          <w:color w:val="auto"/>
          <w:sz w:val="32"/>
          <w:szCs w:val="20"/>
          <w:highlight w:val="none"/>
        </w:rPr>
        <w:t>区域协作</w:t>
      </w:r>
      <w:r>
        <w:rPr>
          <w:rFonts w:hint="eastAsia" w:ascii="Times New Roman" w:hAnsi="Times New Roman" w:eastAsia="仿宋_GB2312" w:cs="Times New Roman"/>
          <w:color w:val="auto"/>
          <w:sz w:val="32"/>
          <w:szCs w:val="32"/>
          <w:highlight w:val="none"/>
        </w:rPr>
        <w:t>，</w:t>
      </w:r>
      <w:bookmarkEnd w:id="141"/>
      <w:bookmarkEnd w:id="142"/>
      <w:r>
        <w:rPr>
          <w:rFonts w:hint="eastAsia" w:ascii="Times New Roman" w:hAnsi="Times New Roman" w:eastAsia="仿宋_GB2312" w:cs="Times New Roman"/>
          <w:color w:val="auto"/>
          <w:sz w:val="32"/>
          <w:szCs w:val="32"/>
          <w:highlight w:val="none"/>
        </w:rPr>
        <w:t>补齐发展短板，</w:t>
      </w:r>
      <w:r>
        <w:rPr>
          <w:rFonts w:ascii="Times New Roman" w:hAnsi="Times New Roman" w:eastAsia="仿宋_GB2312" w:cs="Times New Roman"/>
          <w:color w:val="auto"/>
          <w:sz w:val="32"/>
          <w:szCs w:val="32"/>
          <w:highlight w:val="none"/>
        </w:rPr>
        <w:t>加强韧性城市建设</w:t>
      </w:r>
      <w:r>
        <w:rPr>
          <w:rFonts w:hint="eastAsia" w:ascii="Times New Roman" w:hAnsi="Times New Roman" w:eastAsia="仿宋_GB2312" w:cs="Times New Roman"/>
          <w:color w:val="auto"/>
          <w:sz w:val="32"/>
          <w:szCs w:val="32"/>
          <w:highlight w:val="none"/>
        </w:rPr>
        <w:t>，确保城市运行平稳、风险可控、恢复快速。</w:t>
      </w:r>
    </w:p>
    <w:p w14:paraId="24A25B8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147" w:name="_Toc13569"/>
      <w:bookmarkStart w:id="148" w:name="_Toc13"/>
      <w:bookmarkStart w:id="149" w:name="_Toc8768"/>
      <w:bookmarkStart w:id="150" w:name="_Toc12647"/>
      <w:bookmarkStart w:id="151" w:name="_Toc8189"/>
      <w:bookmarkStart w:id="152" w:name="_Toc29967"/>
      <w:bookmarkStart w:id="153" w:name="_Toc19316"/>
      <w:bookmarkStart w:id="154" w:name="_Toc8837"/>
      <w:bookmarkStart w:id="155" w:name="_Toc25717"/>
      <w:bookmarkStart w:id="156" w:name="_Toc3180"/>
      <w:bookmarkStart w:id="157" w:name="_Toc12695"/>
      <w:bookmarkStart w:id="158" w:name="_Toc17241"/>
      <w:bookmarkStart w:id="159" w:name="_Toc5174"/>
      <w:bookmarkStart w:id="160" w:name="_Toc29225"/>
      <w:bookmarkStart w:id="161" w:name="_Toc25769"/>
      <w:bookmarkStart w:id="162" w:name="_Toc13682"/>
      <w:bookmarkStart w:id="163" w:name="_Toc3970"/>
      <w:bookmarkStart w:id="164" w:name="_Toc193962944"/>
      <w:r>
        <w:rPr>
          <w:rFonts w:hint="eastAsia" w:ascii="Times New Roman" w:hAnsi="Times New Roman" w:eastAsia="黑体" w:cs="黑体"/>
          <w:color w:val="auto"/>
          <w:kern w:val="0"/>
          <w:sz w:val="32"/>
          <w:szCs w:val="32"/>
          <w:highlight w:val="none"/>
          <w:lang w:val="en-US" w:eastAsia="zh-CN" w:bidi="ar-SA"/>
        </w:rPr>
        <w:t>第三章 规划目标</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1A1C0B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rPr>
      </w:pPr>
      <w:bookmarkStart w:id="165" w:name="_Toc71393136"/>
      <w:bookmarkStart w:id="166" w:name="_Toc72507463"/>
      <w:bookmarkStart w:id="167" w:name="_Toc71390767"/>
      <w:r>
        <w:rPr>
          <w:rFonts w:hint="eastAsia" w:ascii="Times New Roman" w:hAnsi="Times New Roman" w:eastAsia="楷体_GB2312" w:cs="楷体_GB2312"/>
          <w:bCs/>
          <w:color w:val="auto"/>
          <w:sz w:val="32"/>
          <w:szCs w:val="32"/>
          <w:highlight w:val="none"/>
          <w:lang w:val="en-US" w:eastAsia="zh-CN"/>
        </w:rPr>
        <w:t>一、</w:t>
      </w:r>
      <w:r>
        <w:rPr>
          <w:rFonts w:hint="eastAsia" w:ascii="Times New Roman" w:hAnsi="Times New Roman" w:eastAsia="楷体_GB2312" w:cs="楷体_GB2312"/>
          <w:bCs/>
          <w:color w:val="auto"/>
          <w:sz w:val="32"/>
          <w:szCs w:val="32"/>
          <w:highlight w:val="none"/>
        </w:rPr>
        <w:t>总体目标</w:t>
      </w:r>
      <w:bookmarkEnd w:id="165"/>
      <w:bookmarkEnd w:id="166"/>
      <w:bookmarkEnd w:id="167"/>
    </w:p>
    <w:p w14:paraId="235398D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Times New Roman"/>
          <w:color w:val="auto"/>
          <w:sz w:val="32"/>
          <w:szCs w:val="32"/>
          <w:highlight w:val="none"/>
        </w:rPr>
        <w:t>到2</w:t>
      </w:r>
      <w:r>
        <w:rPr>
          <w:rFonts w:ascii="Times New Roman" w:hAnsi="Times New Roman" w:eastAsia="仿宋_GB2312" w:cs="Times New Roman"/>
          <w:color w:val="auto"/>
          <w:sz w:val="32"/>
          <w:szCs w:val="32"/>
          <w:highlight w:val="none"/>
        </w:rPr>
        <w:t>030</w:t>
      </w:r>
      <w:r>
        <w:rPr>
          <w:rFonts w:hint="eastAsia"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具有朝阳特色的</w:t>
      </w:r>
      <w:r>
        <w:rPr>
          <w:rFonts w:hint="eastAsia" w:ascii="Times New Roman" w:hAnsi="Times New Roman" w:eastAsia="仿宋_GB2312" w:cs="Times New Roman"/>
          <w:color w:val="auto"/>
          <w:sz w:val="32"/>
          <w:szCs w:val="32"/>
          <w:highlight w:val="none"/>
        </w:rPr>
        <w:t>大安全大应急框架</w:t>
      </w:r>
      <w:r>
        <w:rPr>
          <w:rFonts w:hint="eastAsia" w:ascii="Times New Roman" w:hAnsi="Times New Roman" w:eastAsia="仿宋_GB2312" w:cs="Times New Roman"/>
          <w:color w:val="auto"/>
          <w:sz w:val="32"/>
          <w:szCs w:val="32"/>
          <w:highlight w:val="none"/>
          <w:lang w:val="en-US" w:eastAsia="zh-CN"/>
        </w:rPr>
        <w:t>更加完善，</w:t>
      </w:r>
      <w:r>
        <w:rPr>
          <w:rFonts w:hint="eastAsia" w:ascii="Times New Roman" w:hAnsi="Times New Roman" w:eastAsia="仿宋_GB2312" w:cs="Times New Roman"/>
          <w:color w:val="auto"/>
          <w:sz w:val="32"/>
          <w:szCs w:val="32"/>
          <w:highlight w:val="none"/>
        </w:rPr>
        <w:t>集中统一、</w:t>
      </w:r>
      <w:r>
        <w:rPr>
          <w:rFonts w:hint="eastAsia" w:ascii="Times New Roman" w:hAnsi="Times New Roman" w:eastAsia="仿宋_GB2312" w:cs="Times New Roman"/>
          <w:color w:val="auto"/>
          <w:sz w:val="32"/>
          <w:szCs w:val="32"/>
          <w:highlight w:val="none"/>
          <w:lang w:val="en-US" w:eastAsia="zh-CN"/>
        </w:rPr>
        <w:t>上下联动、</w:t>
      </w:r>
      <w:r>
        <w:rPr>
          <w:rFonts w:hint="eastAsia" w:ascii="Times New Roman" w:hAnsi="Times New Roman" w:eastAsia="仿宋_GB2312" w:cs="Times New Roman"/>
          <w:color w:val="auto"/>
          <w:sz w:val="32"/>
          <w:szCs w:val="32"/>
          <w:highlight w:val="none"/>
        </w:rPr>
        <w:t>高效</w:t>
      </w:r>
      <w:r>
        <w:rPr>
          <w:rFonts w:hint="eastAsia" w:ascii="Times New Roman" w:hAnsi="Times New Roman" w:eastAsia="仿宋_GB2312" w:cs="Times New Roman"/>
          <w:color w:val="auto"/>
          <w:sz w:val="32"/>
          <w:szCs w:val="32"/>
          <w:highlight w:val="none"/>
          <w:lang w:val="en-US" w:eastAsia="zh-CN"/>
        </w:rPr>
        <w:t>协同</w:t>
      </w:r>
      <w:r>
        <w:rPr>
          <w:rFonts w:hint="eastAsia" w:ascii="Times New Roman" w:hAnsi="Times New Roman" w:eastAsia="仿宋_GB2312" w:cs="Times New Roman"/>
          <w:color w:val="auto"/>
          <w:sz w:val="32"/>
          <w:szCs w:val="32"/>
          <w:highlight w:val="none"/>
        </w:rPr>
        <w:t>的应急指挥机制</w:t>
      </w:r>
      <w:r>
        <w:rPr>
          <w:rFonts w:hint="eastAsia" w:ascii="Times New Roman" w:hAnsi="Times New Roman" w:eastAsia="仿宋_GB2312" w:cs="Times New Roman"/>
          <w:color w:val="auto"/>
          <w:sz w:val="32"/>
          <w:szCs w:val="32"/>
          <w:highlight w:val="none"/>
          <w:lang w:val="en-US" w:eastAsia="zh-CN"/>
        </w:rPr>
        <w:t>进一步</w:t>
      </w:r>
      <w:r>
        <w:rPr>
          <w:rFonts w:hint="eastAsia" w:ascii="Times New Roman" w:hAnsi="Times New Roman" w:eastAsia="仿宋_GB2312" w:cs="Times New Roman"/>
          <w:color w:val="auto"/>
          <w:sz w:val="32"/>
          <w:szCs w:val="32"/>
          <w:highlight w:val="none"/>
        </w:rPr>
        <w:t>健全，</w:t>
      </w:r>
      <w:r>
        <w:rPr>
          <w:rFonts w:hint="eastAsia" w:ascii="Times New Roman" w:hAnsi="Times New Roman" w:eastAsia="仿宋_GB2312" w:cs="Times New Roman"/>
          <w:color w:val="auto"/>
          <w:sz w:val="32"/>
          <w:szCs w:val="32"/>
          <w:highlight w:val="none"/>
          <w:lang w:val="en-US" w:eastAsia="zh-CN"/>
        </w:rPr>
        <w:t>以</w:t>
      </w:r>
      <w:r>
        <w:rPr>
          <w:rFonts w:hint="eastAsia" w:ascii="仿宋_GB2312" w:hAnsi="仿宋_GB2312" w:eastAsia="仿宋_GB2312" w:cs="仿宋_GB2312"/>
          <w:color w:val="auto"/>
          <w:sz w:val="32"/>
          <w:szCs w:val="32"/>
          <w:highlight w:val="none"/>
          <w:lang w:val="en-US" w:eastAsia="zh-CN"/>
        </w:rPr>
        <w:t>事前预防为主的公共安全治理模式不断优化，突发事故处置保障体系更趋完备，基层应急能力显著增强，</w:t>
      </w:r>
      <w:r>
        <w:rPr>
          <w:rFonts w:hint="eastAsia" w:ascii="仿宋_GB2312" w:hAnsi="仿宋_GB2312" w:eastAsia="仿宋_GB2312" w:cs="仿宋_GB2312"/>
          <w:color w:val="auto"/>
          <w:sz w:val="32"/>
          <w:szCs w:val="32"/>
          <w:highlight w:val="none"/>
        </w:rPr>
        <w:t>安全</w:t>
      </w:r>
      <w:r>
        <w:rPr>
          <w:rFonts w:hint="eastAsia" w:ascii="仿宋_GB2312" w:hAnsi="仿宋_GB2312" w:eastAsia="仿宋_GB2312" w:cs="仿宋_GB2312"/>
          <w:color w:val="auto"/>
          <w:sz w:val="32"/>
          <w:szCs w:val="32"/>
          <w:highlight w:val="none"/>
          <w:lang w:val="en-US" w:eastAsia="zh-CN"/>
        </w:rPr>
        <w:t>生产、防灾减灾救灾形势持续稳定，重特大事故得到有效遏制，自然灾害风险有效防范，韧性城市建设取得扎实成效，</w:t>
      </w:r>
      <w:r>
        <w:rPr>
          <w:rFonts w:hint="eastAsia" w:ascii="仿宋_GB2312" w:hAnsi="仿宋_GB2312" w:eastAsia="仿宋_GB2312" w:cs="仿宋_GB2312"/>
          <w:color w:val="auto"/>
          <w:sz w:val="32"/>
          <w:szCs w:val="32"/>
          <w:highlight w:val="none"/>
        </w:rPr>
        <w:t>社会治理和公共安全治理水平</w:t>
      </w:r>
      <w:r>
        <w:rPr>
          <w:rFonts w:hint="eastAsia" w:ascii="仿宋_GB2312" w:hAnsi="仿宋_GB2312" w:eastAsia="仿宋_GB2312" w:cs="仿宋_GB2312"/>
          <w:color w:val="auto"/>
          <w:sz w:val="32"/>
          <w:szCs w:val="32"/>
          <w:highlight w:val="none"/>
          <w:lang w:val="en-US" w:eastAsia="zh-CN"/>
        </w:rPr>
        <w:t>稳步提升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为维护</w:t>
      </w:r>
      <w:r>
        <w:rPr>
          <w:rFonts w:hint="eastAsia" w:ascii="仿宋_GB2312" w:hAnsi="仿宋_GB2312" w:eastAsia="仿宋_GB2312" w:cs="仿宋_GB2312"/>
          <w:color w:val="auto"/>
          <w:sz w:val="32"/>
          <w:szCs w:val="32"/>
          <w:highlight w:val="none"/>
          <w:lang w:eastAsia="zh-CN"/>
        </w:rPr>
        <w:t>区域</w:t>
      </w:r>
      <w:r>
        <w:rPr>
          <w:rFonts w:hint="eastAsia" w:ascii="仿宋_GB2312" w:hAnsi="仿宋_GB2312" w:eastAsia="仿宋_GB2312" w:cs="仿宋_GB2312"/>
          <w:color w:val="auto"/>
          <w:sz w:val="32"/>
          <w:szCs w:val="32"/>
          <w:highlight w:val="none"/>
        </w:rPr>
        <w:t>安全稳定提供</w:t>
      </w:r>
      <w:r>
        <w:rPr>
          <w:rFonts w:hint="eastAsia" w:ascii="仿宋_GB2312" w:hAnsi="仿宋_GB2312" w:eastAsia="仿宋_GB2312" w:cs="仿宋_GB2312"/>
          <w:color w:val="auto"/>
          <w:sz w:val="32"/>
          <w:szCs w:val="32"/>
          <w:highlight w:val="none"/>
          <w:lang w:val="en-US" w:eastAsia="zh-CN"/>
        </w:rPr>
        <w:t>坚实</w:t>
      </w:r>
      <w:r>
        <w:rPr>
          <w:rFonts w:hint="eastAsia" w:ascii="仿宋_GB2312" w:hAnsi="仿宋_GB2312" w:eastAsia="仿宋_GB2312" w:cs="仿宋_GB2312"/>
          <w:color w:val="auto"/>
          <w:sz w:val="32"/>
          <w:szCs w:val="32"/>
          <w:highlight w:val="none"/>
        </w:rPr>
        <w:t>支撑</w:t>
      </w:r>
      <w:r>
        <w:rPr>
          <w:rFonts w:hint="eastAsia" w:ascii="仿宋_GB2312" w:hAnsi="仿宋_GB2312" w:eastAsia="仿宋_GB2312" w:cs="仿宋_GB2312"/>
          <w:color w:val="auto"/>
          <w:sz w:val="32"/>
          <w:szCs w:val="32"/>
          <w:highlight w:val="none"/>
          <w:lang w:eastAsia="zh-CN"/>
        </w:rPr>
        <w:t>。</w:t>
      </w:r>
    </w:p>
    <w:p w14:paraId="1F45FD4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rPr>
      </w:pPr>
      <w:r>
        <w:rPr>
          <w:rFonts w:hint="eastAsia" w:ascii="Times New Roman" w:hAnsi="Times New Roman" w:eastAsia="楷体_GB2312" w:cs="楷体_GB2312"/>
          <w:bCs/>
          <w:color w:val="auto"/>
          <w:sz w:val="32"/>
          <w:szCs w:val="32"/>
          <w:highlight w:val="none"/>
          <w:lang w:val="en-US" w:eastAsia="zh-CN"/>
        </w:rPr>
        <w:t>二、</w:t>
      </w:r>
      <w:r>
        <w:rPr>
          <w:rFonts w:hint="eastAsia" w:ascii="Times New Roman" w:hAnsi="Times New Roman" w:eastAsia="楷体_GB2312" w:cs="楷体_GB2312"/>
          <w:bCs/>
          <w:color w:val="auto"/>
          <w:sz w:val="32"/>
          <w:szCs w:val="32"/>
          <w:highlight w:val="none"/>
        </w:rPr>
        <w:t>具体目标</w:t>
      </w:r>
    </w:p>
    <w:p w14:paraId="1CD9C207">
      <w:pPr>
        <w:spacing w:line="560" w:lineRule="exact"/>
        <w:ind w:firstLine="640" w:firstLineChars="200"/>
        <w:rPr>
          <w:color w:val="auto"/>
          <w:highlight w:val="none"/>
        </w:rPr>
      </w:pPr>
      <w:r>
        <w:rPr>
          <w:rFonts w:hint="eastAsia" w:ascii="Times New Roman" w:hAnsi="Times New Roman" w:eastAsia="仿宋_GB2312" w:cs="Times New Roman"/>
          <w:color w:val="auto"/>
          <w:sz w:val="32"/>
          <w:szCs w:val="20"/>
          <w:highlight w:val="none"/>
        </w:rPr>
        <w:t>“十五五”期末，朝阳区应急管理事业发展规划主要综合评价指标规划值</w:t>
      </w:r>
      <w:r>
        <w:rPr>
          <w:rFonts w:hint="eastAsia" w:ascii="Times New Roman" w:hAnsi="Times New Roman" w:eastAsia="仿宋_GB2312" w:cs="Times New Roman"/>
          <w:color w:val="auto"/>
          <w:sz w:val="32"/>
          <w:szCs w:val="20"/>
          <w:highlight w:val="none"/>
          <w:lang w:eastAsia="zh-CN"/>
        </w:rPr>
        <w:t>见表</w:t>
      </w:r>
      <w:r>
        <w:rPr>
          <w:rFonts w:hint="eastAsia" w:ascii="Times New Roman" w:hAnsi="Times New Roman" w:eastAsia="仿宋_GB2312" w:cs="Times New Roman"/>
          <w:color w:val="auto"/>
          <w:sz w:val="32"/>
          <w:szCs w:val="20"/>
          <w:highlight w:val="none"/>
          <w:lang w:val="en-US" w:eastAsia="zh-CN"/>
        </w:rPr>
        <w:t>1</w:t>
      </w:r>
      <w:r>
        <w:rPr>
          <w:rFonts w:hint="eastAsia" w:ascii="Times New Roman" w:hAnsi="Times New Roman" w:eastAsia="仿宋_GB2312" w:cs="Times New Roman"/>
          <w:color w:val="auto"/>
          <w:sz w:val="32"/>
          <w:szCs w:val="20"/>
          <w:highlight w:val="none"/>
        </w:rPr>
        <w:t>：</w:t>
      </w:r>
    </w:p>
    <w:p w14:paraId="384C79FE">
      <w:pPr>
        <w:spacing w:line="560" w:lineRule="exact"/>
        <w:ind w:firstLine="560" w:firstLineChars="200"/>
        <w:jc w:val="center"/>
        <w:rPr>
          <w:rFonts w:ascii="黑体" w:hAnsi="黑体" w:eastAsia="黑体" w:cs="黑体"/>
          <w:color w:val="auto"/>
          <w:sz w:val="28"/>
          <w:szCs w:val="28"/>
          <w:highlight w:val="none"/>
        </w:rPr>
      </w:pPr>
      <w:r>
        <w:rPr>
          <w:rFonts w:hint="eastAsia" w:ascii="黑体" w:hAnsi="黑体" w:eastAsia="黑体" w:cs="黑体"/>
          <w:color w:val="auto"/>
          <w:sz w:val="28"/>
          <w:szCs w:val="28"/>
          <w:highlight w:val="none"/>
        </w:rPr>
        <w:t>表1 “十五五”期末应急管理综合指标规划目标</w:t>
      </w:r>
    </w:p>
    <w:tbl>
      <w:tblPr>
        <w:tblStyle w:val="18"/>
        <w:tblW w:w="50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9"/>
        <w:gridCol w:w="5674"/>
        <w:gridCol w:w="1315"/>
        <w:gridCol w:w="1318"/>
      </w:tblGrid>
      <w:tr w14:paraId="5801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58503D7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黑体" w:cs="Times New Roman"/>
                <w:color w:val="auto"/>
                <w:sz w:val="28"/>
                <w:szCs w:val="28"/>
                <w:highlight w:val="none"/>
              </w:rPr>
            </w:pPr>
            <w:bookmarkStart w:id="168" w:name="_Toc718968009_WPSOffice_Level1"/>
            <w:bookmarkStart w:id="169" w:name="_Toc437441363"/>
            <w:bookmarkStart w:id="170" w:name="_Toc440119015"/>
            <w:bookmarkStart w:id="171" w:name="_Toc440130962"/>
            <w:bookmarkStart w:id="172" w:name="_Toc423287692"/>
            <w:bookmarkStart w:id="173" w:name="_Toc72507466"/>
            <w:bookmarkStart w:id="174" w:name="_Toc455514605"/>
            <w:r>
              <w:rPr>
                <w:rFonts w:ascii="Times New Roman" w:hAnsi="Times New Roman" w:eastAsia="黑体" w:cs="Times New Roman"/>
                <w:color w:val="auto"/>
                <w:sz w:val="28"/>
                <w:szCs w:val="28"/>
                <w:highlight w:val="none"/>
              </w:rPr>
              <w:t>序号</w:t>
            </w:r>
          </w:p>
        </w:tc>
        <w:tc>
          <w:tcPr>
            <w:tcW w:w="3149" w:type="pct"/>
            <w:vAlign w:val="center"/>
          </w:tcPr>
          <w:p w14:paraId="435390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黑体" w:cs="Times New Roman"/>
                <w:color w:val="auto"/>
                <w:sz w:val="28"/>
                <w:szCs w:val="28"/>
                <w:highlight w:val="none"/>
              </w:rPr>
            </w:pPr>
            <w:r>
              <w:rPr>
                <w:rFonts w:ascii="Times New Roman" w:hAnsi="Times New Roman" w:eastAsia="黑体" w:cs="Times New Roman"/>
                <w:color w:val="auto"/>
                <w:sz w:val="28"/>
                <w:szCs w:val="28"/>
                <w:highlight w:val="none"/>
              </w:rPr>
              <w:t>指标名称</w:t>
            </w:r>
          </w:p>
        </w:tc>
        <w:tc>
          <w:tcPr>
            <w:tcW w:w="730" w:type="pct"/>
            <w:vAlign w:val="center"/>
          </w:tcPr>
          <w:p w14:paraId="407536E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Times New Roman"/>
                <w:color w:val="auto"/>
                <w:spacing w:val="-18"/>
                <w:sz w:val="28"/>
                <w:szCs w:val="28"/>
                <w:highlight w:val="none"/>
                <w:lang w:eastAsia="zh-CN"/>
              </w:rPr>
            </w:pPr>
            <w:r>
              <w:rPr>
                <w:rFonts w:hint="eastAsia" w:ascii="Times New Roman" w:hAnsi="Times New Roman" w:eastAsia="黑体" w:cs="Times New Roman"/>
                <w:color w:val="auto"/>
                <w:spacing w:val="-18"/>
                <w:sz w:val="28"/>
                <w:szCs w:val="28"/>
                <w:highlight w:val="none"/>
                <w:lang w:val="en-US" w:eastAsia="zh-CN"/>
              </w:rPr>
              <w:t>预期值</w:t>
            </w:r>
          </w:p>
        </w:tc>
        <w:tc>
          <w:tcPr>
            <w:tcW w:w="731" w:type="pct"/>
            <w:vAlign w:val="center"/>
          </w:tcPr>
          <w:p w14:paraId="1914D22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黑体" w:cs="Times New Roman"/>
                <w:color w:val="auto"/>
                <w:sz w:val="28"/>
                <w:szCs w:val="28"/>
                <w:highlight w:val="none"/>
                <w:lang w:eastAsia="zh-CN"/>
              </w:rPr>
            </w:pPr>
            <w:r>
              <w:rPr>
                <w:rFonts w:hint="eastAsia" w:ascii="Times New Roman" w:hAnsi="Times New Roman" w:eastAsia="黑体" w:cs="Times New Roman"/>
                <w:color w:val="auto"/>
                <w:sz w:val="28"/>
                <w:szCs w:val="28"/>
                <w:highlight w:val="none"/>
                <w:lang w:val="en-US" w:eastAsia="zh-CN"/>
              </w:rPr>
              <w:t>属性</w:t>
            </w:r>
          </w:p>
        </w:tc>
      </w:tr>
      <w:tr w14:paraId="4D11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2FBCEED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1</w:t>
            </w:r>
          </w:p>
        </w:tc>
        <w:tc>
          <w:tcPr>
            <w:tcW w:w="3149" w:type="pct"/>
            <w:vAlign w:val="center"/>
          </w:tcPr>
          <w:p w14:paraId="42C6C9B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单位地区生产总值生产安全事故死亡率</w:t>
            </w:r>
          </w:p>
          <w:p w14:paraId="2A00E7C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（人/百亿</w:t>
            </w:r>
            <w:r>
              <w:rPr>
                <w:rFonts w:hint="eastAsia" w:ascii="Times New Roman" w:hAnsi="Times New Roman" w:eastAsia="仿宋_GB2312" w:cs="Times New Roman"/>
                <w:color w:val="auto"/>
                <w:sz w:val="28"/>
                <w:szCs w:val="28"/>
                <w:highlight w:val="none"/>
                <w:lang w:val="en-US" w:eastAsia="zh-CN"/>
              </w:rPr>
              <w:t>元</w:t>
            </w:r>
            <w:r>
              <w:rPr>
                <w:rFonts w:ascii="Times New Roman" w:hAnsi="Times New Roman" w:eastAsia="仿宋_GB2312" w:cs="Times New Roman"/>
                <w:color w:val="auto"/>
                <w:sz w:val="28"/>
                <w:szCs w:val="28"/>
                <w:highlight w:val="none"/>
              </w:rPr>
              <w:t>）</w:t>
            </w:r>
          </w:p>
        </w:tc>
        <w:tc>
          <w:tcPr>
            <w:tcW w:w="730" w:type="pct"/>
            <w:vAlign w:val="center"/>
          </w:tcPr>
          <w:p w14:paraId="01400B8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sz w:val="28"/>
                <w:szCs w:val="28"/>
                <w:highlight w:val="none"/>
              </w:rPr>
            </w:pPr>
            <w:r>
              <w:rPr>
                <w:rFonts w:hint="eastAsia" w:ascii="仿宋" w:hAnsi="仿宋" w:eastAsia="仿宋" w:cs="仿宋"/>
                <w:b w:val="0"/>
                <w:bCs w:val="0"/>
                <w:color w:val="auto"/>
                <w:sz w:val="28"/>
                <w:szCs w:val="28"/>
                <w:highlight w:val="none"/>
                <w:lang w:val="en-US" w:eastAsia="zh-CN"/>
              </w:rPr>
              <w:t>&lt;</w:t>
            </w:r>
            <w:r>
              <w:rPr>
                <w:rFonts w:hint="default" w:ascii="Times New Roman" w:hAnsi="Times New Roman" w:eastAsia="仿宋" w:cs="Times New Roman"/>
                <w:b w:val="0"/>
                <w:bCs w:val="0"/>
                <w:color w:val="auto"/>
                <w:sz w:val="28"/>
                <w:szCs w:val="28"/>
                <w:highlight w:val="none"/>
                <w:lang w:val="en-US" w:eastAsia="zh-CN"/>
              </w:rPr>
              <w:t>0.6</w:t>
            </w:r>
          </w:p>
        </w:tc>
        <w:tc>
          <w:tcPr>
            <w:tcW w:w="731" w:type="pct"/>
            <w:vAlign w:val="center"/>
          </w:tcPr>
          <w:p w14:paraId="0844301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约束性</w:t>
            </w:r>
          </w:p>
        </w:tc>
      </w:tr>
      <w:tr w14:paraId="0CCE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0F6371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sz w:val="28"/>
                <w:szCs w:val="28"/>
                <w:highlight w:val="none"/>
                <w:lang w:eastAsia="zh-CN"/>
              </w:rPr>
            </w:pPr>
            <w:r>
              <w:rPr>
                <w:rFonts w:hint="eastAsia" w:ascii="Times New Roman" w:hAnsi="Times New Roman" w:eastAsia="仿宋_GB2312" w:cs="Times New Roman"/>
                <w:color w:val="auto"/>
                <w:sz w:val="28"/>
                <w:szCs w:val="28"/>
                <w:highlight w:val="none"/>
                <w:lang w:val="en-US" w:eastAsia="zh-CN"/>
              </w:rPr>
              <w:t>2</w:t>
            </w:r>
          </w:p>
        </w:tc>
        <w:tc>
          <w:tcPr>
            <w:tcW w:w="3149" w:type="pct"/>
            <w:vAlign w:val="center"/>
          </w:tcPr>
          <w:p w14:paraId="343419C9">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color w:val="auto"/>
                <w:sz w:val="28"/>
                <w:szCs w:val="28"/>
                <w:highlight w:val="none"/>
                <w:lang w:eastAsia="zh-CN"/>
              </w:rPr>
            </w:pPr>
            <w:r>
              <w:rPr>
                <w:rFonts w:hint="eastAsia" w:ascii="Times New Roman" w:hAnsi="Times New Roman" w:eastAsia="仿宋_GB2312" w:cs="Times New Roman"/>
                <w:color w:val="auto"/>
                <w:spacing w:val="-2"/>
                <w:sz w:val="28"/>
                <w:szCs w:val="28"/>
                <w:highlight w:val="none"/>
                <w:lang w:val="en-US" w:eastAsia="zh-CN"/>
              </w:rPr>
              <w:t>十</w:t>
            </w:r>
            <w:r>
              <w:rPr>
                <w:rFonts w:ascii="Times New Roman" w:hAnsi="Times New Roman" w:eastAsia="仿宋_GB2312" w:cs="Times New Roman"/>
                <w:color w:val="auto"/>
                <w:spacing w:val="-2"/>
                <w:sz w:val="28"/>
                <w:szCs w:val="28"/>
                <w:highlight w:val="none"/>
              </w:rPr>
              <w:t>万常住人口火灾死亡率</w:t>
            </w:r>
          </w:p>
        </w:tc>
        <w:tc>
          <w:tcPr>
            <w:tcW w:w="730" w:type="pct"/>
            <w:vAlign w:val="center"/>
          </w:tcPr>
          <w:p w14:paraId="4536613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highlight w:val="none"/>
                <w:lang w:val="en-US"/>
              </w:rPr>
            </w:pPr>
            <w:r>
              <w:rPr>
                <w:rFonts w:hint="default" w:ascii="Times New Roman" w:hAnsi="Times New Roman" w:eastAsia="仿宋" w:cs="Times New Roman"/>
                <w:b w:val="0"/>
                <w:bCs w:val="0"/>
                <w:color w:val="auto"/>
                <w:sz w:val="28"/>
                <w:szCs w:val="28"/>
                <w:highlight w:val="none"/>
                <w:lang w:val="en-US" w:eastAsia="zh-CN"/>
              </w:rPr>
              <w:t>≤</w:t>
            </w:r>
            <w:r>
              <w:rPr>
                <w:rFonts w:hint="default" w:ascii="Times New Roman" w:hAnsi="Times New Roman" w:eastAsia="宋体" w:cs="Times New Roman"/>
                <w:b w:val="0"/>
                <w:bCs w:val="0"/>
                <w:color w:val="auto"/>
                <w:kern w:val="0"/>
                <w:sz w:val="28"/>
                <w:szCs w:val="28"/>
                <w:highlight w:val="none"/>
                <w:lang w:val="en-US" w:eastAsia="zh-CN" w:bidi="ar-SA"/>
              </w:rPr>
              <w:t>0.25</w:t>
            </w:r>
          </w:p>
        </w:tc>
        <w:tc>
          <w:tcPr>
            <w:tcW w:w="731" w:type="pct"/>
            <w:vAlign w:val="center"/>
          </w:tcPr>
          <w:p w14:paraId="02A1596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lang w:val="en-US" w:eastAsia="zh-CN"/>
              </w:rPr>
              <w:t>预期性</w:t>
            </w:r>
          </w:p>
        </w:tc>
      </w:tr>
      <w:tr w14:paraId="78A8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3B7D0F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sz w:val="28"/>
                <w:szCs w:val="28"/>
                <w:highlight w:val="none"/>
                <w:lang w:eastAsia="zh-CN"/>
              </w:rPr>
            </w:pPr>
            <w:r>
              <w:rPr>
                <w:rFonts w:hint="eastAsia" w:ascii="Times New Roman" w:hAnsi="Times New Roman" w:eastAsia="仿宋_GB2312" w:cs="Times New Roman"/>
                <w:color w:val="auto"/>
                <w:sz w:val="28"/>
                <w:szCs w:val="28"/>
                <w:highlight w:val="none"/>
                <w:lang w:val="en-US" w:eastAsia="zh-CN"/>
              </w:rPr>
              <w:t>3</w:t>
            </w:r>
          </w:p>
        </w:tc>
        <w:tc>
          <w:tcPr>
            <w:tcW w:w="3149" w:type="pct"/>
            <w:vAlign w:val="center"/>
          </w:tcPr>
          <w:p w14:paraId="14618EB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rPr>
              <w:t>道路交通事故死亡人数</w:t>
            </w:r>
            <w:r>
              <w:rPr>
                <w:rFonts w:hint="eastAsia" w:ascii="Times New Roman" w:hAnsi="Times New Roman" w:eastAsia="仿宋_GB2312" w:cs="Times New Roman"/>
                <w:color w:val="auto"/>
                <w:sz w:val="28"/>
                <w:szCs w:val="28"/>
                <w:highlight w:val="none"/>
                <w:lang w:val="en-US" w:eastAsia="zh-CN"/>
              </w:rPr>
              <w:t>下降率</w:t>
            </w:r>
          </w:p>
        </w:tc>
        <w:tc>
          <w:tcPr>
            <w:tcW w:w="730" w:type="pct"/>
            <w:vAlign w:val="center"/>
          </w:tcPr>
          <w:p w14:paraId="0393D96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highlight w:val="none"/>
                <w:lang w:val="en-US"/>
              </w:rPr>
            </w:pPr>
            <w:r>
              <w:rPr>
                <w:rFonts w:hint="default" w:ascii="Times New Roman" w:hAnsi="Times New Roman" w:eastAsia="宋体" w:cs="Times New Roman"/>
                <w:b w:val="0"/>
                <w:bCs w:val="0"/>
                <w:color w:val="auto"/>
                <w:sz w:val="28"/>
                <w:szCs w:val="28"/>
                <w:highlight w:val="none"/>
                <w:lang w:val="en-US" w:eastAsia="zh-CN"/>
              </w:rPr>
              <w:t>3</w:t>
            </w:r>
            <w:r>
              <w:rPr>
                <w:rFonts w:hint="eastAsia" w:ascii="Times New Roman" w:hAnsi="Times New Roman" w:eastAsia="宋体" w:cs="Times New Roman"/>
                <w:b w:val="0"/>
                <w:bCs w:val="0"/>
                <w:color w:val="auto"/>
                <w:sz w:val="28"/>
                <w:szCs w:val="28"/>
                <w:highlight w:val="none"/>
                <w:lang w:val="en-US" w:eastAsia="zh-CN"/>
              </w:rPr>
              <w:t>%</w:t>
            </w:r>
          </w:p>
        </w:tc>
        <w:tc>
          <w:tcPr>
            <w:tcW w:w="731" w:type="pct"/>
            <w:vAlign w:val="center"/>
          </w:tcPr>
          <w:p w14:paraId="2A9A235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约束性</w:t>
            </w:r>
          </w:p>
        </w:tc>
      </w:tr>
      <w:tr w14:paraId="5DFB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6444746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4</w:t>
            </w:r>
          </w:p>
        </w:tc>
        <w:tc>
          <w:tcPr>
            <w:tcW w:w="3149" w:type="pct"/>
            <w:vAlign w:val="center"/>
          </w:tcPr>
          <w:p w14:paraId="4536EA30">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Times New Roman" w:hAnsi="Times New Roman" w:eastAsia="仿宋_GB2312" w:cs="Times New Roman"/>
                <w:color w:val="auto"/>
                <w:sz w:val="28"/>
                <w:szCs w:val="28"/>
                <w:highlight w:val="none"/>
                <w:lang w:val="en-US" w:eastAsia="zh-CN"/>
              </w:rPr>
            </w:pPr>
            <w:r>
              <w:rPr>
                <w:rFonts w:ascii="Times New Roman" w:hAnsi="Times New Roman" w:eastAsia="仿宋_GB2312" w:cs="Times New Roman"/>
                <w:color w:val="auto"/>
                <w:sz w:val="28"/>
                <w:szCs w:val="28"/>
                <w:highlight w:val="none"/>
              </w:rPr>
              <w:t>年均每百万人口因自然灾害死亡率</w:t>
            </w:r>
          </w:p>
        </w:tc>
        <w:tc>
          <w:tcPr>
            <w:tcW w:w="730" w:type="pct"/>
            <w:shd w:val="clear" w:color="auto" w:fill="auto"/>
            <w:vAlign w:val="center"/>
          </w:tcPr>
          <w:p w14:paraId="246F71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&lt;</w:t>
            </w:r>
            <w:r>
              <w:rPr>
                <w:rFonts w:hint="default" w:ascii="Times New Roman" w:hAnsi="Times New Roman" w:eastAsia="仿宋" w:cs="Times New Roman"/>
                <w:b w:val="0"/>
                <w:bCs w:val="0"/>
                <w:color w:val="auto"/>
                <w:sz w:val="28"/>
                <w:szCs w:val="28"/>
                <w:highlight w:val="none"/>
                <w:lang w:val="en-US" w:eastAsia="zh-CN"/>
              </w:rPr>
              <w:t>0.9</w:t>
            </w:r>
          </w:p>
        </w:tc>
        <w:tc>
          <w:tcPr>
            <w:tcW w:w="731" w:type="pct"/>
            <w:shd w:val="clear" w:color="auto" w:fill="auto"/>
            <w:vAlign w:val="center"/>
          </w:tcPr>
          <w:p w14:paraId="0D2BB1C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预期</w:t>
            </w:r>
            <w:r>
              <w:rPr>
                <w:rFonts w:ascii="Times New Roman" w:hAnsi="Times New Roman" w:eastAsia="仿宋_GB2312" w:cs="Times New Roman"/>
                <w:color w:val="auto"/>
                <w:sz w:val="28"/>
                <w:szCs w:val="28"/>
                <w:highlight w:val="none"/>
              </w:rPr>
              <w:t>性</w:t>
            </w:r>
          </w:p>
        </w:tc>
      </w:tr>
      <w:tr w14:paraId="2D18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388" w:type="pct"/>
            <w:vAlign w:val="center"/>
          </w:tcPr>
          <w:p w14:paraId="63997DF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sz w:val="28"/>
                <w:szCs w:val="28"/>
                <w:highlight w:val="none"/>
                <w:lang w:eastAsia="zh-CN"/>
              </w:rPr>
            </w:pPr>
            <w:r>
              <w:rPr>
                <w:rFonts w:hint="eastAsia" w:ascii="Times New Roman" w:hAnsi="Times New Roman" w:eastAsia="仿宋_GB2312" w:cs="Times New Roman"/>
                <w:color w:val="auto"/>
                <w:sz w:val="28"/>
                <w:szCs w:val="28"/>
                <w:highlight w:val="none"/>
                <w:lang w:val="en-US" w:eastAsia="zh-CN"/>
              </w:rPr>
              <w:t>5</w:t>
            </w:r>
          </w:p>
        </w:tc>
        <w:tc>
          <w:tcPr>
            <w:tcW w:w="3149" w:type="pct"/>
            <w:vAlign w:val="center"/>
          </w:tcPr>
          <w:p w14:paraId="5E6D2F24">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lang w:val="en-US" w:eastAsia="zh-CN"/>
              </w:rPr>
              <w:t>年均每十万人受灾人次</w:t>
            </w:r>
          </w:p>
        </w:tc>
        <w:tc>
          <w:tcPr>
            <w:tcW w:w="730" w:type="pct"/>
            <w:shd w:val="clear" w:color="auto" w:fill="auto"/>
            <w:vAlign w:val="center"/>
          </w:tcPr>
          <w:p w14:paraId="6B5AA5D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kern w:val="2"/>
                <w:sz w:val="28"/>
                <w:szCs w:val="28"/>
                <w:highlight w:val="none"/>
                <w:lang w:val="en-US" w:eastAsia="zh-CN" w:bidi="ar-SA"/>
              </w:rPr>
            </w:pPr>
            <w:r>
              <w:rPr>
                <w:rFonts w:hint="eastAsia" w:ascii="仿宋" w:hAnsi="仿宋" w:eastAsia="仿宋" w:cs="仿宋"/>
                <w:b w:val="0"/>
                <w:bCs w:val="0"/>
                <w:color w:val="auto"/>
                <w:sz w:val="28"/>
                <w:szCs w:val="28"/>
                <w:highlight w:val="none"/>
                <w:lang w:val="en-US" w:eastAsia="zh-CN"/>
              </w:rPr>
              <w:t>&lt;</w:t>
            </w:r>
            <w:r>
              <w:rPr>
                <w:rFonts w:hint="default" w:ascii="Times New Roman" w:hAnsi="Times New Roman" w:eastAsia="仿宋" w:cs="Times New Roman"/>
                <w:b w:val="0"/>
                <w:bCs w:val="0"/>
                <w:color w:val="auto"/>
                <w:sz w:val="28"/>
                <w:szCs w:val="28"/>
                <w:highlight w:val="none"/>
                <w:lang w:val="en-US" w:eastAsia="zh-CN"/>
              </w:rPr>
              <w:t>1</w:t>
            </w:r>
            <w:r>
              <w:rPr>
                <w:rFonts w:hint="eastAsia" w:ascii="Times New Roman" w:hAnsi="Times New Roman" w:eastAsia="仿宋" w:cs="Times New Roman"/>
                <w:b w:val="0"/>
                <w:bCs w:val="0"/>
                <w:color w:val="auto"/>
                <w:sz w:val="28"/>
                <w:szCs w:val="28"/>
                <w:highlight w:val="none"/>
                <w:lang w:val="en-US" w:eastAsia="zh-CN"/>
              </w:rPr>
              <w:t>0</w:t>
            </w:r>
            <w:r>
              <w:rPr>
                <w:rFonts w:hint="default" w:ascii="Times New Roman" w:hAnsi="Times New Roman" w:eastAsia="仿宋" w:cs="Times New Roman"/>
                <w:b w:val="0"/>
                <w:bCs w:val="0"/>
                <w:color w:val="auto"/>
                <w:sz w:val="28"/>
                <w:szCs w:val="28"/>
                <w:highlight w:val="none"/>
                <w:lang w:val="en-US" w:eastAsia="zh-CN"/>
              </w:rPr>
              <w:t>000</w:t>
            </w:r>
          </w:p>
        </w:tc>
        <w:tc>
          <w:tcPr>
            <w:tcW w:w="731" w:type="pct"/>
            <w:shd w:val="clear" w:color="auto" w:fill="auto"/>
            <w:vAlign w:val="center"/>
          </w:tcPr>
          <w:p w14:paraId="710F96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sz w:val="28"/>
                <w:szCs w:val="28"/>
                <w:highlight w:val="none"/>
              </w:rPr>
              <w:t>预期</w:t>
            </w:r>
            <w:r>
              <w:rPr>
                <w:rFonts w:ascii="Times New Roman" w:hAnsi="Times New Roman" w:eastAsia="仿宋_GB2312" w:cs="Times New Roman"/>
                <w:color w:val="auto"/>
                <w:sz w:val="28"/>
                <w:szCs w:val="28"/>
                <w:highlight w:val="none"/>
              </w:rPr>
              <w:t>性</w:t>
            </w:r>
          </w:p>
        </w:tc>
      </w:tr>
      <w:tr w14:paraId="2E2C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528746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6</w:t>
            </w:r>
          </w:p>
        </w:tc>
        <w:tc>
          <w:tcPr>
            <w:tcW w:w="3149" w:type="pct"/>
            <w:vAlign w:val="center"/>
          </w:tcPr>
          <w:p w14:paraId="05BACA1D">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color w:val="auto"/>
                <w:sz w:val="28"/>
                <w:szCs w:val="28"/>
                <w:highlight w:val="none"/>
                <w:lang w:val="en-US" w:eastAsia="zh-CN"/>
              </w:rPr>
            </w:pPr>
            <w:r>
              <w:rPr>
                <w:rFonts w:ascii="Times New Roman" w:hAnsi="Times New Roman" w:eastAsia="仿宋_GB2312" w:cs="Times New Roman"/>
                <w:color w:val="auto"/>
                <w:sz w:val="28"/>
                <w:szCs w:val="28"/>
                <w:highlight w:val="none"/>
              </w:rPr>
              <w:t>年均因自然灾害直接经济损失占地区生产总值</w:t>
            </w:r>
            <w:r>
              <w:rPr>
                <w:rFonts w:hint="eastAsia" w:ascii="Times New Roman" w:hAnsi="Times New Roman" w:eastAsia="仿宋_GB2312" w:cs="Times New Roman"/>
                <w:color w:val="auto"/>
                <w:sz w:val="28"/>
                <w:szCs w:val="28"/>
                <w:highlight w:val="none"/>
                <w:lang w:val="en-US" w:eastAsia="zh-CN"/>
              </w:rPr>
              <w:t>比例</w:t>
            </w:r>
          </w:p>
        </w:tc>
        <w:tc>
          <w:tcPr>
            <w:tcW w:w="730" w:type="pct"/>
            <w:vAlign w:val="center"/>
          </w:tcPr>
          <w:p w14:paraId="58E3AB8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宋体" w:cs="Times New Roman"/>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&lt;</w:t>
            </w:r>
            <w:r>
              <w:rPr>
                <w:rFonts w:hint="default" w:ascii="Times New Roman" w:hAnsi="Times New Roman" w:eastAsia="仿宋" w:cs="Times New Roman"/>
                <w:b w:val="0"/>
                <w:bCs w:val="0"/>
                <w:color w:val="auto"/>
                <w:sz w:val="28"/>
                <w:szCs w:val="28"/>
                <w:highlight w:val="none"/>
                <w:lang w:val="en-US" w:eastAsia="zh-CN"/>
              </w:rPr>
              <w:t>0.8%</w:t>
            </w:r>
          </w:p>
        </w:tc>
        <w:tc>
          <w:tcPr>
            <w:tcW w:w="731" w:type="pct"/>
            <w:vAlign w:val="center"/>
          </w:tcPr>
          <w:p w14:paraId="256861A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预期</w:t>
            </w:r>
            <w:r>
              <w:rPr>
                <w:rFonts w:ascii="Times New Roman" w:hAnsi="Times New Roman" w:eastAsia="仿宋_GB2312" w:cs="Times New Roman"/>
                <w:color w:val="auto"/>
                <w:sz w:val="28"/>
                <w:szCs w:val="28"/>
                <w:highlight w:val="none"/>
              </w:rPr>
              <w:t>性</w:t>
            </w:r>
          </w:p>
        </w:tc>
      </w:tr>
      <w:tr w14:paraId="7B57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shd w:val="clear" w:color="auto" w:fill="auto"/>
            <w:vAlign w:val="center"/>
          </w:tcPr>
          <w:p w14:paraId="34B8E8E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sz w:val="28"/>
                <w:szCs w:val="28"/>
                <w:highlight w:val="none"/>
                <w:lang w:val="en-US" w:eastAsia="zh-CN"/>
              </w:rPr>
              <w:t>7</w:t>
            </w:r>
          </w:p>
        </w:tc>
        <w:tc>
          <w:tcPr>
            <w:tcW w:w="3149" w:type="pct"/>
            <w:shd w:val="clear" w:color="auto" w:fill="auto"/>
            <w:vAlign w:val="center"/>
          </w:tcPr>
          <w:p w14:paraId="3D50536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color w:val="auto"/>
                <w:spacing w:val="-2"/>
                <w:kern w:val="2"/>
                <w:sz w:val="28"/>
                <w:szCs w:val="28"/>
                <w:highlight w:val="none"/>
                <w:lang w:val="en-US" w:eastAsia="zh-CN" w:bidi="ar-SA"/>
              </w:rPr>
            </w:pPr>
            <w:r>
              <w:rPr>
                <w:rFonts w:hint="default" w:ascii="Times New Roman" w:hAnsi="Times New Roman" w:eastAsia="仿宋_GB2312" w:cs="Times New Roman"/>
                <w:color w:val="auto"/>
                <w:sz w:val="28"/>
                <w:szCs w:val="28"/>
                <w:highlight w:val="none"/>
              </w:rPr>
              <w:t>人均应急避难场所面积</w:t>
            </w:r>
            <w:r>
              <w:rPr>
                <w:rFonts w:ascii="Times New Roman" w:hAnsi="Times New Roman" w:eastAsia="仿宋_GB2312" w:cs="Times New Roman"/>
                <w:color w:val="auto"/>
                <w:spacing w:val="-2"/>
                <w:sz w:val="28"/>
                <w:szCs w:val="28"/>
                <w:highlight w:val="none"/>
              </w:rPr>
              <w:t>（</w:t>
            </w:r>
            <w:r>
              <w:rPr>
                <w:rFonts w:hint="default" w:ascii="Times New Roman" w:hAnsi="Times New Roman" w:eastAsia="仿宋_GB2312" w:cs="Times New Roman"/>
                <w:color w:val="auto"/>
                <w:sz w:val="28"/>
                <w:szCs w:val="28"/>
                <w:highlight w:val="none"/>
              </w:rPr>
              <w:t>平方米</w:t>
            </w:r>
            <w:r>
              <w:rPr>
                <w:rFonts w:ascii="Times New Roman" w:hAnsi="Times New Roman" w:eastAsia="仿宋_GB2312" w:cs="Times New Roman"/>
                <w:color w:val="auto"/>
                <w:spacing w:val="-2"/>
                <w:sz w:val="28"/>
                <w:szCs w:val="28"/>
                <w:highlight w:val="none"/>
              </w:rPr>
              <w:t>）</w:t>
            </w:r>
          </w:p>
        </w:tc>
        <w:tc>
          <w:tcPr>
            <w:tcW w:w="730" w:type="pct"/>
            <w:shd w:val="clear" w:color="auto" w:fill="auto"/>
            <w:vAlign w:val="center"/>
          </w:tcPr>
          <w:p w14:paraId="6185BE3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default" w:ascii="Times New Roman" w:hAnsi="Times New Roman" w:eastAsia="宋体" w:cs="Times New Roman"/>
                <w:b w:val="0"/>
                <w:bCs w:val="0"/>
                <w:color w:val="auto"/>
                <w:sz w:val="28"/>
                <w:szCs w:val="28"/>
                <w:highlight w:val="none"/>
                <w:lang w:val="en-US" w:eastAsia="zh-CN"/>
              </w:rPr>
              <w:t>1.8</w:t>
            </w:r>
          </w:p>
        </w:tc>
        <w:tc>
          <w:tcPr>
            <w:tcW w:w="731" w:type="pct"/>
            <w:shd w:val="clear" w:color="auto" w:fill="auto"/>
            <w:vAlign w:val="center"/>
          </w:tcPr>
          <w:p w14:paraId="75B9729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sz w:val="28"/>
                <w:szCs w:val="28"/>
                <w:highlight w:val="none"/>
              </w:rPr>
              <w:t>预期</w:t>
            </w:r>
            <w:r>
              <w:rPr>
                <w:rFonts w:ascii="Times New Roman" w:hAnsi="Times New Roman" w:eastAsia="仿宋_GB2312" w:cs="Times New Roman"/>
                <w:color w:val="auto"/>
                <w:sz w:val="28"/>
                <w:szCs w:val="28"/>
                <w:highlight w:val="none"/>
              </w:rPr>
              <w:t>性</w:t>
            </w:r>
          </w:p>
        </w:tc>
      </w:tr>
      <w:tr w14:paraId="572F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88" w:type="pct"/>
            <w:vAlign w:val="center"/>
          </w:tcPr>
          <w:p w14:paraId="49C31AC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8</w:t>
            </w:r>
          </w:p>
        </w:tc>
        <w:tc>
          <w:tcPr>
            <w:tcW w:w="3149" w:type="pct"/>
            <w:shd w:val="clear" w:color="auto" w:fill="auto"/>
            <w:vAlign w:val="center"/>
          </w:tcPr>
          <w:p w14:paraId="0D457D5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建设规划消防救援站（座）</w:t>
            </w:r>
          </w:p>
        </w:tc>
        <w:tc>
          <w:tcPr>
            <w:tcW w:w="730" w:type="pct"/>
            <w:shd w:val="clear" w:color="auto" w:fill="auto"/>
            <w:vAlign w:val="center"/>
          </w:tcPr>
          <w:p w14:paraId="3890DFD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宋体" w:cs="Times New Roman"/>
                <w:b w:val="0"/>
                <w:bCs w:val="0"/>
                <w:color w:val="auto"/>
                <w:sz w:val="28"/>
                <w:szCs w:val="28"/>
                <w:highlight w:val="none"/>
                <w:lang w:val="en-US" w:eastAsia="zh-CN"/>
              </w:rPr>
              <w:t>4</w:t>
            </w:r>
          </w:p>
        </w:tc>
        <w:tc>
          <w:tcPr>
            <w:tcW w:w="731" w:type="pct"/>
            <w:shd w:val="clear" w:color="auto" w:fill="auto"/>
            <w:vAlign w:val="center"/>
          </w:tcPr>
          <w:p w14:paraId="63A3CFF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约束</w:t>
            </w:r>
            <w:r>
              <w:rPr>
                <w:rFonts w:hint="eastAsia" w:ascii="Times New Roman" w:hAnsi="Times New Roman" w:eastAsia="仿宋_GB2312" w:cs="Times New Roman"/>
                <w:color w:val="auto"/>
                <w:sz w:val="28"/>
                <w:szCs w:val="28"/>
                <w:highlight w:val="none"/>
              </w:rPr>
              <w:t>性</w:t>
            </w:r>
          </w:p>
        </w:tc>
      </w:tr>
      <w:tr w14:paraId="24299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jc w:val="center"/>
        </w:trPr>
        <w:tc>
          <w:tcPr>
            <w:tcW w:w="388" w:type="pct"/>
            <w:shd w:val="clear" w:color="auto" w:fill="auto"/>
            <w:vAlign w:val="center"/>
          </w:tcPr>
          <w:p w14:paraId="372753F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sz w:val="28"/>
                <w:szCs w:val="28"/>
                <w:highlight w:val="none"/>
                <w:lang w:val="en-US" w:eastAsia="zh-CN"/>
              </w:rPr>
              <w:t>9</w:t>
            </w:r>
          </w:p>
        </w:tc>
        <w:tc>
          <w:tcPr>
            <w:tcW w:w="3149" w:type="pct"/>
            <w:shd w:val="clear" w:color="auto" w:fill="auto"/>
            <w:vAlign w:val="center"/>
          </w:tcPr>
          <w:p w14:paraId="11F53AB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imes New Roman" w:hAnsi="Times New Roman" w:eastAsia="仿宋_GB2312" w:cs="Times New Roman"/>
                <w:color w:val="auto"/>
                <w:spacing w:val="-2"/>
                <w:kern w:val="2"/>
                <w:sz w:val="28"/>
                <w:szCs w:val="28"/>
                <w:highlight w:val="none"/>
                <w:lang w:val="en-US" w:eastAsia="zh-CN" w:bidi="ar-SA"/>
              </w:rPr>
            </w:pPr>
            <w:r>
              <w:rPr>
                <w:rFonts w:hint="eastAsia" w:ascii="Times New Roman" w:hAnsi="Times New Roman" w:eastAsia="仿宋_GB2312" w:cs="Times New Roman"/>
                <w:color w:val="auto"/>
                <w:spacing w:val="-2"/>
                <w:sz w:val="28"/>
                <w:szCs w:val="28"/>
                <w:highlight w:val="none"/>
                <w:lang w:val="en-US" w:eastAsia="zh-CN"/>
              </w:rPr>
              <w:t>万人常住人口拥有消防员数</w:t>
            </w:r>
          </w:p>
        </w:tc>
        <w:tc>
          <w:tcPr>
            <w:tcW w:w="730" w:type="pct"/>
            <w:shd w:val="clear" w:color="auto" w:fill="auto"/>
            <w:vAlign w:val="center"/>
          </w:tcPr>
          <w:p w14:paraId="51549BA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 w:cs="Times New Roman"/>
                <w:b w:val="0"/>
                <w:bCs w:val="0"/>
                <w:color w:val="auto"/>
                <w:kern w:val="2"/>
                <w:sz w:val="28"/>
                <w:szCs w:val="28"/>
                <w:highlight w:val="none"/>
                <w:lang w:val="en-US" w:eastAsia="zh-CN" w:bidi="ar-SA"/>
              </w:rPr>
            </w:pPr>
            <w:r>
              <w:rPr>
                <w:rFonts w:hint="eastAsia" w:ascii="Times New Roman" w:hAnsi="Times New Roman" w:eastAsia="仿宋" w:cs="Times New Roman"/>
                <w:b w:val="0"/>
                <w:bCs w:val="0"/>
                <w:color w:val="auto"/>
                <w:sz w:val="28"/>
                <w:szCs w:val="28"/>
                <w:highlight w:val="none"/>
                <w:lang w:val="en-US" w:eastAsia="zh-CN"/>
              </w:rPr>
              <w:t>7.0</w:t>
            </w:r>
          </w:p>
        </w:tc>
        <w:tc>
          <w:tcPr>
            <w:tcW w:w="731" w:type="pct"/>
            <w:shd w:val="clear" w:color="auto" w:fill="auto"/>
            <w:vAlign w:val="center"/>
          </w:tcPr>
          <w:p w14:paraId="1070DD0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sz w:val="28"/>
                <w:szCs w:val="28"/>
                <w:highlight w:val="none"/>
                <w:lang w:val="en-US" w:eastAsia="zh-CN"/>
              </w:rPr>
              <w:t>约束性</w:t>
            </w:r>
          </w:p>
        </w:tc>
      </w:tr>
      <w:bookmarkEnd w:id="168"/>
      <w:bookmarkEnd w:id="169"/>
      <w:bookmarkEnd w:id="170"/>
      <w:bookmarkEnd w:id="171"/>
      <w:bookmarkEnd w:id="172"/>
      <w:bookmarkEnd w:id="173"/>
      <w:bookmarkEnd w:id="174"/>
    </w:tbl>
    <w:p w14:paraId="7AF3ACE3">
      <w:pPr>
        <w:rPr>
          <w:rFonts w:ascii="Times New Roman" w:hAnsi="Times New Roman" w:eastAsia="仿宋_GB2312" w:cs="Times New Roman"/>
          <w:color w:val="auto"/>
          <w:sz w:val="32"/>
          <w:szCs w:val="20"/>
          <w:highlight w:val="none"/>
        </w:rPr>
      </w:pPr>
      <w:r>
        <w:rPr>
          <w:rFonts w:ascii="Times New Roman" w:hAnsi="Times New Roman" w:eastAsia="仿宋_GB2312" w:cs="Times New Roman"/>
          <w:color w:val="auto"/>
          <w:sz w:val="32"/>
          <w:szCs w:val="20"/>
          <w:highlight w:val="none"/>
        </w:rPr>
        <w:br w:type="page"/>
      </w:r>
    </w:p>
    <w:p w14:paraId="7E58F9A2">
      <w:pPr>
        <w:pStyle w:val="28"/>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lang w:val="en-US" w:eastAsia="zh-CN"/>
        </w:rPr>
      </w:pPr>
      <w:bookmarkStart w:id="175" w:name="_Toc9577"/>
      <w:bookmarkStart w:id="176" w:name="_Toc25505"/>
      <w:bookmarkStart w:id="177" w:name="_Toc22"/>
      <w:bookmarkStart w:id="178" w:name="_Toc3365"/>
      <w:bookmarkStart w:id="179" w:name="_Toc14658"/>
      <w:bookmarkStart w:id="180" w:name="_Toc32321"/>
      <w:bookmarkStart w:id="181" w:name="_Toc635"/>
      <w:bookmarkStart w:id="182" w:name="_Toc26923"/>
      <w:bookmarkStart w:id="183" w:name="_Toc22671"/>
      <w:bookmarkStart w:id="184" w:name="_Toc18611"/>
      <w:bookmarkStart w:id="185" w:name="_Toc14487"/>
      <w:bookmarkStart w:id="186" w:name="_Toc1332"/>
      <w:bookmarkStart w:id="187" w:name="_Toc17514"/>
      <w:bookmarkStart w:id="188" w:name="_Toc19864"/>
      <w:bookmarkStart w:id="189" w:name="_Toc9491"/>
      <w:bookmarkStart w:id="190" w:name="_Toc1641"/>
      <w:bookmarkStart w:id="191" w:name="_Toc1190"/>
      <w:r>
        <w:rPr>
          <w:rFonts w:hint="eastAsia" w:ascii="Times New Roman" w:hAnsi="Times New Roman" w:eastAsia="方正小标宋简体" w:cs="Times New Roman"/>
          <w:color w:val="auto"/>
          <w:kern w:val="44"/>
          <w:sz w:val="36"/>
          <w:szCs w:val="36"/>
          <w:highlight w:val="none"/>
          <w:lang w:val="en-US" w:eastAsia="zh-CN"/>
        </w:rPr>
        <w:t>第三篇 主要任务</w:t>
      </w:r>
      <w:bookmarkEnd w:id="0"/>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4DCB7A1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192" w:name="_Toc6227"/>
      <w:bookmarkStart w:id="193" w:name="_Toc6508"/>
      <w:bookmarkStart w:id="194" w:name="_Toc13486"/>
      <w:bookmarkStart w:id="195" w:name="_Toc19577"/>
      <w:bookmarkStart w:id="196" w:name="_Toc4585"/>
      <w:bookmarkStart w:id="197" w:name="_Toc4049"/>
      <w:bookmarkStart w:id="198" w:name="_Toc7560"/>
      <w:bookmarkStart w:id="199" w:name="_Toc18483"/>
      <w:bookmarkStart w:id="200" w:name="_Toc1722"/>
      <w:bookmarkStart w:id="201" w:name="_Toc10588"/>
      <w:bookmarkStart w:id="202" w:name="_Toc8816"/>
      <w:bookmarkStart w:id="203" w:name="_Toc23644"/>
      <w:bookmarkStart w:id="204" w:name="_Toc17018"/>
      <w:bookmarkStart w:id="205" w:name="_Toc25320"/>
      <w:bookmarkStart w:id="206" w:name="_Toc22101"/>
      <w:bookmarkStart w:id="207" w:name="_Toc7753"/>
      <w:bookmarkStart w:id="208" w:name="_Toc19182"/>
      <w:bookmarkStart w:id="209" w:name="_Toc3862"/>
      <w:r>
        <w:rPr>
          <w:rFonts w:hint="eastAsia" w:ascii="Times New Roman" w:hAnsi="Times New Roman" w:eastAsia="黑体" w:cs="黑体"/>
          <w:color w:val="auto"/>
          <w:kern w:val="0"/>
          <w:sz w:val="32"/>
          <w:szCs w:val="32"/>
          <w:highlight w:val="none"/>
          <w:lang w:val="en-US" w:eastAsia="zh-CN" w:bidi="ar-SA"/>
        </w:rPr>
        <w:t>第一章 聚焦大安全大应急，健全应急管理组织体系</w:t>
      </w:r>
      <w:bookmarkEnd w:id="1"/>
      <w:bookmarkEnd w:id="2"/>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20389E1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一、优化应急管理组织架构</w:t>
      </w:r>
    </w:p>
    <w:p w14:paraId="244CCDBB">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健全大安全大应急组织框架，加强党的全面领导，强化对应急管理职能、人员、物资、资金等事项的统筹保障。整合优化议事协调机构，建立健全工作例会、定期通报、挂联指导等机制，充分发挥其组织保障、综合协调、督促落实等作用。建立专业管理架构和队伍，实行专人专岗，负责安全与突发事件信息接收、研判、处理和协调指挥。完善工作机制，推进区、街乡、社区三级应急管理工作有机衔接。持续加强“三办五指”</w:t>
      </w:r>
      <w:r>
        <w:rPr>
          <w:rStyle w:val="21"/>
          <w:rFonts w:hint="eastAsia" w:ascii="Times New Roman" w:hAnsi="Times New Roman" w:eastAsia="仿宋_GB2312" w:cs="Times New Roman"/>
          <w:bCs/>
          <w:color w:val="auto"/>
          <w:sz w:val="32"/>
          <w:szCs w:val="20"/>
          <w:highlight w:val="none"/>
        </w:rPr>
        <w:footnoteReference w:id="0"/>
      </w:r>
      <w:r>
        <w:rPr>
          <w:rFonts w:hint="eastAsia" w:ascii="Times New Roman" w:hAnsi="Times New Roman" w:eastAsia="仿宋_GB2312" w:cs="Times New Roman"/>
          <w:bCs/>
          <w:color w:val="auto"/>
          <w:sz w:val="32"/>
          <w:szCs w:val="20"/>
          <w:highlight w:val="none"/>
        </w:rPr>
        <w:t>应急联动，提高突发事件处置效能。</w:t>
      </w:r>
    </w:p>
    <w:p w14:paraId="4C0B1E0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二、健全应急统筹指挥机制</w:t>
      </w:r>
    </w:p>
    <w:p w14:paraId="3F88FFA3">
      <w:pPr>
        <w:keepLines w:val="0"/>
        <w:pageBreakBefore w:val="0"/>
        <w:kinsoku/>
        <w:wordWrap/>
        <w:overflowPunct/>
        <w:topLinePunct w:val="0"/>
        <w:autoSpaceDE/>
        <w:autoSpaceDN/>
        <w:bidi w:val="0"/>
        <w:adjustRightInd w:val="0"/>
        <w:snapToGrid w:val="0"/>
        <w:spacing w:line="560" w:lineRule="exact"/>
        <w:ind w:firstLine="640" w:firstLineChars="200"/>
        <w:rPr>
          <w:rFonts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构建集中</w:t>
      </w:r>
      <w:r>
        <w:rPr>
          <w:rFonts w:hint="eastAsia" w:ascii="Times New Roman" w:hAnsi="Times New Roman" w:eastAsia="仿宋_GB2312" w:cs="Times New Roman"/>
          <w:bCs/>
          <w:color w:val="auto"/>
          <w:sz w:val="32"/>
          <w:szCs w:val="20"/>
          <w:highlight w:val="none"/>
          <w:lang w:val="en-US" w:eastAsia="zh-CN"/>
        </w:rPr>
        <w:t>统一</w:t>
      </w:r>
      <w:r>
        <w:rPr>
          <w:rFonts w:hint="eastAsia" w:ascii="Times New Roman" w:hAnsi="Times New Roman" w:eastAsia="仿宋_GB2312" w:cs="Times New Roman"/>
          <w:bCs/>
          <w:color w:val="auto"/>
          <w:sz w:val="32"/>
          <w:szCs w:val="20"/>
          <w:highlight w:val="none"/>
        </w:rPr>
        <w:t>、扁平</w:t>
      </w:r>
      <w:r>
        <w:rPr>
          <w:rFonts w:hint="eastAsia" w:ascii="Times New Roman" w:hAnsi="Times New Roman" w:eastAsia="仿宋_GB2312" w:cs="Times New Roman"/>
          <w:bCs/>
          <w:color w:val="auto"/>
          <w:sz w:val="32"/>
          <w:szCs w:val="20"/>
          <w:highlight w:val="none"/>
          <w:lang w:val="en-US" w:eastAsia="zh-CN"/>
        </w:rPr>
        <w:t>高效的</w:t>
      </w:r>
      <w:r>
        <w:rPr>
          <w:rFonts w:hint="eastAsia" w:ascii="Times New Roman" w:hAnsi="Times New Roman" w:eastAsia="仿宋_GB2312" w:cs="Times New Roman"/>
          <w:bCs/>
          <w:color w:val="auto"/>
          <w:sz w:val="32"/>
          <w:szCs w:val="20"/>
          <w:highlight w:val="none"/>
        </w:rPr>
        <w:t>应急指挥</w:t>
      </w:r>
      <w:r>
        <w:rPr>
          <w:rFonts w:hint="eastAsia" w:ascii="Times New Roman" w:hAnsi="Times New Roman" w:eastAsia="仿宋_GB2312" w:cs="Times New Roman"/>
          <w:bCs/>
          <w:color w:val="auto"/>
          <w:sz w:val="32"/>
          <w:szCs w:val="20"/>
          <w:highlight w:val="none"/>
          <w:lang w:val="en-US" w:eastAsia="zh-CN"/>
        </w:rPr>
        <w:t>体系</w:t>
      </w:r>
      <w:r>
        <w:rPr>
          <w:rFonts w:hint="eastAsia" w:ascii="Times New Roman" w:hAnsi="Times New Roman" w:eastAsia="仿宋_GB2312" w:cs="Times New Roman"/>
          <w:bCs/>
          <w:color w:val="auto"/>
          <w:sz w:val="32"/>
          <w:szCs w:val="20"/>
          <w:highlight w:val="none"/>
        </w:rPr>
        <w:t>，统一领导全区自然灾害、事故灾难等突发事件应对工作。完善“区—街乡—社区（村）”三级应急指挥体系。构建巨灾</w:t>
      </w:r>
      <w:r>
        <w:rPr>
          <w:rFonts w:hint="eastAsia" w:ascii="Times New Roman" w:hAnsi="Times New Roman" w:eastAsia="仿宋_GB2312" w:cs="Times New Roman"/>
          <w:bCs/>
          <w:color w:val="auto"/>
          <w:sz w:val="32"/>
          <w:szCs w:val="20"/>
          <w:highlight w:val="none"/>
          <w:lang w:val="en-US" w:eastAsia="zh-CN"/>
        </w:rPr>
        <w:t>协同</w:t>
      </w:r>
      <w:r>
        <w:rPr>
          <w:rFonts w:hint="eastAsia" w:ascii="Times New Roman" w:hAnsi="Times New Roman" w:eastAsia="仿宋_GB2312" w:cs="Times New Roman"/>
          <w:bCs/>
          <w:color w:val="auto"/>
          <w:sz w:val="32"/>
          <w:szCs w:val="20"/>
          <w:highlight w:val="none"/>
        </w:rPr>
        <w:t>应对格局</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持续加强</w:t>
      </w:r>
      <w:r>
        <w:rPr>
          <w:rFonts w:hint="eastAsia" w:ascii="Times New Roman" w:hAnsi="Times New Roman" w:eastAsia="仿宋_GB2312" w:cs="Times New Roman"/>
          <w:bCs/>
          <w:color w:val="auto"/>
          <w:sz w:val="32"/>
          <w:szCs w:val="20"/>
          <w:highlight w:val="none"/>
        </w:rPr>
        <w:t>极端洪涝、</w:t>
      </w:r>
      <w:r>
        <w:rPr>
          <w:rFonts w:hint="eastAsia" w:ascii="Times New Roman" w:hAnsi="Times New Roman" w:eastAsia="仿宋_GB2312" w:cs="Times New Roman"/>
          <w:bCs/>
          <w:color w:val="auto"/>
          <w:sz w:val="32"/>
          <w:szCs w:val="20"/>
          <w:highlight w:val="none"/>
          <w:lang w:val="en-US" w:eastAsia="zh-CN"/>
        </w:rPr>
        <w:t>破坏性</w:t>
      </w:r>
      <w:r>
        <w:rPr>
          <w:rFonts w:hint="eastAsia" w:ascii="Times New Roman" w:hAnsi="Times New Roman" w:eastAsia="仿宋_GB2312" w:cs="Times New Roman"/>
          <w:bCs/>
          <w:color w:val="auto"/>
          <w:sz w:val="32"/>
          <w:szCs w:val="20"/>
          <w:highlight w:val="none"/>
        </w:rPr>
        <w:t>地震</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雨雪冰冻</w:t>
      </w:r>
      <w:r>
        <w:rPr>
          <w:rFonts w:hint="eastAsia" w:ascii="Times New Roman" w:hAnsi="Times New Roman" w:eastAsia="仿宋_GB2312" w:cs="Times New Roman"/>
          <w:bCs/>
          <w:color w:val="auto"/>
          <w:sz w:val="32"/>
          <w:szCs w:val="20"/>
          <w:highlight w:val="none"/>
        </w:rPr>
        <w:t>等</w:t>
      </w:r>
      <w:r>
        <w:rPr>
          <w:rFonts w:hint="eastAsia" w:ascii="Times New Roman" w:hAnsi="Times New Roman" w:eastAsia="仿宋_GB2312" w:cs="Times New Roman"/>
          <w:bCs/>
          <w:color w:val="auto"/>
          <w:sz w:val="32"/>
          <w:szCs w:val="20"/>
          <w:highlight w:val="none"/>
          <w:lang w:val="en-US" w:eastAsia="zh-CN"/>
        </w:rPr>
        <w:t>巨灾</w:t>
      </w:r>
      <w:r>
        <w:rPr>
          <w:rFonts w:hint="eastAsia" w:ascii="Times New Roman" w:hAnsi="Times New Roman" w:eastAsia="仿宋_GB2312" w:cs="Times New Roman"/>
          <w:bCs/>
          <w:color w:val="auto"/>
          <w:sz w:val="32"/>
          <w:szCs w:val="20"/>
          <w:highlight w:val="none"/>
        </w:rPr>
        <w:t>情景</w:t>
      </w:r>
      <w:r>
        <w:rPr>
          <w:rFonts w:hint="eastAsia" w:ascii="Times New Roman" w:hAnsi="Times New Roman" w:eastAsia="仿宋_GB2312" w:cs="Times New Roman"/>
          <w:bCs/>
          <w:color w:val="auto"/>
          <w:sz w:val="32"/>
          <w:szCs w:val="20"/>
          <w:highlight w:val="none"/>
          <w:lang w:val="en-US" w:eastAsia="zh-CN"/>
        </w:rPr>
        <w:t>应对处置</w:t>
      </w:r>
      <w:r>
        <w:rPr>
          <w:rFonts w:hint="eastAsia" w:ascii="Times New Roman" w:hAnsi="Times New Roman" w:eastAsia="仿宋_GB2312" w:cs="Times New Roman"/>
          <w:bCs/>
          <w:color w:val="auto"/>
          <w:sz w:val="32"/>
          <w:szCs w:val="20"/>
          <w:highlight w:val="none"/>
        </w:rPr>
        <w:t>。强化应急管理部门综合协调和统筹调度、街乡依法先期处置、职能部门协调处置、应急力量专业处置职能，规范信息汇总、会商研判、指挥协调等工作流程。完善应急联动机制，深化“四联机制”</w:t>
      </w:r>
      <w:r>
        <w:rPr>
          <w:rStyle w:val="21"/>
          <w:rFonts w:hint="eastAsia" w:ascii="Times New Roman" w:hAnsi="Times New Roman" w:eastAsia="仿宋_GB2312" w:cs="Times New Roman"/>
          <w:bCs/>
          <w:color w:val="auto"/>
          <w:sz w:val="32"/>
          <w:szCs w:val="20"/>
          <w:highlight w:val="none"/>
        </w:rPr>
        <w:footnoteReference w:id="1"/>
      </w:r>
      <w:r>
        <w:rPr>
          <w:rFonts w:hint="eastAsia" w:ascii="Times New Roman" w:hAnsi="Times New Roman" w:eastAsia="仿宋_GB2312" w:cs="Times New Roman"/>
          <w:bCs/>
          <w:color w:val="auto"/>
          <w:sz w:val="32"/>
          <w:szCs w:val="20"/>
          <w:highlight w:val="none"/>
        </w:rPr>
        <w:t>，推动区、街乡值班室规范化建设，</w:t>
      </w:r>
      <w:r>
        <w:rPr>
          <w:rFonts w:hint="eastAsia" w:ascii="Times New Roman" w:hAnsi="Times New Roman" w:eastAsia="仿宋_GB2312" w:cs="Times New Roman"/>
          <w:bCs/>
          <w:color w:val="auto"/>
          <w:sz w:val="32"/>
          <w:szCs w:val="20"/>
          <w:highlight w:val="none"/>
          <w:lang w:val="en-US" w:eastAsia="zh-CN"/>
        </w:rPr>
        <w:t>提升</w:t>
      </w:r>
      <w:r>
        <w:rPr>
          <w:rFonts w:hint="eastAsia" w:ascii="Times New Roman" w:hAnsi="Times New Roman" w:eastAsia="仿宋_GB2312" w:cs="Times New Roman"/>
          <w:bCs/>
          <w:color w:val="auto"/>
          <w:sz w:val="32"/>
          <w:szCs w:val="20"/>
          <w:highlight w:val="none"/>
        </w:rPr>
        <w:t>值班值守</w:t>
      </w:r>
      <w:r>
        <w:rPr>
          <w:rFonts w:hint="eastAsia" w:ascii="Times New Roman" w:hAnsi="Times New Roman" w:eastAsia="仿宋_GB2312" w:cs="Times New Roman"/>
          <w:bCs/>
          <w:color w:val="auto"/>
          <w:sz w:val="32"/>
          <w:szCs w:val="20"/>
          <w:highlight w:val="none"/>
          <w:lang w:val="en-US" w:eastAsia="zh-CN"/>
        </w:rPr>
        <w:t>与</w:t>
      </w:r>
      <w:r>
        <w:rPr>
          <w:rFonts w:hint="eastAsia" w:ascii="Times New Roman" w:hAnsi="Times New Roman" w:eastAsia="仿宋_GB2312" w:cs="Times New Roman"/>
          <w:bCs/>
          <w:color w:val="auto"/>
          <w:sz w:val="32"/>
          <w:szCs w:val="20"/>
          <w:highlight w:val="none"/>
        </w:rPr>
        <w:t>指挥水平。推进应急指挥中心规范化建设，</w:t>
      </w:r>
      <w:r>
        <w:rPr>
          <w:rFonts w:hint="eastAsia" w:ascii="Times New Roman" w:hAnsi="Times New Roman" w:eastAsia="仿宋_GB2312" w:cs="Times New Roman"/>
          <w:bCs/>
          <w:color w:val="auto"/>
          <w:sz w:val="32"/>
          <w:szCs w:val="20"/>
          <w:highlight w:val="none"/>
          <w:lang w:val="en-US" w:eastAsia="zh-CN"/>
        </w:rPr>
        <w:t>明确前</w:t>
      </w:r>
      <w:r>
        <w:rPr>
          <w:rFonts w:hint="eastAsia" w:ascii="Times New Roman" w:hAnsi="Times New Roman" w:eastAsia="仿宋_GB2312" w:cs="Times New Roman"/>
          <w:bCs/>
          <w:color w:val="auto"/>
          <w:sz w:val="32"/>
          <w:szCs w:val="20"/>
          <w:highlight w:val="none"/>
        </w:rPr>
        <w:t>后方</w:t>
      </w:r>
      <w:r>
        <w:rPr>
          <w:rFonts w:hint="eastAsia" w:ascii="Times New Roman" w:hAnsi="Times New Roman" w:eastAsia="仿宋_GB2312" w:cs="Times New Roman"/>
          <w:bCs/>
          <w:color w:val="auto"/>
          <w:sz w:val="32"/>
          <w:szCs w:val="20"/>
          <w:highlight w:val="none"/>
          <w:lang w:val="en-US" w:eastAsia="zh-CN"/>
        </w:rPr>
        <w:t>指挥部</w:t>
      </w:r>
      <w:r>
        <w:rPr>
          <w:rFonts w:hint="eastAsia" w:ascii="Times New Roman" w:hAnsi="Times New Roman" w:eastAsia="仿宋_GB2312" w:cs="Times New Roman"/>
          <w:bCs/>
          <w:color w:val="auto"/>
          <w:sz w:val="32"/>
          <w:szCs w:val="20"/>
          <w:highlight w:val="none"/>
        </w:rPr>
        <w:t>结构标准。健全</w:t>
      </w:r>
      <w:r>
        <w:rPr>
          <w:rFonts w:hint="eastAsia" w:ascii="Times New Roman" w:hAnsi="Times New Roman" w:eastAsia="仿宋_GB2312" w:cs="Times New Roman"/>
          <w:bCs/>
          <w:color w:val="auto"/>
          <w:sz w:val="32"/>
          <w:szCs w:val="20"/>
          <w:highlight w:val="none"/>
          <w:lang w:val="en-US" w:eastAsia="zh-CN"/>
        </w:rPr>
        <w:t>街乡</w:t>
      </w:r>
      <w:r>
        <w:rPr>
          <w:rFonts w:hint="eastAsia" w:ascii="Times New Roman" w:hAnsi="Times New Roman" w:eastAsia="仿宋_GB2312" w:cs="Times New Roman"/>
          <w:bCs/>
          <w:color w:val="auto"/>
          <w:sz w:val="32"/>
          <w:szCs w:val="20"/>
          <w:highlight w:val="none"/>
        </w:rPr>
        <w:t>由综合保障或平安建设部门牵头的应急指挥机制，明确领导班子成员和有关单位职责，完善指挥调度、会商研判、业务保障等设施设备和系统，确保上下贯通、一体应对。</w:t>
      </w:r>
    </w:p>
    <w:p w14:paraId="3F87BE7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三、严格压实应急管理责任</w:t>
      </w:r>
    </w:p>
    <w:p w14:paraId="2420F3EE">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明确应急管理</w:t>
      </w:r>
      <w:r>
        <w:rPr>
          <w:rFonts w:hint="eastAsia" w:ascii="Times New Roman" w:hAnsi="Times New Roman" w:eastAsia="仿宋_GB2312" w:cs="Times New Roman"/>
          <w:bCs/>
          <w:color w:val="auto"/>
          <w:sz w:val="32"/>
          <w:szCs w:val="20"/>
          <w:highlight w:val="none"/>
          <w:lang w:eastAsia="zh-CN"/>
        </w:rPr>
        <w:t>职责</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lang w:eastAsia="zh-CN"/>
        </w:rPr>
        <w:t>进一步</w:t>
      </w:r>
      <w:r>
        <w:rPr>
          <w:rFonts w:hint="eastAsia" w:ascii="Times New Roman" w:hAnsi="Times New Roman" w:eastAsia="仿宋_GB2312" w:cs="Times New Roman"/>
          <w:bCs/>
          <w:color w:val="auto"/>
          <w:sz w:val="32"/>
          <w:szCs w:val="20"/>
          <w:highlight w:val="none"/>
        </w:rPr>
        <w:t>加强区应急委（区减灾委、区安委会）和区防火委的工作统筹协调力度，推动应急办、</w:t>
      </w:r>
      <w:r>
        <w:rPr>
          <w:rFonts w:hint="eastAsia" w:ascii="Times New Roman" w:hAnsi="Times New Roman" w:eastAsia="仿宋_GB2312" w:cs="Times New Roman"/>
          <w:color w:val="auto"/>
          <w:sz w:val="32"/>
          <w:szCs w:val="32"/>
          <w:highlight w:val="none"/>
        </w:rPr>
        <w:t>防</w:t>
      </w:r>
      <w:r>
        <w:rPr>
          <w:rFonts w:hint="eastAsia" w:ascii="Times New Roman" w:hAnsi="Times New Roman" w:eastAsia="仿宋_GB2312" w:cs="Times New Roman"/>
          <w:color w:val="auto"/>
          <w:sz w:val="32"/>
          <w:szCs w:val="32"/>
          <w:highlight w:val="none"/>
          <w:lang w:eastAsia="zh-CN"/>
        </w:rPr>
        <w:t>减</w:t>
      </w:r>
      <w:r>
        <w:rPr>
          <w:rFonts w:hint="eastAsia" w:ascii="Times New Roman" w:hAnsi="Times New Roman" w:eastAsia="仿宋_GB2312" w:cs="Times New Roman"/>
          <w:color w:val="auto"/>
          <w:sz w:val="32"/>
          <w:szCs w:val="32"/>
          <w:highlight w:val="none"/>
        </w:rPr>
        <w:t>救灾</w:t>
      </w:r>
      <w:r>
        <w:rPr>
          <w:rFonts w:hint="eastAsia" w:ascii="Times New Roman" w:hAnsi="Times New Roman" w:eastAsia="仿宋_GB2312" w:cs="Times New Roman"/>
          <w:bCs/>
          <w:color w:val="auto"/>
          <w:sz w:val="32"/>
          <w:szCs w:val="20"/>
          <w:highlight w:val="none"/>
        </w:rPr>
        <w:t>办、安委办、防火办“四办融合”</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color w:val="auto"/>
          <w:sz w:val="32"/>
          <w:szCs w:val="32"/>
          <w:highlight w:val="none"/>
        </w:rPr>
        <w:t>修订完善区应急委（</w:t>
      </w:r>
      <w:bookmarkStart w:id="210" w:name="OLE_LINK60"/>
      <w:r>
        <w:rPr>
          <w:rFonts w:hint="eastAsia" w:ascii="Times New Roman" w:hAnsi="Times New Roman" w:eastAsia="仿宋_GB2312" w:cs="Times New Roman"/>
          <w:color w:val="auto"/>
          <w:sz w:val="32"/>
          <w:szCs w:val="32"/>
          <w:highlight w:val="none"/>
        </w:rPr>
        <w:t>防灾救灾委</w:t>
      </w:r>
      <w:bookmarkEnd w:id="210"/>
      <w:r>
        <w:rPr>
          <w:rFonts w:hint="eastAsia" w:ascii="Times New Roman" w:hAnsi="Times New Roman" w:eastAsia="仿宋_GB2312" w:cs="Times New Roman"/>
          <w:color w:val="auto"/>
          <w:sz w:val="32"/>
          <w:szCs w:val="32"/>
          <w:highlight w:val="none"/>
        </w:rPr>
        <w:t>、安委会）和防火委工作规则</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color w:val="auto"/>
          <w:sz w:val="32"/>
          <w:szCs w:val="32"/>
          <w:highlight w:val="none"/>
        </w:rPr>
        <w:t>各专项应急指挥部办公室（各工作组牵头单位）、</w:t>
      </w:r>
      <w:bookmarkStart w:id="211" w:name="OLE_LINK203"/>
      <w:r>
        <w:rPr>
          <w:rFonts w:hint="eastAsia" w:ascii="Times New Roman" w:hAnsi="Times New Roman" w:eastAsia="仿宋_GB2312" w:cs="Times New Roman"/>
          <w:color w:val="auto"/>
          <w:sz w:val="32"/>
          <w:szCs w:val="32"/>
          <w:highlight w:val="none"/>
        </w:rPr>
        <w:t>突发事件各主责部门</w:t>
      </w:r>
      <w:bookmarkEnd w:id="211"/>
      <w:r>
        <w:rPr>
          <w:rFonts w:hint="eastAsia" w:ascii="Times New Roman" w:hAnsi="Times New Roman" w:eastAsia="仿宋_GB2312" w:cs="Times New Roman"/>
          <w:color w:val="auto"/>
          <w:sz w:val="32"/>
          <w:szCs w:val="32"/>
          <w:highlight w:val="none"/>
        </w:rPr>
        <w:t>加强专业指挥和业务指导</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lang w:val="en-US" w:eastAsia="zh-CN"/>
        </w:rPr>
        <w:t>实现</w:t>
      </w:r>
      <w:r>
        <w:rPr>
          <w:rFonts w:hint="eastAsia" w:ascii="Times New Roman" w:hAnsi="Times New Roman" w:eastAsia="仿宋_GB2312" w:cs="Times New Roman"/>
          <w:bCs/>
          <w:color w:val="auto"/>
          <w:sz w:val="32"/>
          <w:szCs w:val="20"/>
          <w:highlight w:val="none"/>
        </w:rPr>
        <w:t>隐患排查、风险识别、监测预警、处置</w:t>
      </w:r>
      <w:r>
        <w:rPr>
          <w:rFonts w:hint="eastAsia" w:ascii="Times New Roman" w:hAnsi="Times New Roman" w:eastAsia="仿宋_GB2312" w:cs="Times New Roman"/>
          <w:bCs/>
          <w:color w:val="auto"/>
          <w:sz w:val="32"/>
          <w:szCs w:val="20"/>
          <w:highlight w:val="none"/>
          <w:lang w:val="en-US" w:eastAsia="zh-CN"/>
        </w:rPr>
        <w:t>应对</w:t>
      </w:r>
      <w:r>
        <w:rPr>
          <w:rFonts w:hint="eastAsia" w:ascii="Times New Roman" w:hAnsi="Times New Roman" w:eastAsia="仿宋_GB2312" w:cs="Times New Roman"/>
          <w:bCs/>
          <w:color w:val="auto"/>
          <w:sz w:val="32"/>
          <w:szCs w:val="20"/>
          <w:highlight w:val="none"/>
        </w:rPr>
        <w:t>闭环</w:t>
      </w:r>
      <w:r>
        <w:rPr>
          <w:rFonts w:hint="eastAsia" w:ascii="Times New Roman" w:hAnsi="Times New Roman" w:eastAsia="仿宋_GB2312" w:cs="Times New Roman"/>
          <w:bCs/>
          <w:color w:val="auto"/>
          <w:sz w:val="32"/>
          <w:szCs w:val="20"/>
          <w:highlight w:val="none"/>
          <w:lang w:val="en-US" w:eastAsia="zh-CN"/>
        </w:rPr>
        <w:t>运作</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color w:val="auto"/>
          <w:sz w:val="32"/>
          <w:szCs w:val="32"/>
          <w:highlight w:val="none"/>
        </w:rPr>
        <w:t>街乡对照基本履职事项清单，负责依法依规开展或组织社区（村）开展巡查巡护、隐患排查、信息传递、先期处置、组织群众疏散撤离以及应急知识宣传普及等应急管理工作，落实“属地管理”责任。</w:t>
      </w:r>
    </w:p>
    <w:p w14:paraId="0FA49B8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12" w:name="_Toc25971"/>
      <w:bookmarkStart w:id="213" w:name="_Toc11856"/>
      <w:bookmarkStart w:id="214" w:name="_Toc20911"/>
      <w:bookmarkStart w:id="215" w:name="_Toc10780"/>
      <w:bookmarkStart w:id="216" w:name="_Toc22419"/>
      <w:bookmarkStart w:id="217" w:name="_Toc27307"/>
      <w:bookmarkStart w:id="218" w:name="_Toc20786"/>
      <w:bookmarkStart w:id="219" w:name="_Toc32334"/>
      <w:bookmarkStart w:id="220" w:name="_Toc17961"/>
      <w:bookmarkStart w:id="221" w:name="_Toc15226"/>
      <w:bookmarkStart w:id="222" w:name="_Toc27937"/>
      <w:bookmarkStart w:id="223" w:name="_Toc25795"/>
      <w:bookmarkStart w:id="224" w:name="_Toc23580"/>
      <w:r>
        <w:rPr>
          <w:rFonts w:hint="eastAsia" w:ascii="Times New Roman" w:hAnsi="Times New Roman" w:eastAsia="黑体" w:cs="黑体"/>
          <w:color w:val="auto"/>
          <w:kern w:val="0"/>
          <w:sz w:val="32"/>
          <w:szCs w:val="32"/>
          <w:highlight w:val="none"/>
          <w:lang w:val="en-US" w:eastAsia="zh-CN" w:bidi="ar-SA"/>
        </w:rPr>
        <w:t>第二章 锚定本质安全提升，完善安全生产治理体系</w:t>
      </w:r>
      <w:bookmarkEnd w:id="212"/>
      <w:bookmarkEnd w:id="213"/>
      <w:bookmarkEnd w:id="214"/>
      <w:bookmarkEnd w:id="215"/>
      <w:bookmarkEnd w:id="216"/>
      <w:bookmarkEnd w:id="217"/>
      <w:bookmarkEnd w:id="218"/>
      <w:bookmarkEnd w:id="219"/>
      <w:bookmarkEnd w:id="220"/>
      <w:bookmarkEnd w:id="221"/>
      <w:bookmarkEnd w:id="222"/>
      <w:bookmarkEnd w:id="223"/>
      <w:bookmarkEnd w:id="224"/>
    </w:p>
    <w:p w14:paraId="3EC9636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一、压紧压实安全生产责任</w:t>
      </w:r>
    </w:p>
    <w:p w14:paraId="629DB1ED">
      <w:pPr>
        <w:keepLines w:val="0"/>
        <w:pageBreakBefore w:val="0"/>
        <w:kinsoku/>
        <w:wordWrap/>
        <w:overflowPunct/>
        <w:topLinePunct w:val="0"/>
        <w:autoSpaceDE/>
        <w:autoSpaceDN/>
        <w:bidi w:val="0"/>
        <w:adjustRightInd w:val="0"/>
        <w:snapToGrid w:val="0"/>
        <w:spacing w:line="560" w:lineRule="exact"/>
        <w:ind w:firstLine="640" w:firstLineChars="200"/>
        <w:outlineLvl w:val="9"/>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lang w:val="en-US" w:eastAsia="zh-CN"/>
        </w:rPr>
        <w:t>严格</w:t>
      </w:r>
      <w:r>
        <w:rPr>
          <w:rFonts w:hint="eastAsia" w:ascii="Times New Roman" w:hAnsi="Times New Roman" w:eastAsia="仿宋_GB2312" w:cs="Times New Roman"/>
          <w:bCs/>
          <w:color w:val="auto"/>
          <w:sz w:val="32"/>
          <w:szCs w:val="28"/>
          <w:highlight w:val="none"/>
        </w:rPr>
        <w:t>落实“党政同责、一岗双责、齐抓共管、失职追责”要求，制定</w:t>
      </w:r>
      <w:r>
        <w:rPr>
          <w:rFonts w:hint="eastAsia" w:ascii="Times New Roman" w:hAnsi="Times New Roman" w:eastAsia="仿宋_GB2312" w:cs="Times New Roman"/>
          <w:bCs/>
          <w:color w:val="auto"/>
          <w:sz w:val="32"/>
          <w:szCs w:val="28"/>
          <w:highlight w:val="none"/>
          <w:lang w:val="en-US" w:eastAsia="zh-CN"/>
        </w:rPr>
        <w:t>政府</w:t>
      </w:r>
      <w:r>
        <w:rPr>
          <w:rFonts w:hint="eastAsia" w:ascii="Times New Roman" w:hAnsi="Times New Roman" w:eastAsia="仿宋_GB2312" w:cs="Times New Roman"/>
          <w:bCs/>
          <w:color w:val="auto"/>
          <w:sz w:val="32"/>
          <w:szCs w:val="28"/>
          <w:highlight w:val="none"/>
        </w:rPr>
        <w:t>领导</w:t>
      </w:r>
      <w:r>
        <w:rPr>
          <w:rFonts w:hint="eastAsia" w:ascii="Times New Roman" w:hAnsi="Times New Roman" w:eastAsia="仿宋_GB2312" w:cs="Times New Roman"/>
          <w:bCs/>
          <w:color w:val="auto"/>
          <w:sz w:val="32"/>
          <w:szCs w:val="28"/>
          <w:highlight w:val="none"/>
          <w:lang w:val="en-US" w:eastAsia="zh-CN"/>
        </w:rPr>
        <w:t>班子成员</w:t>
      </w:r>
      <w:r>
        <w:rPr>
          <w:rFonts w:hint="eastAsia" w:ascii="Times New Roman" w:hAnsi="Times New Roman" w:eastAsia="仿宋_GB2312" w:cs="Times New Roman"/>
          <w:bCs/>
          <w:color w:val="auto"/>
          <w:sz w:val="32"/>
          <w:szCs w:val="28"/>
          <w:highlight w:val="none"/>
        </w:rPr>
        <w:t>安全生产</w:t>
      </w:r>
      <w:r>
        <w:rPr>
          <w:rFonts w:hint="eastAsia" w:ascii="Times New Roman" w:hAnsi="Times New Roman" w:eastAsia="仿宋_GB2312" w:cs="Times New Roman"/>
          <w:bCs/>
          <w:color w:val="auto"/>
          <w:sz w:val="32"/>
          <w:szCs w:val="28"/>
          <w:highlight w:val="none"/>
          <w:lang w:val="en-US" w:eastAsia="zh-CN"/>
        </w:rPr>
        <w:t>和消防安全工作年度</w:t>
      </w:r>
      <w:r>
        <w:rPr>
          <w:rFonts w:hint="eastAsia" w:ascii="Times New Roman" w:hAnsi="Times New Roman" w:eastAsia="仿宋_GB2312" w:cs="Times New Roman"/>
          <w:bCs/>
          <w:color w:val="auto"/>
          <w:sz w:val="32"/>
          <w:szCs w:val="28"/>
          <w:highlight w:val="none"/>
        </w:rPr>
        <w:t>重点工作清单。推动“三管三必须”落地落实，</w:t>
      </w:r>
      <w:r>
        <w:rPr>
          <w:rFonts w:hint="eastAsia" w:ascii="Times New Roman" w:hAnsi="Times New Roman" w:eastAsia="仿宋_GB2312" w:cs="Times New Roman"/>
          <w:bCs/>
          <w:color w:val="auto"/>
          <w:sz w:val="32"/>
          <w:szCs w:val="28"/>
          <w:highlight w:val="none"/>
          <w:lang w:val="en-US" w:eastAsia="zh-CN"/>
        </w:rPr>
        <w:t>聚焦跨行业、多环节领域，全面构建“一件事”全链条监管体系，</w:t>
      </w:r>
      <w:r>
        <w:rPr>
          <w:rFonts w:hint="eastAsia" w:ascii="Times New Roman" w:hAnsi="Times New Roman" w:eastAsia="仿宋_GB2312" w:cs="Times New Roman"/>
          <w:bCs/>
          <w:color w:val="auto"/>
          <w:sz w:val="32"/>
          <w:szCs w:val="20"/>
          <w:highlight w:val="none"/>
        </w:rPr>
        <w:t>及时明确新业态、新技术、新领域安全生产和消防安全监管责任</w:t>
      </w:r>
      <w:r>
        <w:rPr>
          <w:rFonts w:hint="eastAsia" w:ascii="Times New Roman" w:hAnsi="Times New Roman" w:eastAsia="仿宋_GB2312" w:cs="Times New Roman"/>
          <w:bCs/>
          <w:color w:val="auto"/>
          <w:sz w:val="32"/>
          <w:szCs w:val="28"/>
          <w:highlight w:val="none"/>
        </w:rPr>
        <w:t>。编制实施年度安全生产考核细则，优化考核内容，提升考核质效，发挥</w:t>
      </w:r>
      <w:r>
        <w:rPr>
          <w:rFonts w:hint="eastAsia" w:ascii="Times New Roman" w:hAnsi="Times New Roman" w:eastAsia="仿宋_GB2312" w:cs="Times New Roman"/>
          <w:bCs/>
          <w:color w:val="auto"/>
          <w:sz w:val="32"/>
          <w:szCs w:val="28"/>
          <w:highlight w:val="none"/>
          <w:lang w:val="en-US" w:eastAsia="zh-CN"/>
        </w:rPr>
        <w:t>考核</w:t>
      </w:r>
      <w:r>
        <w:rPr>
          <w:rFonts w:hint="eastAsia" w:ascii="Times New Roman" w:hAnsi="Times New Roman" w:eastAsia="仿宋_GB2312" w:cs="Times New Roman"/>
          <w:bCs/>
          <w:color w:val="auto"/>
          <w:sz w:val="32"/>
          <w:szCs w:val="28"/>
          <w:highlight w:val="none"/>
        </w:rPr>
        <w:t>“指挥棒”作用。压实生产经营单位主体责任，落实安全风险分级管控和隐患排查治理双重预防机制，健全事故隐患内部报告奖励和安全监督检查制度，及时排查消除各类事故隐患。</w:t>
      </w:r>
    </w:p>
    <w:p w14:paraId="1E5ED1E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二、深化安全生产隐患治理</w:t>
      </w:r>
    </w:p>
    <w:p w14:paraId="0809A75D">
      <w:pPr>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聚焦重点行业领域、重点区域、重点单位、重点人员和重大基础设施，持续推进安全生产风险隐患排查整治专项行动，集中整治一批重大事故灾害风险隐患和重点难点问题。</w:t>
      </w:r>
      <w:r>
        <w:rPr>
          <w:rFonts w:hint="eastAsia" w:ascii="Times New Roman" w:hAnsi="Times New Roman" w:eastAsia="仿宋_GB2312" w:cs="Times New Roman"/>
          <w:bCs/>
          <w:color w:val="auto"/>
          <w:sz w:val="32"/>
          <w:szCs w:val="28"/>
          <w:highlight w:val="none"/>
          <w:lang w:val="en-US" w:eastAsia="zh-CN"/>
        </w:rPr>
        <w:t>针对</w:t>
      </w:r>
      <w:r>
        <w:rPr>
          <w:rFonts w:hint="eastAsia" w:ascii="Times New Roman" w:hAnsi="Times New Roman" w:eastAsia="仿宋_GB2312" w:cs="Times New Roman"/>
          <w:bCs/>
          <w:color w:val="auto"/>
          <w:sz w:val="32"/>
          <w:szCs w:val="28"/>
          <w:highlight w:val="none"/>
        </w:rPr>
        <w:t>突出问题和事故多发地区，创新点名调度模式，</w:t>
      </w:r>
      <w:r>
        <w:rPr>
          <w:rFonts w:hint="eastAsia" w:ascii="Times New Roman" w:hAnsi="Times New Roman" w:eastAsia="仿宋_GB2312" w:cs="Times New Roman"/>
          <w:bCs/>
          <w:color w:val="auto"/>
          <w:sz w:val="32"/>
          <w:szCs w:val="28"/>
          <w:highlight w:val="none"/>
          <w:lang w:val="en-US" w:eastAsia="zh-CN"/>
        </w:rPr>
        <w:t>巩固</w:t>
      </w:r>
      <w:r>
        <w:rPr>
          <w:rFonts w:hint="eastAsia" w:ascii="Times New Roman" w:hAnsi="Times New Roman" w:eastAsia="仿宋_GB2312" w:cs="Times New Roman"/>
          <w:bCs/>
          <w:color w:val="auto"/>
          <w:sz w:val="32"/>
          <w:szCs w:val="28"/>
          <w:highlight w:val="none"/>
        </w:rPr>
        <w:t>动火作业、电动自行车“不进楼不入户”等“小切口”专项治理成效。坚持重心下移、力量下沉，</w:t>
      </w:r>
      <w:r>
        <w:rPr>
          <w:rFonts w:hint="eastAsia" w:ascii="Times New Roman" w:hAnsi="Times New Roman" w:eastAsia="仿宋_GB2312" w:cs="Times New Roman"/>
          <w:bCs/>
          <w:color w:val="auto"/>
          <w:sz w:val="32"/>
          <w:szCs w:val="28"/>
          <w:highlight w:val="none"/>
          <w:lang w:val="en-US" w:eastAsia="zh-CN"/>
        </w:rPr>
        <w:t>加强</w:t>
      </w:r>
      <w:r>
        <w:rPr>
          <w:rFonts w:hint="eastAsia" w:ascii="Times New Roman" w:hAnsi="Times New Roman" w:eastAsia="仿宋_GB2312" w:cs="Times New Roman"/>
          <w:bCs/>
          <w:color w:val="auto"/>
          <w:sz w:val="32"/>
          <w:szCs w:val="28"/>
          <w:highlight w:val="none"/>
        </w:rPr>
        <w:t>区安委办、区防火办明查暗访、督导整改机制落实，持续开展明查暗访，发现问题隐患及时督促属地、部门进行整改。明确重大隐患判定标准，建立重大隐患上报机制，推动企业和社会化服务机构</w:t>
      </w:r>
      <w:r>
        <w:rPr>
          <w:rFonts w:hint="eastAsia" w:ascii="Times New Roman" w:hAnsi="Times New Roman" w:eastAsia="仿宋_GB2312" w:cs="Times New Roman"/>
          <w:bCs/>
          <w:color w:val="auto"/>
          <w:sz w:val="32"/>
          <w:szCs w:val="28"/>
          <w:highlight w:val="none"/>
          <w:lang w:val="en-US" w:eastAsia="zh-CN"/>
        </w:rPr>
        <w:t>开展</w:t>
      </w:r>
      <w:r>
        <w:rPr>
          <w:rFonts w:hint="eastAsia" w:ascii="Times New Roman" w:hAnsi="Times New Roman" w:eastAsia="仿宋_GB2312" w:cs="Times New Roman"/>
          <w:bCs/>
          <w:color w:val="auto"/>
          <w:sz w:val="32"/>
          <w:szCs w:val="28"/>
          <w:highlight w:val="none"/>
        </w:rPr>
        <w:t>精准排查整治。加强安全评价等技术服务机构管理，推动灾害保险模式创新和应用</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引导保险机构参与重大事故隐患排查整治，</w:t>
      </w:r>
      <w:r>
        <w:rPr>
          <w:rFonts w:hint="eastAsia" w:ascii="Times New Roman" w:hAnsi="Times New Roman" w:eastAsia="仿宋_GB2312" w:cs="Times New Roman"/>
          <w:bCs/>
          <w:color w:val="auto"/>
          <w:sz w:val="32"/>
          <w:szCs w:val="28"/>
          <w:highlight w:val="none"/>
          <w:lang w:val="en-US" w:eastAsia="zh-CN"/>
        </w:rPr>
        <w:t>切实</w:t>
      </w:r>
      <w:r>
        <w:rPr>
          <w:rFonts w:hint="eastAsia" w:ascii="Times New Roman" w:hAnsi="Times New Roman" w:eastAsia="仿宋_GB2312" w:cs="Times New Roman"/>
          <w:bCs/>
          <w:color w:val="auto"/>
          <w:sz w:val="32"/>
          <w:szCs w:val="28"/>
          <w:highlight w:val="none"/>
        </w:rPr>
        <w:t>减少安全隐患</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lang w:val="en-US" w:eastAsia="zh-CN"/>
        </w:rPr>
        <w:t>充分</w:t>
      </w:r>
      <w:r>
        <w:rPr>
          <w:rFonts w:hint="eastAsia" w:ascii="Times New Roman" w:hAnsi="Times New Roman" w:eastAsia="仿宋_GB2312" w:cs="Times New Roman"/>
          <w:bCs/>
          <w:color w:val="auto"/>
          <w:sz w:val="32"/>
          <w:szCs w:val="28"/>
          <w:highlight w:val="none"/>
        </w:rPr>
        <w:t>发挥保险制度在风险防范中的积极作用。</w:t>
      </w:r>
    </w:p>
    <w:p w14:paraId="703B337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三、开展重点领域专项整治</w:t>
      </w:r>
    </w:p>
    <w:p w14:paraId="339F0E3B">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eastAsia="仿宋_GB2312"/>
          <w:color w:val="auto"/>
          <w:sz w:val="32"/>
          <w:szCs w:val="32"/>
          <w:highlight w:val="none"/>
        </w:rPr>
        <w:t>建立</w:t>
      </w:r>
      <w:r>
        <w:rPr>
          <w:rFonts w:hint="eastAsia" w:eastAsia="仿宋_GB2312"/>
          <w:color w:val="auto"/>
          <w:sz w:val="32"/>
          <w:szCs w:val="32"/>
          <w:highlight w:val="none"/>
          <w:lang w:eastAsia="zh-CN"/>
        </w:rPr>
        <w:t>健全</w:t>
      </w:r>
      <w:r>
        <w:rPr>
          <w:rFonts w:hint="eastAsia" w:eastAsia="仿宋_GB2312"/>
          <w:color w:val="auto"/>
          <w:sz w:val="32"/>
          <w:szCs w:val="32"/>
          <w:highlight w:val="none"/>
        </w:rPr>
        <w:t>生产安全重大事故隐患和突出问题分级调度治理机制</w:t>
      </w:r>
      <w:r>
        <w:rPr>
          <w:rFonts w:hint="eastAsia" w:eastAsia="仿宋_GB2312"/>
          <w:color w:val="auto"/>
          <w:sz w:val="32"/>
          <w:szCs w:val="32"/>
          <w:highlight w:val="none"/>
          <w:lang w:eastAsia="zh-CN"/>
        </w:rPr>
        <w:t>，</w:t>
      </w:r>
      <w:r>
        <w:rPr>
          <w:rFonts w:hint="eastAsia" w:eastAsia="仿宋_GB2312"/>
          <w:color w:val="auto"/>
          <w:sz w:val="32"/>
          <w:szCs w:val="32"/>
          <w:highlight w:val="none"/>
        </w:rPr>
        <w:t>分区域、分灾种、分行业领域建立隐患排查治理台账，</w:t>
      </w:r>
      <w:r>
        <w:rPr>
          <w:rFonts w:hint="eastAsia" w:eastAsia="仿宋_GB2312"/>
          <w:color w:val="auto"/>
          <w:sz w:val="32"/>
          <w:szCs w:val="32"/>
          <w:highlight w:val="none"/>
          <w:lang w:val="en-US" w:eastAsia="zh-CN"/>
        </w:rPr>
        <w:t>严格落实</w:t>
      </w:r>
      <w:r>
        <w:rPr>
          <w:rFonts w:hint="eastAsia" w:eastAsia="仿宋_GB2312"/>
          <w:color w:val="auto"/>
          <w:sz w:val="32"/>
          <w:szCs w:val="32"/>
          <w:highlight w:val="none"/>
        </w:rPr>
        <w:t>“周调度、月复盘、季统筹”制度，实现隐患“即查即改、动态清零”。持续开展重大事故隐患动态清零行动，规范隐患排查治理工作流程，完善重大事故隐患督办制度，切实提升排查整改质量。全力压减道路交通安全事故</w:t>
      </w:r>
      <w:r>
        <w:rPr>
          <w:rFonts w:hint="eastAsia" w:eastAsia="仿宋_GB2312"/>
          <w:color w:val="auto"/>
          <w:sz w:val="32"/>
          <w:szCs w:val="32"/>
          <w:highlight w:val="none"/>
          <w:lang w:eastAsia="zh-CN"/>
        </w:rPr>
        <w:t>，</w:t>
      </w:r>
      <w:r>
        <w:rPr>
          <w:rFonts w:hint="eastAsia" w:ascii="Times New Roman" w:hAnsi="Times New Roman" w:eastAsia="仿宋_GB2312" w:cs="Times New Roman"/>
          <w:bCs/>
          <w:color w:val="auto"/>
          <w:sz w:val="32"/>
          <w:szCs w:val="20"/>
          <w:highlight w:val="none"/>
        </w:rPr>
        <w:t>健全营运车辆安全技术准入标准，</w:t>
      </w:r>
      <w:r>
        <w:rPr>
          <w:rFonts w:hint="eastAsia" w:ascii="仿宋_GB2312" w:hAnsi="仿宋_GB2312" w:eastAsia="仿宋_GB2312" w:cs="仿宋_GB2312"/>
          <w:bCs/>
          <w:color w:val="auto"/>
          <w:kern w:val="2"/>
          <w:sz w:val="32"/>
          <w:szCs w:val="32"/>
          <w:highlight w:val="none"/>
          <w:u w:val="none" w:color="auto"/>
          <w:lang w:val="en-US" w:eastAsia="zh-CN" w:bidi="ar-SA"/>
        </w:rPr>
        <w:t>推进长途客运车辆、旅游客车、危险物品运输车辆驾驶员实时监测预警设备安装普及率达</w:t>
      </w:r>
      <w:r>
        <w:rPr>
          <w:rFonts w:hint="eastAsia" w:ascii="Times New Roman" w:hAnsi="Times New Roman" w:eastAsia="仿宋_GB2312" w:cs="Times New Roman"/>
          <w:bCs/>
          <w:color w:val="auto"/>
          <w:sz w:val="32"/>
          <w:szCs w:val="20"/>
          <w:highlight w:val="none"/>
          <w:lang w:val="en-US" w:eastAsia="zh-CN"/>
        </w:rPr>
        <w:t>95%</w:t>
      </w:r>
      <w:r>
        <w:rPr>
          <w:rFonts w:hint="eastAsia" w:ascii="仿宋_GB2312" w:hAnsi="仿宋_GB2312" w:eastAsia="仿宋_GB2312" w:cs="仿宋_GB2312"/>
          <w:bCs/>
          <w:color w:val="auto"/>
          <w:kern w:val="2"/>
          <w:sz w:val="32"/>
          <w:szCs w:val="32"/>
          <w:highlight w:val="none"/>
          <w:u w:val="none" w:color="auto"/>
          <w:lang w:val="en-US" w:eastAsia="zh-CN" w:bidi="ar-SA"/>
        </w:rPr>
        <w:t>。提高重型货车智能视频监控、补盲摄像头及右转弯语音提醒装置普及率，督促落实“右转必停”道路交通安全规则。</w:t>
      </w:r>
      <w:r>
        <w:rPr>
          <w:rFonts w:hint="eastAsia" w:ascii="Times New Roman" w:hAnsi="Times New Roman" w:eastAsia="仿宋_GB2312" w:cs="Times New Roman"/>
          <w:bCs/>
          <w:color w:val="auto"/>
          <w:sz w:val="32"/>
          <w:szCs w:val="20"/>
          <w:highlight w:val="none"/>
        </w:rPr>
        <w:t>深入推进非机动车违法专项治理，严厉打击超速、逆行等行为，推动头盔佩戴率大幅提升、外卖</w:t>
      </w:r>
      <w:r>
        <w:rPr>
          <w:rFonts w:hint="eastAsia" w:ascii="Times New Roman" w:hAnsi="Times New Roman" w:eastAsia="仿宋_GB2312" w:cs="Times New Roman"/>
          <w:bCs/>
          <w:color w:val="auto"/>
          <w:sz w:val="32"/>
          <w:szCs w:val="20"/>
          <w:highlight w:val="none"/>
          <w:lang w:val="en-US" w:eastAsia="zh-CN"/>
        </w:rPr>
        <w:t>配送人员</w:t>
      </w:r>
      <w:r>
        <w:rPr>
          <w:rFonts w:hint="eastAsia" w:ascii="Times New Roman" w:hAnsi="Times New Roman" w:eastAsia="仿宋_GB2312" w:cs="Times New Roman"/>
          <w:bCs/>
          <w:color w:val="auto"/>
          <w:sz w:val="32"/>
          <w:szCs w:val="20"/>
          <w:highlight w:val="none"/>
        </w:rPr>
        <w:t>头盔佩戴率达100%。</w:t>
      </w:r>
      <w:r>
        <w:rPr>
          <w:rFonts w:hint="eastAsia" w:eastAsia="仿宋_GB2312"/>
          <w:color w:val="auto"/>
          <w:sz w:val="32"/>
          <w:szCs w:val="32"/>
          <w:highlight w:val="none"/>
          <w:lang w:val="en-US" w:eastAsia="zh-CN"/>
        </w:rPr>
        <w:t>加快</w:t>
      </w:r>
      <w:r>
        <w:rPr>
          <w:rFonts w:hint="default" w:ascii="Times New Roman" w:hAnsi="Times New Roman" w:eastAsia="仿宋_GB2312" w:cs="Times New Roman"/>
          <w:color w:val="auto"/>
          <w:sz w:val="32"/>
          <w:szCs w:val="32"/>
          <w:highlight w:val="none"/>
        </w:rPr>
        <w:t>C</w:t>
      </w:r>
      <w:r>
        <w:rPr>
          <w:rFonts w:hint="eastAsia" w:ascii="Times New Roman" w:hAnsi="Times New Roman" w:eastAsia="仿宋_GB2312" w:cs="Times New Roman"/>
          <w:color w:val="auto"/>
          <w:sz w:val="32"/>
          <w:szCs w:val="32"/>
          <w:highlight w:val="none"/>
          <w:lang w:val="en-US" w:eastAsia="zh-CN"/>
        </w:rPr>
        <w:t>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D</w:t>
      </w:r>
      <w:r>
        <w:rPr>
          <w:rFonts w:hint="eastAsia" w:eastAsia="仿宋_GB2312"/>
          <w:color w:val="auto"/>
          <w:sz w:val="32"/>
          <w:szCs w:val="32"/>
          <w:highlight w:val="none"/>
        </w:rPr>
        <w:t>级</w:t>
      </w:r>
      <w:r>
        <w:rPr>
          <w:rFonts w:hint="eastAsia" w:eastAsia="仿宋_GB2312"/>
          <w:color w:val="auto"/>
          <w:sz w:val="32"/>
          <w:szCs w:val="32"/>
          <w:highlight w:val="none"/>
          <w:lang w:val="en-US" w:eastAsia="zh-CN"/>
        </w:rPr>
        <w:t>危房危楼的排查治理</w:t>
      </w:r>
      <w:r>
        <w:rPr>
          <w:rFonts w:hint="eastAsia" w:eastAsia="仿宋_GB2312"/>
          <w:color w:val="auto"/>
          <w:sz w:val="32"/>
          <w:szCs w:val="32"/>
          <w:highlight w:val="none"/>
        </w:rPr>
        <w:t>，系统推进存量隐患消隐与增量风险防控。</w:t>
      </w:r>
      <w:r>
        <w:rPr>
          <w:rFonts w:hint="eastAsia" w:ascii="Times New Roman" w:hAnsi="Times New Roman" w:eastAsia="仿宋_GB2312" w:cs="Times New Roman"/>
          <w:bCs/>
          <w:color w:val="auto"/>
          <w:sz w:val="32"/>
          <w:szCs w:val="20"/>
          <w:highlight w:val="none"/>
          <w:lang w:val="en-US" w:eastAsia="zh-CN"/>
        </w:rPr>
        <w:t>深化建筑行业安全管理，推进</w:t>
      </w:r>
      <w:r>
        <w:rPr>
          <w:rFonts w:hint="eastAsia" w:ascii="Times New Roman" w:hAnsi="Times New Roman" w:eastAsia="仿宋_GB2312" w:cs="Times New Roman"/>
          <w:bCs/>
          <w:color w:val="auto"/>
          <w:sz w:val="32"/>
          <w:szCs w:val="20"/>
          <w:highlight w:val="none"/>
        </w:rPr>
        <w:t>房屋市政工程安全生产</w:t>
      </w:r>
      <w:r>
        <w:rPr>
          <w:rFonts w:hint="eastAsia" w:ascii="Times New Roman" w:hAnsi="Times New Roman" w:eastAsia="仿宋_GB2312" w:cs="Times New Roman"/>
          <w:bCs/>
          <w:color w:val="auto"/>
          <w:sz w:val="32"/>
          <w:szCs w:val="20"/>
          <w:highlight w:val="none"/>
          <w:lang w:val="en-US" w:eastAsia="zh-CN"/>
        </w:rPr>
        <w:t>整治</w:t>
      </w:r>
      <w:r>
        <w:rPr>
          <w:rFonts w:hint="eastAsia" w:ascii="Times New Roman" w:hAnsi="Times New Roman" w:eastAsia="仿宋_GB2312" w:cs="Times New Roman"/>
          <w:bCs/>
          <w:color w:val="auto"/>
          <w:sz w:val="32"/>
          <w:szCs w:val="20"/>
          <w:highlight w:val="none"/>
        </w:rPr>
        <w:t>提升</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推动生产安全事故起数和死亡人数五年总量分别下降5%。</w:t>
      </w:r>
      <w:r>
        <w:rPr>
          <w:rFonts w:hint="eastAsia" w:eastAsia="仿宋_GB2312"/>
          <w:color w:val="auto"/>
          <w:sz w:val="32"/>
          <w:szCs w:val="32"/>
          <w:highlight w:val="none"/>
          <w:lang w:eastAsia="zh-CN"/>
        </w:rPr>
        <w:t>开展</w:t>
      </w:r>
      <w:r>
        <w:rPr>
          <w:rFonts w:hint="eastAsia" w:eastAsia="仿宋_GB2312"/>
          <w:color w:val="auto"/>
          <w:sz w:val="32"/>
          <w:szCs w:val="32"/>
          <w:highlight w:val="none"/>
        </w:rPr>
        <w:t>建筑施工</w:t>
      </w:r>
      <w:r>
        <w:rPr>
          <w:rFonts w:hint="eastAsia" w:eastAsia="仿宋_GB2312"/>
          <w:color w:val="auto"/>
          <w:sz w:val="32"/>
          <w:szCs w:val="32"/>
          <w:highlight w:val="none"/>
          <w:lang w:eastAsia="zh-CN"/>
        </w:rPr>
        <w:t>领域</w:t>
      </w:r>
      <w:r>
        <w:rPr>
          <w:rFonts w:hint="eastAsia" w:eastAsia="仿宋_GB2312"/>
          <w:color w:val="auto"/>
          <w:sz w:val="32"/>
          <w:szCs w:val="32"/>
          <w:highlight w:val="none"/>
        </w:rPr>
        <w:t>隐患排查治理</w:t>
      </w:r>
      <w:r>
        <w:rPr>
          <w:rFonts w:hint="eastAsia" w:eastAsia="仿宋_GB2312"/>
          <w:color w:val="auto"/>
          <w:sz w:val="32"/>
          <w:szCs w:val="32"/>
          <w:highlight w:val="none"/>
          <w:lang w:eastAsia="zh-CN"/>
        </w:rPr>
        <w:t>，</w:t>
      </w:r>
      <w:r>
        <w:rPr>
          <w:rFonts w:hint="eastAsia" w:eastAsia="仿宋_GB2312"/>
          <w:color w:val="auto"/>
          <w:sz w:val="32"/>
          <w:szCs w:val="32"/>
          <w:highlight w:val="none"/>
        </w:rPr>
        <w:t>严禁违规边营业边施工等兜底措施，严查转包、违法分包、挂靠、租借资质、超越资质承揽工程等行为，加大重大工程、重点地区、高风险时段的监督检查力度。强化危险化学品全链条安全</w:t>
      </w:r>
      <w:r>
        <w:rPr>
          <w:rFonts w:hint="eastAsia" w:eastAsia="仿宋_GB2312"/>
          <w:color w:val="auto"/>
          <w:sz w:val="32"/>
          <w:szCs w:val="32"/>
          <w:highlight w:val="none"/>
          <w:lang w:val="en-US" w:eastAsia="zh-CN"/>
        </w:rPr>
        <w:t>管控</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全面</w:t>
      </w:r>
      <w:r>
        <w:rPr>
          <w:rFonts w:hint="eastAsia" w:eastAsia="仿宋_GB2312"/>
          <w:color w:val="auto"/>
          <w:sz w:val="32"/>
          <w:szCs w:val="32"/>
          <w:highlight w:val="none"/>
        </w:rPr>
        <w:t>防范危险化学品生产、经营、使用、运输、废弃</w:t>
      </w:r>
      <w:r>
        <w:rPr>
          <w:rFonts w:hint="eastAsia" w:eastAsia="仿宋_GB2312"/>
          <w:color w:val="auto"/>
          <w:sz w:val="32"/>
          <w:szCs w:val="32"/>
          <w:highlight w:val="none"/>
          <w:lang w:val="en-US" w:eastAsia="zh-CN"/>
        </w:rPr>
        <w:t>处置</w:t>
      </w:r>
      <w:r>
        <w:rPr>
          <w:rFonts w:hint="eastAsia" w:eastAsia="仿宋_GB2312"/>
          <w:color w:val="auto"/>
          <w:sz w:val="32"/>
          <w:szCs w:val="32"/>
          <w:highlight w:val="none"/>
        </w:rPr>
        <w:t>等各环节重大安全风险</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严格规范</w:t>
      </w:r>
      <w:r>
        <w:rPr>
          <w:rFonts w:hint="eastAsia" w:eastAsia="仿宋_GB2312"/>
          <w:color w:val="auto"/>
          <w:sz w:val="32"/>
          <w:szCs w:val="32"/>
          <w:highlight w:val="none"/>
        </w:rPr>
        <w:t>实验室危险化学品安全管理要求</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严防各类安全事故发生</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进一步深化城市生命线隐患治理，</w:t>
      </w:r>
      <w:r>
        <w:rPr>
          <w:rFonts w:hint="eastAsia" w:eastAsia="仿宋_GB2312"/>
          <w:color w:val="auto"/>
          <w:sz w:val="32"/>
          <w:szCs w:val="32"/>
          <w:highlight w:val="none"/>
        </w:rPr>
        <w:t>因地制宜推进燃气、热力管线更新改造，持续实施电力架空线入地工程，从严规范地下管线施工作业管理，深化液化石油气“瓶、阀、管、灶”全链条隐患整治，推动燃气安全配件应装尽装。</w:t>
      </w:r>
      <w:r>
        <w:rPr>
          <w:rFonts w:hint="eastAsia" w:eastAsia="仿宋_GB2312"/>
          <w:color w:val="auto"/>
          <w:sz w:val="32"/>
          <w:szCs w:val="32"/>
          <w:highlight w:val="none"/>
          <w:lang w:val="en-US" w:eastAsia="zh-CN"/>
        </w:rPr>
        <w:t>严密防范工贸事故，</w:t>
      </w:r>
      <w:r>
        <w:rPr>
          <w:rFonts w:hint="eastAsia" w:ascii="Times New Roman" w:hAnsi="Times New Roman" w:eastAsia="仿宋_GB2312" w:cs="Times New Roman"/>
          <w:bCs/>
          <w:color w:val="auto"/>
          <w:sz w:val="32"/>
          <w:szCs w:val="20"/>
          <w:highlight w:val="none"/>
        </w:rPr>
        <w:t>探索推进有限空间智能化监管，</w:t>
      </w:r>
      <w:r>
        <w:rPr>
          <w:rFonts w:hint="eastAsia" w:ascii="Times New Roman" w:hAnsi="Times New Roman" w:eastAsia="仿宋_GB2312" w:cs="Times New Roman"/>
          <w:bCs/>
          <w:color w:val="auto"/>
          <w:sz w:val="32"/>
          <w:szCs w:val="20"/>
          <w:highlight w:val="none"/>
          <w:lang w:val="en-US" w:eastAsia="zh-CN"/>
        </w:rPr>
        <w:t>推动企业</w:t>
      </w:r>
      <w:r>
        <w:rPr>
          <w:rFonts w:hint="eastAsia" w:ascii="Times New Roman" w:hAnsi="Times New Roman" w:eastAsia="仿宋_GB2312" w:cs="Times New Roman"/>
          <w:bCs/>
          <w:color w:val="auto"/>
          <w:sz w:val="32"/>
          <w:szCs w:val="20"/>
          <w:highlight w:val="none"/>
        </w:rPr>
        <w:t>有限空间台账建立率达到90%。夯实特种设备安全监管</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加强特种设备“一台一码”智慧监管</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提升特种设备安全检验检测能力。</w:t>
      </w:r>
      <w:r>
        <w:rPr>
          <w:rFonts w:hint="eastAsia" w:eastAsia="仿宋_GB2312"/>
          <w:color w:val="auto"/>
          <w:sz w:val="32"/>
          <w:szCs w:val="32"/>
          <w:highlight w:val="none"/>
        </w:rPr>
        <w:t>督促企业健全重大事故隐患自查自改常态化机制，企业主动向属地、监管部门报告重大事故隐患并正在落实整改措施的，免予行政处罚</w:t>
      </w:r>
      <w:r>
        <w:rPr>
          <w:rFonts w:hint="eastAsia" w:eastAsia="仿宋_GB2312"/>
          <w:color w:val="auto"/>
          <w:sz w:val="32"/>
          <w:szCs w:val="32"/>
          <w:highlight w:val="none"/>
          <w:lang w:eastAsia="zh-CN"/>
        </w:rPr>
        <w:t>；</w:t>
      </w:r>
      <w:r>
        <w:rPr>
          <w:rFonts w:hint="eastAsia" w:eastAsia="仿宋_GB2312"/>
          <w:color w:val="auto"/>
          <w:sz w:val="32"/>
          <w:szCs w:val="32"/>
          <w:highlight w:val="none"/>
        </w:rPr>
        <w:t>对隐患不查不改、隐瞒不报的，依法予以“一案双罚”，倒逼企业主体责任落到实处。</w:t>
      </w:r>
    </w:p>
    <w:p w14:paraId="1E064AC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四、提升本质安全能级水平</w:t>
      </w:r>
    </w:p>
    <w:p w14:paraId="3D57D2A8">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仿宋_GB2312" w:eastAsia="仿宋_GB2312"/>
          <w:color w:val="auto"/>
          <w:sz w:val="32"/>
          <w:szCs w:val="32"/>
          <w:highlight w:val="none"/>
        </w:rPr>
      </w:pPr>
      <w:r>
        <w:rPr>
          <w:rFonts w:hint="eastAsia" w:ascii="Times New Roman" w:hAnsi="Times New Roman" w:eastAsia="仿宋_GB2312" w:cs="Times New Roman"/>
          <w:bCs/>
          <w:color w:val="auto"/>
          <w:sz w:val="32"/>
          <w:szCs w:val="20"/>
          <w:highlight w:val="none"/>
          <w:lang w:val="en-US" w:eastAsia="zh-CN"/>
        </w:rPr>
        <w:t>严格高危行业领域建设项目“三同时”</w:t>
      </w:r>
      <w:r>
        <w:rPr>
          <w:rStyle w:val="21"/>
          <w:rFonts w:hint="default" w:ascii="Times New Roman" w:hAnsi="Times New Roman" w:eastAsia="仿宋_GB2312" w:cs="Times New Roman"/>
          <w:bCs/>
          <w:color w:val="auto"/>
          <w:sz w:val="32"/>
          <w:szCs w:val="20"/>
          <w:highlight w:val="none"/>
          <w:lang w:val="en-US" w:eastAsia="zh-CN"/>
        </w:rPr>
        <w:footnoteReference w:id="2"/>
      </w:r>
      <w:r>
        <w:rPr>
          <w:rFonts w:hint="eastAsia" w:ascii="Times New Roman" w:hAnsi="Times New Roman" w:eastAsia="仿宋_GB2312" w:cs="Times New Roman"/>
          <w:bCs/>
          <w:color w:val="auto"/>
          <w:sz w:val="32"/>
          <w:szCs w:val="20"/>
          <w:highlight w:val="none"/>
          <w:lang w:val="en-US" w:eastAsia="zh-CN"/>
        </w:rPr>
        <w:t>和安全生产许可审查，</w:t>
      </w:r>
      <w:r>
        <w:rPr>
          <w:rFonts w:hint="default" w:ascii="Times New Roman" w:hAnsi="Times New Roman" w:eastAsia="仿宋_GB2312" w:cs="Times New Roman"/>
          <w:bCs/>
          <w:color w:val="auto"/>
          <w:sz w:val="32"/>
          <w:szCs w:val="20"/>
          <w:highlight w:val="none"/>
        </w:rPr>
        <w:t>刚性执行安全生产领</w:t>
      </w:r>
      <w:r>
        <w:rPr>
          <w:rFonts w:hint="eastAsia" w:ascii="仿宋_GB2312" w:hAnsi="仿宋_GB2312" w:eastAsia="仿宋_GB2312" w:cs="仿宋_GB2312"/>
          <w:bCs/>
          <w:color w:val="auto"/>
          <w:sz w:val="32"/>
          <w:szCs w:val="20"/>
          <w:highlight w:val="none"/>
        </w:rPr>
        <w:t>域“禁限控”目</w:t>
      </w:r>
      <w:r>
        <w:rPr>
          <w:rFonts w:hint="default" w:ascii="Times New Roman" w:hAnsi="Times New Roman" w:eastAsia="仿宋_GB2312" w:cs="Times New Roman"/>
          <w:bCs/>
          <w:color w:val="auto"/>
          <w:sz w:val="32"/>
          <w:szCs w:val="20"/>
          <w:highlight w:val="none"/>
        </w:rPr>
        <w:t>录</w:t>
      </w:r>
      <w:r>
        <w:rPr>
          <w:rFonts w:hint="eastAsia" w:ascii="Times New Roman" w:hAnsi="Times New Roman" w:eastAsia="仿宋_GB2312" w:cs="Times New Roman"/>
          <w:bCs/>
          <w:color w:val="auto"/>
          <w:sz w:val="32"/>
          <w:szCs w:val="20"/>
          <w:highlight w:val="none"/>
        </w:rPr>
        <w:t>。加强水、电、气、热、交通等城市运行安全，以及大型商业综合体等领域监测感知建设，提升安全风险全域感知、全时段监测预警能力。严格加油站安全管理，防范新能源设施输入型安全风险。创新安全生产标准化工作机制，完善地方标准，健全标准化管理制度，构建全周期动态管理体系。开展安全生产标准示范工程，加大典型示范培育力度，打造一批标准化样板街道、园区、标杆企业、达标企业和示范岗位，促进各类典型示范提质扩面增效，切实提升示范引领水平。</w:t>
      </w:r>
    </w:p>
    <w:p w14:paraId="7795A30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五、提升安全生产监管效能</w:t>
      </w:r>
    </w:p>
    <w:p w14:paraId="309005FE">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加大重点行业领域执法力度，落实分级分类执法，规范涉企行政检查，完善多部门联合执法与信息共享机制，依法采取“一案双罚”、联合惩戒、行刑衔接等措施，不断提升执法检查质量和效能。建强专业化执法骨干力量，</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配齐建强专职技术检查员队伍，提高基层安全生产行政在编人员取得行政执法证件总数</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。强化科技信息化</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赋能执法</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检查</w:t>
      </w:r>
      <w:r>
        <w:rPr>
          <w:rFonts w:hint="eastAsia" w:ascii="Times New Roman" w:hAnsi="Times New Roman" w:eastAsia="仿宋_GB2312" w:cs="Times New Roman"/>
          <w:bCs/>
          <w:color w:val="000000" w:themeColor="text1"/>
          <w:sz w:val="32"/>
          <w:szCs w:val="28"/>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拓展</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非现场监管应用场景，</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持续</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提升非现场检查比例</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和问题发现率</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切实</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减轻企业负担。建立健全各行业领域</w:t>
      </w:r>
      <w:r>
        <w:rPr>
          <w:rFonts w:hint="eastAsia" w:ascii="Times New Roman" w:hAnsi="Times New Roman" w:eastAsia="仿宋_GB2312" w:cs="Times New Roman"/>
          <w:bCs/>
          <w:color w:val="000000" w:themeColor="text1"/>
          <w:sz w:val="32"/>
          <w:szCs w:val="28"/>
          <w:highlight w:val="none"/>
          <w:lang w:val="en-US" w:eastAsia="zh-CN"/>
          <w14:textFill>
            <w14:solidFill>
              <w14:schemeClr w14:val="tx1"/>
            </w14:solidFill>
          </w14:textFill>
        </w:rPr>
        <w:t>内部隐患报告奖励和</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安全生产举报制度机制</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bCs/>
          <w:color w:val="000000" w:themeColor="text1"/>
          <w:sz w:val="32"/>
          <w:szCs w:val="28"/>
          <w:highlight w:val="none"/>
          <w14:textFill>
            <w14:solidFill>
              <w14:schemeClr w14:val="tx1"/>
            </w14:solidFill>
          </w14:textFill>
        </w:rPr>
        <w:t>推动安全生产共抓共治、共同监督。建立完善科学考评制度，健全容错</w:t>
      </w:r>
      <w:r>
        <w:rPr>
          <w:rFonts w:hint="eastAsia" w:ascii="Times New Roman" w:hAnsi="Times New Roman" w:eastAsia="仿宋_GB2312" w:cs="Times New Roman"/>
          <w:bCs/>
          <w:color w:val="auto"/>
          <w:sz w:val="32"/>
          <w:szCs w:val="28"/>
          <w:highlight w:val="none"/>
        </w:rPr>
        <w:t>纠错机制，减少过度检查、消极避责等问题。强化安全</w:t>
      </w:r>
      <w:r>
        <w:rPr>
          <w:rFonts w:hint="eastAsia" w:ascii="Times New Roman" w:hAnsi="Times New Roman" w:eastAsia="仿宋_GB2312" w:cs="Times New Roman"/>
          <w:bCs/>
          <w:color w:val="auto"/>
          <w:sz w:val="32"/>
          <w:szCs w:val="28"/>
          <w:highlight w:val="none"/>
          <w:lang w:eastAsia="zh-CN"/>
        </w:rPr>
        <w:t>生产指导</w:t>
      </w:r>
      <w:r>
        <w:rPr>
          <w:rFonts w:hint="eastAsia" w:ascii="Times New Roman" w:hAnsi="Times New Roman" w:eastAsia="仿宋_GB2312" w:cs="Times New Roman"/>
          <w:bCs/>
          <w:color w:val="auto"/>
          <w:sz w:val="32"/>
          <w:szCs w:val="28"/>
          <w:highlight w:val="none"/>
        </w:rPr>
        <w:t>帮扶</w:t>
      </w:r>
      <w:r>
        <w:rPr>
          <w:rFonts w:hint="eastAsia" w:ascii="Times New Roman" w:hAnsi="Times New Roman" w:eastAsia="仿宋_GB2312" w:cs="Times New Roman"/>
          <w:bCs/>
          <w:color w:val="auto"/>
          <w:sz w:val="32"/>
          <w:szCs w:val="28"/>
          <w:highlight w:val="none"/>
          <w:lang w:eastAsia="zh-CN"/>
        </w:rPr>
        <w:t>工作</w:t>
      </w:r>
      <w:r>
        <w:rPr>
          <w:rFonts w:hint="eastAsia" w:ascii="Times New Roman" w:hAnsi="Times New Roman" w:eastAsia="仿宋_GB2312" w:cs="Times New Roman"/>
          <w:bCs/>
          <w:color w:val="auto"/>
          <w:sz w:val="32"/>
          <w:szCs w:val="28"/>
          <w:highlight w:val="none"/>
        </w:rPr>
        <w:t>，分级分类对区域高危行业领域生产经营单位指导帮扶，督促指导企业按规定提取和使用安全生产费用。完善安全生产风险隐患排查整治和责任倒查机制，对不依法开展事故隐患排查、重大事故隐患隐瞒不报、查出隐患后拒不整改等情形，依法依规严肃追责。</w:t>
      </w:r>
      <w:r>
        <w:rPr>
          <w:rStyle w:val="30"/>
          <w:rFonts w:hint="eastAsia" w:ascii="仿宋_GB2312" w:eastAsia="仿宋_GB2312"/>
          <w:color w:val="auto"/>
          <w:highlight w:val="none"/>
        </w:rPr>
        <w:t>坚持以案促改，</w:t>
      </w:r>
      <w:r>
        <w:rPr>
          <w:rStyle w:val="30"/>
          <w:rFonts w:ascii="仿宋_GB2312" w:eastAsia="仿宋_GB2312"/>
          <w:color w:val="auto"/>
          <w:highlight w:val="none"/>
        </w:rPr>
        <w:t>从严从细落实消隐措施</w:t>
      </w:r>
      <w:r>
        <w:rPr>
          <w:rStyle w:val="30"/>
          <w:rFonts w:hint="eastAsia" w:ascii="仿宋_GB2312" w:eastAsia="仿宋_GB2312"/>
          <w:color w:val="auto"/>
          <w:highlight w:val="none"/>
          <w:lang w:eastAsia="zh-CN"/>
        </w:rPr>
        <w:t>，</w:t>
      </w:r>
      <w:r>
        <w:rPr>
          <w:rFonts w:hint="eastAsia" w:ascii="Times New Roman" w:hAnsi="Times New Roman" w:eastAsia="仿宋_GB2312" w:cs="Times New Roman"/>
          <w:bCs/>
          <w:color w:val="auto"/>
          <w:sz w:val="32"/>
          <w:szCs w:val="20"/>
          <w:highlight w:val="none"/>
        </w:rPr>
        <w:t>防范遏制各类安全生产事故。</w:t>
      </w:r>
      <w:bookmarkStart w:id="225" w:name="OLE_LINK67"/>
      <w:bookmarkStart w:id="226" w:name="OLE_LINK68"/>
    </w:p>
    <w:p w14:paraId="4A355C56">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27" w:name="_Toc11938"/>
      <w:bookmarkStart w:id="228" w:name="_Toc28832"/>
      <w:bookmarkStart w:id="229" w:name="_Toc160"/>
      <w:bookmarkStart w:id="230" w:name="_Toc7314"/>
      <w:bookmarkStart w:id="231" w:name="_Toc9261"/>
      <w:bookmarkStart w:id="232" w:name="_Toc30442"/>
      <w:bookmarkStart w:id="233" w:name="_Toc23696"/>
      <w:bookmarkStart w:id="234" w:name="_Toc20887"/>
      <w:bookmarkStart w:id="235" w:name="_Toc28361"/>
      <w:bookmarkStart w:id="236" w:name="_Toc5321"/>
      <w:bookmarkStart w:id="237" w:name="_Toc23482"/>
      <w:r>
        <w:rPr>
          <w:rFonts w:hint="eastAsia" w:ascii="Times New Roman" w:hAnsi="Times New Roman" w:eastAsia="黑体" w:cs="黑体"/>
          <w:color w:val="auto"/>
          <w:kern w:val="0"/>
          <w:sz w:val="32"/>
          <w:szCs w:val="32"/>
          <w:highlight w:val="none"/>
          <w:lang w:val="en-US" w:eastAsia="zh-CN" w:bidi="ar-SA"/>
        </w:rPr>
        <w:t>第三章 坚持防消深度融合，筑牢消防安全管理体系</w:t>
      </w:r>
      <w:bookmarkEnd w:id="227"/>
    </w:p>
    <w:p w14:paraId="5B80DE2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一、完善消防安全管理机制</w:t>
      </w:r>
    </w:p>
    <w:p w14:paraId="3901476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仿宋_GB2312" w:cs="Times New Roman"/>
          <w:bCs/>
          <w:color w:val="auto"/>
          <w:sz w:val="32"/>
          <w:szCs w:val="28"/>
          <w:highlight w:val="none"/>
          <w:lang w:val="en-US" w:eastAsia="zh-CN"/>
        </w:rPr>
      </w:pPr>
      <w:r>
        <w:rPr>
          <w:rFonts w:hint="eastAsia" w:ascii="Times New Roman" w:hAnsi="Times New Roman" w:eastAsia="仿宋_GB2312" w:cs="Times New Roman"/>
          <w:bCs/>
          <w:color w:val="auto"/>
          <w:sz w:val="32"/>
          <w:szCs w:val="28"/>
          <w:highlight w:val="none"/>
          <w:lang w:val="en-US" w:eastAsia="zh-CN"/>
        </w:rPr>
        <w:t>严格</w:t>
      </w:r>
      <w:r>
        <w:rPr>
          <w:rFonts w:hint="eastAsia" w:ascii="Times New Roman" w:hAnsi="Times New Roman" w:eastAsia="仿宋_GB2312" w:cs="Times New Roman"/>
          <w:bCs/>
          <w:color w:val="auto"/>
          <w:sz w:val="32"/>
          <w:szCs w:val="28"/>
          <w:highlight w:val="none"/>
        </w:rPr>
        <w:t>落实</w:t>
      </w:r>
      <w:r>
        <w:rPr>
          <w:rFonts w:hint="eastAsia" w:ascii="Times New Roman" w:hAnsi="Times New Roman" w:eastAsia="仿宋_GB2312" w:cs="Times New Roman"/>
          <w:bCs/>
          <w:color w:val="auto"/>
          <w:sz w:val="32"/>
          <w:szCs w:val="28"/>
          <w:highlight w:val="none"/>
          <w:lang w:eastAsia="zh-CN"/>
        </w:rPr>
        <w:t>北京市</w:t>
      </w:r>
      <w:r>
        <w:rPr>
          <w:rFonts w:hint="eastAsia" w:ascii="Times New Roman" w:hAnsi="Times New Roman" w:eastAsia="仿宋_GB2312" w:cs="Times New Roman"/>
          <w:bCs/>
          <w:color w:val="auto"/>
          <w:sz w:val="32"/>
          <w:szCs w:val="28"/>
          <w:highlight w:val="none"/>
        </w:rPr>
        <w:t>《关于进一步加强街道乡镇消防工作的实施方案》</w:t>
      </w:r>
      <w:r>
        <w:rPr>
          <w:rFonts w:hint="eastAsia" w:ascii="Times New Roman" w:hAnsi="Times New Roman" w:eastAsia="仿宋_GB2312" w:cs="Times New Roman"/>
          <w:bCs/>
          <w:color w:val="auto"/>
          <w:sz w:val="32"/>
          <w:szCs w:val="28"/>
          <w:highlight w:val="none"/>
          <w:lang w:val="en-US" w:eastAsia="zh-CN"/>
        </w:rPr>
        <w:t>要求</w:t>
      </w:r>
      <w:r>
        <w:rPr>
          <w:rFonts w:hint="eastAsia" w:ascii="Times New Roman" w:hAnsi="Times New Roman" w:eastAsia="仿宋_GB2312" w:cs="Times New Roman"/>
          <w:bCs/>
          <w:color w:val="auto"/>
          <w:sz w:val="32"/>
          <w:szCs w:val="28"/>
          <w:highlight w:val="none"/>
        </w:rPr>
        <w:t>，压实街乡平安建设部门消防管理职责，至少确定2名在职人员负责日常工作。完善“防消联勤”工作机制，</w:t>
      </w:r>
      <w:r>
        <w:rPr>
          <w:rFonts w:hint="eastAsia" w:ascii="Times New Roman" w:hAnsi="Times New Roman" w:eastAsia="仿宋_GB2312" w:cs="Times New Roman"/>
          <w:bCs/>
          <w:color w:val="auto"/>
          <w:sz w:val="32"/>
          <w:szCs w:val="28"/>
          <w:highlight w:val="none"/>
          <w:lang w:eastAsia="zh-CN"/>
        </w:rPr>
        <w:t>细化落实消防安全责任。</w:t>
      </w:r>
      <w:r>
        <w:rPr>
          <w:rFonts w:hint="eastAsia" w:ascii="Times New Roman" w:hAnsi="Times New Roman" w:eastAsia="仿宋_GB2312" w:cs="Times New Roman"/>
          <w:bCs/>
          <w:color w:val="auto"/>
          <w:sz w:val="32"/>
          <w:szCs w:val="28"/>
          <w:highlight w:val="none"/>
        </w:rPr>
        <w:t>规范消防工作联席会议制度</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街乡按照消防安全检查和“九小场所”界定标准，</w:t>
      </w:r>
      <w:r>
        <w:rPr>
          <w:rFonts w:hint="eastAsia" w:ascii="Times New Roman" w:hAnsi="Times New Roman" w:eastAsia="仿宋_GB2312" w:cs="Times New Roman"/>
          <w:bCs/>
          <w:color w:val="auto"/>
          <w:sz w:val="32"/>
          <w:szCs w:val="28"/>
          <w:highlight w:val="none"/>
          <w:lang w:val="en-US" w:eastAsia="zh-CN"/>
        </w:rPr>
        <w:t>统筹</w:t>
      </w:r>
      <w:r>
        <w:rPr>
          <w:rFonts w:hint="eastAsia" w:ascii="Times New Roman" w:hAnsi="Times New Roman" w:eastAsia="仿宋_GB2312" w:cs="Times New Roman"/>
          <w:bCs/>
          <w:color w:val="auto"/>
          <w:sz w:val="32"/>
          <w:szCs w:val="28"/>
          <w:highlight w:val="none"/>
        </w:rPr>
        <w:t>匹配</w:t>
      </w:r>
      <w:r>
        <w:rPr>
          <w:rFonts w:hint="eastAsia" w:ascii="Times New Roman" w:hAnsi="Times New Roman" w:eastAsia="仿宋_GB2312" w:cs="Times New Roman"/>
          <w:bCs/>
          <w:color w:val="auto"/>
          <w:sz w:val="32"/>
          <w:szCs w:val="28"/>
          <w:highlight w:val="none"/>
          <w:lang w:val="en-US" w:eastAsia="zh-CN"/>
        </w:rPr>
        <w:t>工作</w:t>
      </w:r>
      <w:r>
        <w:rPr>
          <w:rFonts w:hint="eastAsia" w:ascii="Times New Roman" w:hAnsi="Times New Roman" w:eastAsia="仿宋_GB2312" w:cs="Times New Roman"/>
          <w:bCs/>
          <w:color w:val="auto"/>
          <w:sz w:val="32"/>
          <w:szCs w:val="28"/>
          <w:highlight w:val="none"/>
        </w:rPr>
        <w:t>力量开展常态化消防工作，运用接诉即办、“吹哨报到”等机制，推动火灾风险隐患闭环整改。完善社区（村）消防工作事项，开展巡查、宣传、重点人群关爱帮扶等群众性消防工作，提升“九小场所”、</w:t>
      </w:r>
      <w:r>
        <w:rPr>
          <w:rFonts w:hint="eastAsia" w:ascii="Times New Roman" w:hAnsi="Times New Roman" w:eastAsia="仿宋_GB2312" w:cs="Times New Roman"/>
          <w:bCs/>
          <w:color w:val="auto"/>
          <w:sz w:val="32"/>
          <w:szCs w:val="28"/>
          <w:highlight w:val="none"/>
          <w:lang w:eastAsia="zh-CN"/>
        </w:rPr>
        <w:t>村民经营性自建住宅</w:t>
      </w:r>
      <w:r>
        <w:rPr>
          <w:rFonts w:hint="eastAsia" w:ascii="Times New Roman" w:hAnsi="Times New Roman" w:eastAsia="仿宋_GB2312" w:cs="Times New Roman"/>
          <w:bCs/>
          <w:color w:val="auto"/>
          <w:sz w:val="32"/>
          <w:szCs w:val="28"/>
          <w:highlight w:val="none"/>
        </w:rPr>
        <w:t>等基层消防综合治理水平。</w:t>
      </w:r>
    </w:p>
    <w:p w14:paraId="1D31ED4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二、排查整治火灾风险隐患</w:t>
      </w:r>
    </w:p>
    <w:p w14:paraId="68BF67AF">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深化隐患排查机制，完善全面排查、全域覆盖、全量支持“三全工作法”隐患排查体系</w:t>
      </w:r>
      <w:r>
        <w:rPr>
          <w:rFonts w:hint="eastAsia" w:ascii="Times New Roman" w:hAnsi="Times New Roman" w:eastAsia="仿宋_GB2312" w:cs="Times New Roman"/>
          <w:bCs/>
          <w:color w:val="auto"/>
          <w:sz w:val="32"/>
          <w:szCs w:val="28"/>
          <w:highlight w:val="none"/>
          <w:lang w:eastAsia="zh-CN"/>
        </w:rPr>
        <w:t>，推动重大火灾事故隐患动态清零，坚决防范遏制重特大事故。</w:t>
      </w:r>
      <w:r>
        <w:rPr>
          <w:rFonts w:hint="eastAsia" w:ascii="Times New Roman" w:hAnsi="Times New Roman" w:eastAsia="仿宋_GB2312" w:cs="Times New Roman"/>
          <w:bCs/>
          <w:color w:val="auto"/>
          <w:sz w:val="32"/>
          <w:szCs w:val="28"/>
          <w:highlight w:val="none"/>
        </w:rPr>
        <w:t>深化重点行业领域消防专项治理，聚焦高层建筑、人员密集场所、地下空间、大型商业综合体、</w:t>
      </w:r>
      <w:r>
        <w:rPr>
          <w:rFonts w:hint="eastAsia" w:ascii="Times New Roman" w:hAnsi="Times New Roman" w:eastAsia="仿宋_GB2312" w:cs="Times New Roman"/>
          <w:bCs/>
          <w:color w:val="auto"/>
          <w:sz w:val="32"/>
          <w:szCs w:val="28"/>
          <w:highlight w:val="none"/>
          <w:lang w:val="en-US" w:eastAsia="zh-CN"/>
        </w:rPr>
        <w:t>医院、养老服务机构</w:t>
      </w:r>
      <w:r>
        <w:rPr>
          <w:rFonts w:hint="eastAsia" w:ascii="Times New Roman" w:hAnsi="Times New Roman" w:eastAsia="仿宋_GB2312" w:cs="Times New Roman"/>
          <w:bCs/>
          <w:color w:val="auto"/>
          <w:sz w:val="32"/>
          <w:szCs w:val="28"/>
          <w:highlight w:val="none"/>
        </w:rPr>
        <w:t>、文物古建等重点场所，坚决遏制“大火巨灾”。</w:t>
      </w:r>
      <w:r>
        <w:rPr>
          <w:rFonts w:hint="eastAsia" w:eastAsia="仿宋_GB2312"/>
          <w:color w:val="auto"/>
          <w:sz w:val="32"/>
          <w:szCs w:val="32"/>
          <w:lang w:val="en-US" w:eastAsia="zh-CN"/>
        </w:rPr>
        <w:t>全面推行“一楼一策”风险管控，</w:t>
      </w:r>
      <w:r>
        <w:rPr>
          <w:rFonts w:hint="eastAsia" w:eastAsia="仿宋_GB2312"/>
          <w:color w:val="auto"/>
          <w:sz w:val="32"/>
          <w:szCs w:val="32"/>
        </w:rPr>
        <w:t>推动</w:t>
      </w:r>
      <w:r>
        <w:rPr>
          <w:rFonts w:hint="default" w:ascii="Times New Roman" w:hAnsi="Times New Roman" w:eastAsia="仿宋_GB2312"/>
          <w:color w:val="auto"/>
          <w:sz w:val="32"/>
          <w:szCs w:val="32"/>
        </w:rPr>
        <w:t>100</w:t>
      </w:r>
      <w:r>
        <w:rPr>
          <w:rFonts w:hint="eastAsia" w:ascii="Times New Roman" w:hAnsi="Times New Roman" w:eastAsia="仿宋_GB2312"/>
          <w:color w:val="auto"/>
          <w:sz w:val="32"/>
          <w:szCs w:val="32"/>
        </w:rPr>
        <w:t>米以上高层公共建筑配备至少1名</w:t>
      </w:r>
      <w:r>
        <w:rPr>
          <w:rFonts w:hint="eastAsia" w:eastAsia="仿宋_GB2312"/>
          <w:color w:val="auto"/>
          <w:sz w:val="32"/>
          <w:szCs w:val="32"/>
        </w:rPr>
        <w:t>持有注册消防工程师资质的安全管理人员。深化大屋脊居住建筑消防安全专项整治，扎实推进“三更新”“三加装”“三清”“三有”</w:t>
      </w:r>
      <w:r>
        <w:rPr>
          <w:rStyle w:val="21"/>
          <w:rFonts w:hint="default" w:ascii="Times New Roman" w:hAnsi="Times New Roman" w:eastAsia="仿宋_GB2312"/>
          <w:color w:val="auto"/>
          <w:sz w:val="32"/>
          <w:szCs w:val="32"/>
        </w:rPr>
        <w:footnoteReference w:id="3"/>
      </w:r>
      <w:r>
        <w:rPr>
          <w:rFonts w:hint="eastAsia" w:eastAsia="仿宋_GB2312"/>
          <w:color w:val="auto"/>
          <w:sz w:val="32"/>
          <w:szCs w:val="32"/>
        </w:rPr>
        <w:t>重点工作落地见效。</w:t>
      </w:r>
      <w:r>
        <w:rPr>
          <w:rFonts w:hint="eastAsia" w:eastAsia="仿宋_GB2312"/>
          <w:color w:val="auto"/>
          <w:sz w:val="32"/>
          <w:szCs w:val="32"/>
          <w:lang w:val="en-US" w:eastAsia="zh-CN"/>
        </w:rPr>
        <w:t>推动建筑消防设施“四率”</w:t>
      </w:r>
      <w:r>
        <w:rPr>
          <w:rStyle w:val="21"/>
          <w:rFonts w:hint="default" w:ascii="Times New Roman" w:hAnsi="Times New Roman" w:eastAsia="仿宋_GB2312" w:cs="Times New Roman"/>
          <w:color w:val="auto"/>
          <w:sz w:val="32"/>
          <w:szCs w:val="32"/>
          <w:lang w:val="en-US" w:eastAsia="zh-CN"/>
        </w:rPr>
        <w:footnoteReference w:id="4"/>
      </w:r>
      <w:r>
        <w:rPr>
          <w:rFonts w:hint="eastAsia" w:eastAsia="仿宋_GB2312"/>
          <w:color w:val="auto"/>
          <w:sz w:val="32"/>
          <w:szCs w:val="32"/>
          <w:lang w:val="en-US" w:eastAsia="zh-CN"/>
        </w:rPr>
        <w:t>水平大幅提升。</w:t>
      </w:r>
      <w:r>
        <w:rPr>
          <w:rFonts w:hint="eastAsia" w:eastAsia="仿宋_GB2312"/>
          <w:color w:val="auto"/>
          <w:sz w:val="32"/>
          <w:szCs w:val="32"/>
        </w:rPr>
        <w:t>推进“无消防用水”高层住宅建筑整治，以消防报警系统、水系统瘫痪的高层楼宇为整治重点，实行“边排查、边上账，边整改、边销账”闭环管理，破解高层住宅消防安全薄弱环节，切实保障居民生命财产安全。</w:t>
      </w:r>
      <w:r>
        <w:rPr>
          <w:rFonts w:hint="eastAsia" w:eastAsia="仿宋_GB2312"/>
          <w:color w:val="auto"/>
          <w:sz w:val="32"/>
          <w:szCs w:val="32"/>
          <w:lang w:val="en-US" w:eastAsia="zh-CN"/>
        </w:rPr>
        <w:t>深化人员密集场所安全管理，</w:t>
      </w:r>
      <w:r>
        <w:rPr>
          <w:rFonts w:hint="eastAsia" w:ascii="Times New Roman" w:hAnsi="Times New Roman" w:eastAsia="仿宋_GB2312" w:cs="Times New Roman"/>
          <w:bCs/>
          <w:color w:val="auto"/>
          <w:sz w:val="32"/>
          <w:szCs w:val="28"/>
          <w:highlight w:val="none"/>
        </w:rPr>
        <w:t>紧盯老旧居民小区、</w:t>
      </w:r>
      <w:r>
        <w:rPr>
          <w:rFonts w:hint="eastAsia" w:ascii="Times New Roman" w:hAnsi="Times New Roman" w:eastAsia="仿宋_GB2312" w:cs="Times New Roman"/>
          <w:bCs/>
          <w:color w:val="auto"/>
          <w:sz w:val="32"/>
          <w:szCs w:val="28"/>
          <w:highlight w:val="none"/>
          <w:lang w:eastAsia="zh-CN"/>
        </w:rPr>
        <w:t>村民经营性自建住宅</w:t>
      </w:r>
      <w:r>
        <w:rPr>
          <w:rFonts w:hint="eastAsia" w:ascii="Times New Roman" w:hAnsi="Times New Roman" w:eastAsia="仿宋_GB2312" w:cs="Times New Roman"/>
          <w:bCs/>
          <w:color w:val="auto"/>
          <w:sz w:val="32"/>
          <w:szCs w:val="28"/>
          <w:highlight w:val="none"/>
        </w:rPr>
        <w:t>、多业态混合经营</w:t>
      </w:r>
      <w:r>
        <w:rPr>
          <w:rFonts w:hint="eastAsia" w:ascii="Times New Roman" w:hAnsi="Times New Roman" w:eastAsia="仿宋_GB2312" w:cs="Times New Roman"/>
          <w:bCs/>
          <w:color w:val="auto"/>
          <w:sz w:val="32"/>
          <w:szCs w:val="28"/>
          <w:highlight w:val="none"/>
          <w:lang w:val="en-US" w:eastAsia="zh-CN"/>
        </w:rPr>
        <w:t>场所</w:t>
      </w:r>
      <w:r>
        <w:rPr>
          <w:rFonts w:hint="eastAsia" w:ascii="Times New Roman" w:hAnsi="Times New Roman" w:eastAsia="仿宋_GB2312" w:cs="Times New Roman"/>
          <w:bCs/>
          <w:color w:val="auto"/>
          <w:sz w:val="32"/>
          <w:szCs w:val="28"/>
          <w:highlight w:val="none"/>
        </w:rPr>
        <w:t>、物流仓储</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lang w:val="en-US" w:eastAsia="zh-CN"/>
        </w:rPr>
        <w:t>大屋脊居住建筑</w:t>
      </w:r>
      <w:r>
        <w:rPr>
          <w:rFonts w:hint="eastAsia" w:ascii="Times New Roman" w:hAnsi="Times New Roman" w:eastAsia="仿宋_GB2312" w:cs="Times New Roman"/>
          <w:bCs/>
          <w:color w:val="auto"/>
          <w:sz w:val="32"/>
          <w:szCs w:val="28"/>
          <w:highlight w:val="none"/>
        </w:rPr>
        <w:t>等薄弱领域，</w:t>
      </w:r>
      <w:r>
        <w:rPr>
          <w:rFonts w:hint="eastAsia" w:ascii="Times New Roman" w:hAnsi="Times New Roman" w:eastAsia="仿宋_GB2312" w:cs="Times New Roman"/>
          <w:bCs/>
          <w:color w:val="auto"/>
          <w:sz w:val="32"/>
          <w:szCs w:val="28"/>
          <w:highlight w:val="none"/>
          <w:lang w:val="en-US" w:eastAsia="zh-CN"/>
        </w:rPr>
        <w:t>持续畅通消防“生命通道”，</w:t>
      </w:r>
      <w:r>
        <w:rPr>
          <w:rFonts w:hint="eastAsia" w:ascii="Times New Roman" w:hAnsi="Times New Roman" w:eastAsia="仿宋_GB2312" w:cs="Times New Roman"/>
          <w:bCs/>
          <w:color w:val="auto"/>
          <w:sz w:val="32"/>
          <w:szCs w:val="28"/>
          <w:highlight w:val="none"/>
        </w:rPr>
        <w:t>治理火灾风险隐患</w:t>
      </w:r>
      <w:r>
        <w:rPr>
          <w:rFonts w:hint="eastAsia" w:ascii="Times New Roman" w:hAnsi="Times New Roman" w:eastAsia="仿宋_GB2312" w:cs="Times New Roman"/>
          <w:bCs/>
          <w:color w:val="auto"/>
          <w:sz w:val="32"/>
          <w:szCs w:val="28"/>
          <w:highlight w:val="none"/>
          <w:lang w:val="en-US" w:eastAsia="zh-CN"/>
        </w:rPr>
        <w:t>。推动消防安全“风险+信用”分级分类监管向养老服务、医疗卫生、教育等重点行业领域延伸。</w:t>
      </w:r>
      <w:r>
        <w:rPr>
          <w:rFonts w:hint="eastAsia" w:eastAsia="仿宋_GB2312"/>
          <w:color w:val="auto"/>
          <w:sz w:val="32"/>
          <w:szCs w:val="32"/>
          <w:highlight w:val="none"/>
          <w:lang w:val="en-US" w:eastAsia="zh-CN"/>
        </w:rPr>
        <w:t>深化完善施工动火作业管控措施，</w:t>
      </w:r>
      <w:r>
        <w:rPr>
          <w:rFonts w:hint="eastAsia" w:eastAsia="仿宋_GB2312"/>
          <w:color w:val="auto"/>
          <w:sz w:val="32"/>
          <w:szCs w:val="32"/>
          <w:highlight w:val="none"/>
        </w:rPr>
        <w:t>严格落实“一次动火作业、一张动火作业证、一套安全技术措施”和“同类同管”</w:t>
      </w:r>
      <w:r>
        <w:rPr>
          <w:rStyle w:val="21"/>
          <w:rFonts w:hint="default" w:ascii="Times New Roman" w:hAnsi="Times New Roman" w:eastAsia="仿宋_GB2312" w:cs="Times New Roman"/>
          <w:color w:val="auto"/>
          <w:sz w:val="32"/>
          <w:szCs w:val="32"/>
          <w:highlight w:val="none"/>
        </w:rPr>
        <w:footnoteReference w:id="5"/>
      </w:r>
      <w:r>
        <w:rPr>
          <w:rFonts w:hint="eastAsia" w:eastAsia="仿宋_GB2312"/>
          <w:color w:val="auto"/>
          <w:sz w:val="32"/>
          <w:szCs w:val="32"/>
          <w:highlight w:val="none"/>
          <w:lang w:val="en-US" w:eastAsia="zh-CN"/>
        </w:rPr>
        <w:t>管理要求</w:t>
      </w:r>
      <w:r>
        <w:rPr>
          <w:rFonts w:hint="eastAsia" w:eastAsia="仿宋_GB2312"/>
          <w:color w:val="auto"/>
          <w:sz w:val="32"/>
          <w:szCs w:val="32"/>
          <w:highlight w:val="none"/>
          <w:lang w:eastAsia="zh-CN"/>
        </w:rPr>
        <w:t>，</w:t>
      </w:r>
      <w:r>
        <w:rPr>
          <w:rFonts w:hint="eastAsia" w:eastAsia="仿宋_GB2312"/>
          <w:color w:val="auto"/>
          <w:sz w:val="32"/>
          <w:szCs w:val="32"/>
          <w:highlight w:val="none"/>
        </w:rPr>
        <w:t>严禁违规“边营业边施工”。</w:t>
      </w:r>
      <w:r>
        <w:rPr>
          <w:rFonts w:hint="eastAsia" w:eastAsia="仿宋_GB2312"/>
          <w:color w:val="auto"/>
          <w:sz w:val="32"/>
          <w:szCs w:val="32"/>
          <w:highlight w:val="none"/>
          <w:lang w:val="en-US" w:eastAsia="zh-CN"/>
        </w:rPr>
        <w:t>持续</w:t>
      </w:r>
      <w:r>
        <w:rPr>
          <w:rFonts w:hint="eastAsia" w:eastAsia="仿宋_GB2312"/>
          <w:color w:val="auto"/>
          <w:sz w:val="32"/>
          <w:szCs w:val="32"/>
          <w:highlight w:val="none"/>
        </w:rPr>
        <w:t>完善动火作业安全操作规程和系统建设</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推进</w:t>
      </w:r>
      <w:r>
        <w:rPr>
          <w:rFonts w:hint="eastAsia" w:eastAsia="仿宋_GB2312"/>
          <w:color w:val="auto"/>
          <w:sz w:val="32"/>
          <w:szCs w:val="32"/>
          <w:highlight w:val="none"/>
        </w:rPr>
        <w:t>旧焊机“加芯赋码”信息化</w:t>
      </w:r>
      <w:r>
        <w:rPr>
          <w:rFonts w:hint="eastAsia" w:eastAsia="仿宋_GB2312"/>
          <w:color w:val="auto"/>
          <w:sz w:val="32"/>
          <w:szCs w:val="32"/>
          <w:highlight w:val="none"/>
          <w:lang w:val="en-US" w:eastAsia="zh-CN"/>
        </w:rPr>
        <w:t>管控</w:t>
      </w:r>
      <w:r>
        <w:rPr>
          <w:rFonts w:hint="eastAsia" w:eastAsia="仿宋_GB2312"/>
          <w:color w:val="auto"/>
          <w:sz w:val="32"/>
          <w:szCs w:val="32"/>
          <w:highlight w:val="none"/>
        </w:rPr>
        <w:t>。对热熔防水施工等较长时间动火作业施工项目</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实施</w:t>
      </w:r>
      <w:r>
        <w:rPr>
          <w:rFonts w:hint="eastAsia" w:eastAsia="仿宋_GB2312"/>
          <w:color w:val="auto"/>
          <w:sz w:val="32"/>
          <w:szCs w:val="32"/>
          <w:highlight w:val="none"/>
        </w:rPr>
        <w:t>全覆盖、全过程视频监控。</w:t>
      </w:r>
      <w:r>
        <w:rPr>
          <w:rFonts w:hint="eastAsia" w:ascii="Times New Roman" w:hAnsi="Times New Roman" w:eastAsia="仿宋_GB2312" w:cs="Times New Roman"/>
          <w:bCs/>
          <w:color w:val="auto"/>
          <w:sz w:val="32"/>
          <w:szCs w:val="28"/>
          <w:highlight w:val="none"/>
        </w:rPr>
        <w:t>深化电动自行车</w:t>
      </w:r>
      <w:r>
        <w:rPr>
          <w:rFonts w:hint="eastAsia" w:ascii="Times New Roman" w:hAnsi="Times New Roman" w:eastAsia="仿宋_GB2312" w:cs="Times New Roman"/>
          <w:bCs/>
          <w:color w:val="auto"/>
          <w:sz w:val="32"/>
          <w:szCs w:val="28"/>
          <w:highlight w:val="none"/>
          <w:lang w:val="en-US" w:eastAsia="zh-CN"/>
        </w:rPr>
        <w:t>常态化</w:t>
      </w:r>
      <w:r>
        <w:rPr>
          <w:rFonts w:hint="eastAsia" w:ascii="Times New Roman" w:hAnsi="Times New Roman" w:eastAsia="仿宋_GB2312" w:cs="Times New Roman"/>
          <w:bCs/>
          <w:color w:val="auto"/>
          <w:sz w:val="32"/>
          <w:szCs w:val="28"/>
          <w:highlight w:val="none"/>
        </w:rPr>
        <w:t>治理，</w:t>
      </w:r>
      <w:r>
        <w:rPr>
          <w:rFonts w:hint="eastAsia" w:eastAsia="仿宋_GB2312"/>
          <w:color w:val="auto"/>
          <w:sz w:val="32"/>
          <w:szCs w:val="32"/>
          <w:highlight w:val="none"/>
        </w:rPr>
        <w:t>开展住宅小区电动自行车全覆盖检查，</w:t>
      </w:r>
      <w:r>
        <w:rPr>
          <w:rFonts w:hint="eastAsia" w:eastAsia="仿宋_GB2312"/>
          <w:color w:val="auto"/>
          <w:sz w:val="32"/>
          <w:szCs w:val="32"/>
          <w:highlight w:val="none"/>
          <w:lang w:eastAsia="zh-CN"/>
        </w:rPr>
        <w:t>推动</w:t>
      </w:r>
      <w:r>
        <w:rPr>
          <w:rFonts w:hint="eastAsia" w:eastAsia="仿宋_GB2312"/>
          <w:color w:val="auto"/>
          <w:sz w:val="32"/>
          <w:szCs w:val="32"/>
          <w:highlight w:val="none"/>
        </w:rPr>
        <w:t>进电梯智能阻止器安装</w:t>
      </w:r>
      <w:r>
        <w:rPr>
          <w:rFonts w:hint="eastAsia" w:eastAsia="仿宋_GB2312"/>
          <w:color w:val="auto"/>
          <w:sz w:val="32"/>
          <w:szCs w:val="32"/>
          <w:highlight w:val="none"/>
          <w:lang w:eastAsia="zh-CN"/>
        </w:rPr>
        <w:t>，</w:t>
      </w:r>
      <w:r>
        <w:rPr>
          <w:rFonts w:hint="eastAsia" w:eastAsia="仿宋_GB2312"/>
          <w:color w:val="auto"/>
          <w:sz w:val="32"/>
          <w:szCs w:val="32"/>
          <w:highlight w:val="none"/>
        </w:rPr>
        <w:t>推动电动自行车火灾总量逐年下降</w:t>
      </w:r>
      <w:r>
        <w:rPr>
          <w:rFonts w:hint="eastAsia" w:eastAsia="仿宋_GB2312"/>
          <w:color w:val="auto"/>
          <w:sz w:val="32"/>
          <w:szCs w:val="32"/>
          <w:highlight w:val="none"/>
          <w:lang w:eastAsia="zh-CN"/>
        </w:rPr>
        <w:t>。</w:t>
      </w:r>
      <w:r>
        <w:rPr>
          <w:rFonts w:hint="eastAsia" w:eastAsia="仿宋_GB2312"/>
          <w:color w:val="auto"/>
          <w:sz w:val="32"/>
          <w:szCs w:val="32"/>
          <w:lang w:val="en-US" w:eastAsia="zh-CN"/>
        </w:rPr>
        <w:t>健全消防薄弱环节治理，</w:t>
      </w:r>
      <w:r>
        <w:rPr>
          <w:rFonts w:hint="eastAsia" w:ascii="Times New Roman" w:hAnsi="Times New Roman" w:eastAsia="仿宋_GB2312" w:cs="Times New Roman"/>
          <w:bCs/>
          <w:color w:val="auto"/>
          <w:sz w:val="32"/>
          <w:szCs w:val="28"/>
          <w:highlight w:val="none"/>
        </w:rPr>
        <w:t>动态摸排上账消防安全重点关爱人群，开展消防安全“敲门入户”宣传行动</w:t>
      </w:r>
      <w:r>
        <w:rPr>
          <w:rFonts w:hint="eastAsia" w:ascii="Times New Roman" w:hAnsi="Times New Roman" w:eastAsia="仿宋_GB2312" w:cs="Times New Roman"/>
          <w:bCs/>
          <w:color w:val="auto"/>
          <w:sz w:val="32"/>
          <w:szCs w:val="28"/>
          <w:highlight w:val="none"/>
          <w:lang w:eastAsia="zh-CN"/>
        </w:rPr>
        <w:t>，配置联网型独立感烟火灾探测器，</w:t>
      </w:r>
      <w:r>
        <w:rPr>
          <w:rFonts w:hint="eastAsia" w:ascii="Times New Roman" w:hAnsi="Times New Roman" w:eastAsia="仿宋_GB2312" w:cs="Times New Roman"/>
          <w:bCs/>
          <w:color w:val="auto"/>
          <w:sz w:val="32"/>
          <w:szCs w:val="28"/>
          <w:highlight w:val="none"/>
        </w:rPr>
        <w:t>严防“小火亡人”。</w:t>
      </w:r>
      <w:r>
        <w:rPr>
          <w:rFonts w:hint="eastAsia" w:eastAsia="仿宋_GB2312"/>
          <w:color w:val="auto"/>
          <w:sz w:val="32"/>
          <w:szCs w:val="32"/>
          <w:highlight w:val="none"/>
        </w:rPr>
        <w:t>推动村民经营性自建住宅“双通道”建设率达</w:t>
      </w:r>
      <w:r>
        <w:rPr>
          <w:rFonts w:hint="default" w:ascii="Times New Roman" w:hAnsi="Times New Roman" w:eastAsia="仿宋_GB2312" w:cs="Times New Roman"/>
          <w:color w:val="auto"/>
          <w:sz w:val="32"/>
          <w:szCs w:val="32"/>
          <w:highlight w:val="none"/>
        </w:rPr>
        <w:t>100%</w:t>
      </w:r>
      <w:r>
        <w:rPr>
          <w:rFonts w:hint="eastAsia" w:ascii="Times New Roman" w:hAnsi="Times New Roman" w:eastAsia="仿宋_GB2312" w:cs="Times New Roman"/>
          <w:color w:val="auto"/>
          <w:sz w:val="32"/>
          <w:szCs w:val="32"/>
          <w:highlight w:val="none"/>
          <w:lang w:eastAsia="zh-CN"/>
        </w:rPr>
        <w:t>。</w:t>
      </w:r>
      <w:r>
        <w:rPr>
          <w:rFonts w:hint="eastAsia" w:eastAsia="仿宋_GB2312"/>
          <w:color w:val="auto"/>
          <w:sz w:val="32"/>
          <w:szCs w:val="32"/>
        </w:rPr>
        <w:t>全面加强建筑保温材料全链条安全监管，推动高层民用建筑外墙外保温常态化排查评估，“一楼一牌”设置率达</w:t>
      </w:r>
      <w:r>
        <w:rPr>
          <w:rFonts w:hint="default" w:ascii="Times New Roman" w:hAnsi="Times New Roman" w:eastAsia="仿宋_GB2312"/>
          <w:color w:val="auto"/>
          <w:sz w:val="32"/>
          <w:szCs w:val="32"/>
        </w:rPr>
        <w:t>100%</w:t>
      </w:r>
      <w:r>
        <w:rPr>
          <w:rFonts w:hint="eastAsia" w:eastAsia="仿宋_GB2312"/>
          <w:color w:val="auto"/>
          <w:sz w:val="32"/>
          <w:szCs w:val="32"/>
        </w:rPr>
        <w:t>，聚焦房屋市政工程建筑外墙以及冷库、室内冰雪场馆保温材料应用领域，紧盯生产流通、质量评价、建设施工、排查修缮、使用管理等各环节，持续提升建筑保温材料安全水平。</w:t>
      </w:r>
      <w:r>
        <w:rPr>
          <w:rFonts w:hint="eastAsia" w:eastAsia="仿宋_GB2312"/>
          <w:color w:val="auto"/>
          <w:sz w:val="32"/>
          <w:szCs w:val="32"/>
          <w:lang w:val="en-US" w:eastAsia="zh-CN"/>
        </w:rPr>
        <w:t>切实</w:t>
      </w:r>
      <w:r>
        <w:rPr>
          <w:rFonts w:hint="eastAsia" w:eastAsia="仿宋_GB2312"/>
          <w:color w:val="auto"/>
          <w:sz w:val="32"/>
          <w:szCs w:val="32"/>
        </w:rPr>
        <w:t>筑牢森林防火安全屏障</w:t>
      </w:r>
      <w:r>
        <w:rPr>
          <w:rFonts w:hint="eastAsia" w:eastAsia="仿宋_GB2312"/>
          <w:color w:val="auto"/>
          <w:sz w:val="32"/>
          <w:szCs w:val="32"/>
          <w:lang w:eastAsia="zh-CN"/>
        </w:rPr>
        <w:t>，</w:t>
      </w:r>
      <w:r>
        <w:rPr>
          <w:rFonts w:hint="eastAsia" w:eastAsia="仿宋_GB2312"/>
          <w:color w:val="auto"/>
          <w:sz w:val="32"/>
          <w:szCs w:val="32"/>
        </w:rPr>
        <w:t>加强基层防灭火规范化建设，常态化开展森林防火专项检查，提升预警响应和早期处置能力。推动森林火灾受害率</w:t>
      </w:r>
      <w:r>
        <w:rPr>
          <w:rStyle w:val="21"/>
          <w:rFonts w:hint="default" w:ascii="Times New Roman" w:hAnsi="Times New Roman" w:eastAsia="仿宋_GB2312" w:cs="Times New Roman"/>
          <w:color w:val="auto"/>
          <w:sz w:val="32"/>
          <w:szCs w:val="32"/>
        </w:rPr>
        <w:footnoteReference w:id="6"/>
      </w:r>
      <w:r>
        <w:rPr>
          <w:rFonts w:hint="eastAsia" w:eastAsia="仿宋_GB2312"/>
          <w:color w:val="auto"/>
          <w:sz w:val="32"/>
          <w:szCs w:val="32"/>
        </w:rPr>
        <w:t>控制在</w:t>
      </w:r>
      <w:r>
        <w:rPr>
          <w:rFonts w:hint="default" w:ascii="Times New Roman" w:hAnsi="Times New Roman" w:eastAsia="仿宋_GB2312" w:cs="Times New Roman"/>
          <w:color w:val="auto"/>
          <w:sz w:val="32"/>
          <w:szCs w:val="32"/>
        </w:rPr>
        <w:t>0.5‰</w:t>
      </w:r>
      <w:r>
        <w:rPr>
          <w:rFonts w:hint="eastAsia" w:eastAsia="仿宋_GB2312"/>
          <w:color w:val="auto"/>
          <w:sz w:val="32"/>
          <w:szCs w:val="32"/>
        </w:rPr>
        <w:t>以内，坚决防范重特大森林火灾发生。</w:t>
      </w:r>
      <w:r>
        <w:rPr>
          <w:rFonts w:eastAsia="仿宋_GB2312"/>
          <w:color w:val="auto"/>
          <w:sz w:val="32"/>
          <w:szCs w:val="32"/>
          <w:highlight w:val="none"/>
        </w:rPr>
        <w:t>强化源头治理、综合治理、系统治理，</w:t>
      </w:r>
      <w:r>
        <w:rPr>
          <w:rFonts w:hint="eastAsia" w:ascii="Times New Roman" w:hAnsi="Times New Roman" w:eastAsia="仿宋_GB2312" w:cs="Times New Roman"/>
          <w:bCs/>
          <w:color w:val="auto"/>
          <w:sz w:val="32"/>
          <w:szCs w:val="20"/>
          <w:highlight w:val="none"/>
        </w:rPr>
        <w:t>加强对</w:t>
      </w:r>
      <w:r>
        <w:rPr>
          <w:rFonts w:hint="eastAsia" w:eastAsia="仿宋_GB2312"/>
          <w:color w:val="auto"/>
          <w:sz w:val="32"/>
          <w:szCs w:val="32"/>
          <w:highlight w:val="none"/>
        </w:rPr>
        <w:t>职能交叉及新业态新领域</w:t>
      </w:r>
      <w:r>
        <w:rPr>
          <w:rFonts w:hint="eastAsia" w:ascii="Times New Roman" w:hAnsi="Times New Roman" w:eastAsia="仿宋_GB2312" w:cs="Times New Roman"/>
          <w:bCs/>
          <w:color w:val="auto"/>
          <w:sz w:val="32"/>
          <w:szCs w:val="20"/>
          <w:highlight w:val="none"/>
        </w:rPr>
        <w:t>安全风险监管。</w:t>
      </w:r>
      <w:r>
        <w:rPr>
          <w:rFonts w:hint="eastAsia" w:ascii="Times New Roman" w:hAnsi="Times New Roman" w:eastAsia="仿宋_GB2312" w:cs="Times New Roman"/>
          <w:bCs/>
          <w:color w:val="auto"/>
          <w:sz w:val="32"/>
          <w:szCs w:val="28"/>
          <w:highlight w:val="none"/>
          <w:lang w:val="en-US" w:eastAsia="zh-CN"/>
        </w:rPr>
        <w:t>密切关注演艺新空间、</w:t>
      </w:r>
      <w:r>
        <w:rPr>
          <w:rFonts w:hint="eastAsia" w:ascii="Times New Roman" w:hAnsi="Times New Roman" w:eastAsia="仿宋_GB2312" w:cs="Times New Roman"/>
          <w:bCs/>
          <w:color w:val="auto"/>
          <w:sz w:val="32"/>
          <w:szCs w:val="28"/>
          <w:highlight w:val="none"/>
        </w:rPr>
        <w:t>气膜馆、密室逃脱、剧本杀、直播带货工作室、电竞酒店等新业态，以及锂离子电池、电化学储能等新</w:t>
      </w:r>
      <w:r>
        <w:rPr>
          <w:rFonts w:hint="eastAsia" w:ascii="Times New Roman" w:hAnsi="Times New Roman" w:eastAsia="仿宋_GB2312" w:cs="Times New Roman"/>
          <w:bCs/>
          <w:color w:val="auto"/>
          <w:sz w:val="32"/>
          <w:szCs w:val="28"/>
          <w:highlight w:val="none"/>
          <w:lang w:val="en-US" w:eastAsia="zh-CN"/>
        </w:rPr>
        <w:t>兴</w:t>
      </w:r>
      <w:r>
        <w:rPr>
          <w:rFonts w:hint="eastAsia" w:ascii="Times New Roman" w:hAnsi="Times New Roman" w:eastAsia="仿宋_GB2312" w:cs="Times New Roman"/>
          <w:bCs/>
          <w:color w:val="auto"/>
          <w:sz w:val="32"/>
          <w:szCs w:val="28"/>
          <w:highlight w:val="none"/>
        </w:rPr>
        <w:t>风险，推动落实本质安全措施。</w:t>
      </w:r>
    </w:p>
    <w:p w14:paraId="4C981B1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三、提升综合监管服务水平</w:t>
      </w:r>
    </w:p>
    <w:p w14:paraId="76A19266">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lang w:val="en-US" w:eastAsia="zh-CN"/>
        </w:rPr>
      </w:pPr>
      <w:r>
        <w:rPr>
          <w:rFonts w:hint="eastAsia" w:ascii="Times New Roman" w:hAnsi="Times New Roman" w:eastAsia="仿宋_GB2312" w:cs="Times New Roman"/>
          <w:bCs/>
          <w:color w:val="auto"/>
          <w:sz w:val="32"/>
          <w:szCs w:val="28"/>
          <w:highlight w:val="none"/>
          <w:lang w:val="en-US" w:eastAsia="zh-CN"/>
        </w:rPr>
        <w:t>完善火灾隐患排查治理责任追究制度，坚持多通报、多发督促函、多暗访、多拍摄隐患场景，采取警示通报、约谈函告、挂牌曝光等措施，督促行业部门、街乡、社会单位开展消防安全自查巡查检查，举一反三提升火灾隐患排查和整改质量。严格火灾事故调查处理，加强火灾事故行业延伸倒查，建立违纪违法行为移送机制，依法依规严肃处理。固化村民经营性自建住宅、消防安全重点关爱人群抽查核验机制，向“九小场所”、限额以下工程等领域拓展延伸，通过反复抽样核查，督促隐患整改，降低火灾概率。</w:t>
      </w:r>
    </w:p>
    <w:p w14:paraId="0A98EF9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四、夯实公共消防设施基础</w:t>
      </w:r>
    </w:p>
    <w:p w14:paraId="39CC1A29">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lang w:val="en-US" w:eastAsia="zh-CN"/>
        </w:rPr>
        <w:t>夯实</w:t>
      </w:r>
      <w:r>
        <w:rPr>
          <w:rFonts w:hint="eastAsia" w:ascii="Times New Roman" w:hAnsi="Times New Roman" w:eastAsia="仿宋_GB2312" w:cs="Times New Roman"/>
          <w:bCs/>
          <w:color w:val="auto"/>
          <w:sz w:val="32"/>
          <w:szCs w:val="28"/>
          <w:highlight w:val="none"/>
        </w:rPr>
        <w:t>公共消防安全基础，规划建设消防救援站</w:t>
      </w:r>
      <w:r>
        <w:rPr>
          <w:rFonts w:hint="eastAsia" w:ascii="Times New Roman" w:hAnsi="Times New Roman" w:eastAsia="仿宋_GB2312" w:cs="Times New Roman"/>
          <w:bCs/>
          <w:color w:val="auto"/>
          <w:sz w:val="32"/>
          <w:szCs w:val="28"/>
          <w:highlight w:val="none"/>
          <w:lang w:val="en-US" w:eastAsia="zh-CN"/>
        </w:rPr>
        <w:t>4座</w:t>
      </w:r>
      <w:r>
        <w:rPr>
          <w:rFonts w:hint="eastAsia" w:ascii="Times New Roman" w:hAnsi="Times New Roman" w:eastAsia="仿宋_GB2312" w:cs="Times New Roman"/>
          <w:bCs/>
          <w:color w:val="auto"/>
          <w:sz w:val="32"/>
          <w:szCs w:val="28"/>
          <w:highlight w:val="none"/>
        </w:rPr>
        <w:t>，补齐前沿防线短板。在商业、老旧小区、高层建筑密集区和大型居住区等区域，因地制宜建设政府专职小型消防站。推进单位微型消防站建设全覆盖并纳入119指挥调度，根据需要建设社区（村）微型消防站，加强联训联演，做好联战准备。</w:t>
      </w:r>
    </w:p>
    <w:p w14:paraId="5E8AA309">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38" w:name="_Toc28547"/>
      <w:r>
        <w:rPr>
          <w:rFonts w:hint="eastAsia" w:ascii="Times New Roman" w:hAnsi="Times New Roman" w:eastAsia="黑体" w:cs="黑体"/>
          <w:color w:val="auto"/>
          <w:kern w:val="0"/>
          <w:sz w:val="32"/>
          <w:szCs w:val="32"/>
          <w:highlight w:val="none"/>
          <w:lang w:val="en-US" w:eastAsia="zh-CN" w:bidi="ar-SA"/>
        </w:rPr>
        <w:t>第四章 突出关口前移导向，增强韧性城市建设能力</w:t>
      </w:r>
      <w:bookmarkEnd w:id="228"/>
      <w:bookmarkEnd w:id="229"/>
      <w:bookmarkEnd w:id="230"/>
      <w:bookmarkEnd w:id="231"/>
      <w:bookmarkEnd w:id="232"/>
      <w:bookmarkEnd w:id="233"/>
      <w:bookmarkEnd w:id="234"/>
      <w:bookmarkEnd w:id="235"/>
      <w:bookmarkEnd w:id="236"/>
      <w:bookmarkEnd w:id="237"/>
      <w:bookmarkEnd w:id="238"/>
    </w:p>
    <w:p w14:paraId="378190E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一、强化城市生命线系统体系建设</w:t>
      </w:r>
    </w:p>
    <w:p w14:paraId="07662CC9">
      <w:pPr>
        <w:keepLines w:val="0"/>
        <w:pageBreakBefore w:val="0"/>
        <w:kinsoku/>
        <w:wordWrap/>
        <w:overflowPunct/>
        <w:topLinePunct w:val="0"/>
        <w:autoSpaceDE/>
        <w:autoSpaceDN/>
        <w:bidi w:val="0"/>
        <w:adjustRightInd w:val="0"/>
        <w:snapToGrid w:val="0"/>
        <w:spacing w:line="560" w:lineRule="exact"/>
        <w:ind w:firstLine="640" w:firstLineChars="200"/>
        <w:outlineLvl w:val="9"/>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以首都功能保障环、城市运行支撑环建设为重点，</w:t>
      </w:r>
      <w:r>
        <w:rPr>
          <w:rFonts w:hint="eastAsia" w:ascii="Times New Roman" w:hAnsi="Times New Roman" w:eastAsia="仿宋_GB2312" w:cs="Times New Roman"/>
          <w:bCs/>
          <w:color w:val="auto"/>
          <w:sz w:val="32"/>
          <w:szCs w:val="28"/>
          <w:highlight w:val="none"/>
          <w:lang w:eastAsia="zh-CN"/>
        </w:rPr>
        <w:t>重点强化</w:t>
      </w:r>
      <w:r>
        <w:rPr>
          <w:rFonts w:hint="eastAsia" w:ascii="Times New Roman" w:hAnsi="Times New Roman" w:eastAsia="仿宋_GB2312" w:cs="Times New Roman"/>
          <w:bCs/>
          <w:color w:val="auto"/>
          <w:sz w:val="32"/>
          <w:szCs w:val="28"/>
          <w:highlight w:val="none"/>
        </w:rPr>
        <w:t>城市安全设施</w:t>
      </w:r>
      <w:r>
        <w:rPr>
          <w:rFonts w:hint="eastAsia" w:ascii="Times New Roman" w:hAnsi="Times New Roman" w:eastAsia="仿宋_GB2312" w:cs="Times New Roman"/>
          <w:bCs/>
          <w:color w:val="auto"/>
          <w:sz w:val="32"/>
          <w:szCs w:val="28"/>
          <w:highlight w:val="none"/>
          <w:lang w:val="en-US" w:eastAsia="zh-CN"/>
        </w:rPr>
        <w:t>建设，</w:t>
      </w:r>
      <w:r>
        <w:rPr>
          <w:rFonts w:hint="eastAsia" w:ascii="Times New Roman" w:hAnsi="Times New Roman" w:eastAsia="仿宋_GB2312" w:cs="Times New Roman"/>
          <w:bCs/>
          <w:color w:val="auto"/>
          <w:sz w:val="32"/>
          <w:szCs w:val="28"/>
          <w:highlight w:val="none"/>
        </w:rPr>
        <w:t>增强供电、供水、供气系统的多源供应和互为备份能力，推进老旧管网更新和地下综合管廊建设，强化燃气管道、高压电缆、输水干管等关键设施</w:t>
      </w:r>
      <w:r>
        <w:rPr>
          <w:rFonts w:hint="eastAsia" w:ascii="Times New Roman" w:hAnsi="Times New Roman" w:eastAsia="仿宋_GB2312" w:cs="Times New Roman"/>
          <w:bCs/>
          <w:color w:val="auto"/>
          <w:sz w:val="32"/>
          <w:szCs w:val="28"/>
          <w:highlight w:val="none"/>
          <w:lang w:val="en-US" w:eastAsia="zh-CN"/>
        </w:rPr>
        <w:t>的</w:t>
      </w:r>
      <w:r>
        <w:rPr>
          <w:rFonts w:hint="eastAsia" w:ascii="Times New Roman" w:hAnsi="Times New Roman" w:eastAsia="仿宋_GB2312" w:cs="Times New Roman"/>
          <w:bCs/>
          <w:color w:val="auto"/>
          <w:sz w:val="32"/>
          <w:szCs w:val="28"/>
          <w:highlight w:val="none"/>
        </w:rPr>
        <w:t>动态监测与防护，</w:t>
      </w:r>
      <w:r>
        <w:rPr>
          <w:rFonts w:hint="eastAsia" w:ascii="Times New Roman" w:hAnsi="Times New Roman" w:eastAsia="仿宋_GB2312" w:cs="Times New Roman"/>
          <w:bCs/>
          <w:color w:val="auto"/>
          <w:sz w:val="32"/>
          <w:szCs w:val="28"/>
          <w:highlight w:val="none"/>
          <w:lang w:val="en-US" w:eastAsia="zh-CN"/>
        </w:rPr>
        <w:t>有效控制</w:t>
      </w:r>
      <w:r>
        <w:rPr>
          <w:rFonts w:hint="eastAsia" w:ascii="Times New Roman" w:hAnsi="Times New Roman" w:eastAsia="仿宋_GB2312" w:cs="Times New Roman"/>
          <w:bCs/>
          <w:color w:val="auto"/>
          <w:sz w:val="32"/>
          <w:szCs w:val="28"/>
          <w:highlight w:val="none"/>
        </w:rPr>
        <w:t>系统性运行风险。</w:t>
      </w:r>
      <w:r>
        <w:rPr>
          <w:rFonts w:hint="eastAsia" w:ascii="Times New Roman" w:hAnsi="Times New Roman" w:eastAsia="仿宋_GB2312" w:cs="Times New Roman"/>
          <w:bCs/>
          <w:color w:val="auto"/>
          <w:sz w:val="32"/>
          <w:szCs w:val="28"/>
          <w:highlight w:val="none"/>
          <w:lang w:val="en-US" w:eastAsia="zh-CN"/>
        </w:rPr>
        <w:t>推动</w:t>
      </w:r>
      <w:r>
        <w:rPr>
          <w:rFonts w:hint="eastAsia" w:ascii="Times New Roman" w:hAnsi="Times New Roman" w:eastAsia="仿宋_GB2312" w:cs="Times New Roman"/>
          <w:bCs/>
          <w:color w:val="auto"/>
          <w:sz w:val="32"/>
          <w:szCs w:val="28"/>
          <w:highlight w:val="none"/>
        </w:rPr>
        <w:t>“城市</w:t>
      </w:r>
      <w:r>
        <w:rPr>
          <w:rFonts w:hint="eastAsia" w:ascii="Times New Roman" w:hAnsi="Times New Roman" w:eastAsia="仿宋_GB2312" w:cs="Times New Roman"/>
          <w:bCs/>
          <w:color w:val="auto"/>
          <w:sz w:val="32"/>
          <w:szCs w:val="28"/>
          <w:highlight w:val="none"/>
          <w:lang w:val="en-US" w:eastAsia="zh-CN"/>
        </w:rPr>
        <w:t>智慧</w:t>
      </w:r>
      <w:r>
        <w:rPr>
          <w:rFonts w:hint="eastAsia" w:ascii="Times New Roman" w:hAnsi="Times New Roman" w:eastAsia="仿宋_GB2312" w:cs="Times New Roman"/>
          <w:bCs/>
          <w:color w:val="auto"/>
          <w:sz w:val="32"/>
          <w:szCs w:val="28"/>
          <w:highlight w:val="none"/>
        </w:rPr>
        <w:t>大脑”与韧性</w:t>
      </w:r>
      <w:r>
        <w:rPr>
          <w:rFonts w:hint="eastAsia" w:ascii="Times New Roman" w:hAnsi="Times New Roman" w:eastAsia="仿宋_GB2312" w:cs="Times New Roman"/>
          <w:bCs/>
          <w:color w:val="auto"/>
          <w:sz w:val="32"/>
          <w:szCs w:val="28"/>
          <w:highlight w:val="none"/>
          <w:lang w:val="en-US" w:eastAsia="zh-CN"/>
        </w:rPr>
        <w:t>城市建设</w:t>
      </w:r>
      <w:r>
        <w:rPr>
          <w:rFonts w:hint="eastAsia" w:ascii="Times New Roman" w:hAnsi="Times New Roman" w:eastAsia="仿宋_GB2312" w:cs="Times New Roman"/>
          <w:bCs/>
          <w:color w:val="auto"/>
          <w:sz w:val="32"/>
          <w:szCs w:val="28"/>
          <w:highlight w:val="none"/>
        </w:rPr>
        <w:t>融合，依托物联网</w:t>
      </w:r>
      <w:r>
        <w:rPr>
          <w:rFonts w:hint="eastAsia" w:ascii="Times New Roman" w:hAnsi="Times New Roman" w:eastAsia="仿宋_GB2312" w:cs="Times New Roman"/>
          <w:bCs/>
          <w:color w:val="auto"/>
          <w:sz w:val="32"/>
          <w:szCs w:val="28"/>
          <w:highlight w:val="none"/>
          <w:lang w:val="en-US" w:eastAsia="zh-CN"/>
        </w:rPr>
        <w:t>和</w:t>
      </w:r>
      <w:r>
        <w:rPr>
          <w:rFonts w:hint="eastAsia" w:ascii="Times New Roman" w:hAnsi="Times New Roman" w:eastAsia="仿宋_GB2312" w:cs="Times New Roman"/>
          <w:bCs/>
          <w:color w:val="auto"/>
          <w:sz w:val="32"/>
          <w:szCs w:val="28"/>
          <w:highlight w:val="none"/>
        </w:rPr>
        <w:t>大数据手段</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实现</w:t>
      </w:r>
      <w:r>
        <w:rPr>
          <w:rFonts w:hint="eastAsia" w:ascii="Times New Roman" w:hAnsi="Times New Roman" w:eastAsia="仿宋_GB2312" w:cs="Times New Roman"/>
          <w:bCs/>
          <w:color w:val="auto"/>
          <w:sz w:val="32"/>
          <w:szCs w:val="28"/>
          <w:highlight w:val="none"/>
          <w:lang w:val="en-US" w:eastAsia="zh-CN"/>
        </w:rPr>
        <w:t>对</w:t>
      </w:r>
      <w:r>
        <w:rPr>
          <w:rFonts w:hint="eastAsia" w:ascii="Times New Roman" w:hAnsi="Times New Roman" w:eastAsia="仿宋_GB2312" w:cs="Times New Roman"/>
          <w:bCs/>
          <w:color w:val="auto"/>
          <w:sz w:val="32"/>
          <w:szCs w:val="28"/>
          <w:highlight w:val="none"/>
        </w:rPr>
        <w:t>管线泄漏、破损和运行异常的智能预警与快速处置。完善疏散救援通道网络，以高等级道路为主体，重要地面道路为</w:t>
      </w:r>
      <w:r>
        <w:rPr>
          <w:rFonts w:hint="eastAsia" w:ascii="Times New Roman" w:hAnsi="Times New Roman" w:eastAsia="仿宋_GB2312" w:cs="Times New Roman"/>
          <w:bCs/>
          <w:color w:val="auto"/>
          <w:sz w:val="32"/>
          <w:szCs w:val="28"/>
          <w:highlight w:val="none"/>
          <w:lang w:val="en-US" w:eastAsia="zh-CN"/>
        </w:rPr>
        <w:t>补充</w:t>
      </w:r>
      <w:r>
        <w:rPr>
          <w:rFonts w:hint="eastAsia" w:ascii="Times New Roman" w:hAnsi="Times New Roman" w:eastAsia="仿宋_GB2312" w:cs="Times New Roman"/>
          <w:bCs/>
          <w:color w:val="auto"/>
          <w:sz w:val="32"/>
          <w:szCs w:val="28"/>
          <w:highlight w:val="none"/>
        </w:rPr>
        <w:t>，遵循供需匹配、适量冗余、安全可靠的原则，布置一、二、三级应急疏散救援通道，保障主干路网畅通和工程韧性。结合城市更新，打通断头路，增加路网密度，优化交叉口设计，提升道路网络连通性和韧性。推动“留白增绿”与防灾空间建设相结合，充分利用公园绿地、体育场馆、学校操场等开敞空间，嵌建应急避难、物资储备和指挥调度功能，形成平时服务、急时应急的平急两用设施体系。</w:t>
      </w:r>
      <w:r>
        <w:rPr>
          <w:rFonts w:hint="eastAsia" w:ascii="Times New Roman" w:hAnsi="Times New Roman" w:eastAsia="仿宋_GB2312" w:cs="Times New Roman"/>
          <w:bCs/>
          <w:color w:val="auto"/>
          <w:sz w:val="32"/>
          <w:szCs w:val="28"/>
          <w:highlight w:val="none"/>
          <w:lang w:val="en-US" w:eastAsia="zh-CN"/>
        </w:rPr>
        <w:t>加强</w:t>
      </w:r>
      <w:r>
        <w:rPr>
          <w:rFonts w:hint="eastAsia" w:ascii="Times New Roman" w:hAnsi="Times New Roman" w:eastAsia="仿宋_GB2312" w:cs="Times New Roman"/>
          <w:bCs/>
          <w:color w:val="auto"/>
          <w:sz w:val="32"/>
          <w:szCs w:val="28"/>
          <w:highlight w:val="none"/>
        </w:rPr>
        <w:t>地下空间智能监测与管理，运用传感器与物联网技术实现隐患自动预警，加快城市地下管线GIS系统建设。推进综合管廊统筹规划、集约建设和标准化运维，持续开展隐患排查，建立动态数据库，重点整治老旧管线腐蚀问题，优先实施高风险区域管线更新改造。</w:t>
      </w:r>
    </w:p>
    <w:p w14:paraId="4FA2FA22">
      <w:pPr>
        <w:keepNext/>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二、健全风险评估与精细化治理机制</w:t>
      </w:r>
    </w:p>
    <w:p w14:paraId="5A9C918B">
      <w:pPr>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bCs/>
          <w:color w:val="auto"/>
          <w:sz w:val="32"/>
          <w:szCs w:val="28"/>
          <w:highlight w:val="none"/>
          <w:lang w:val="en-US"/>
        </w:rPr>
      </w:pPr>
      <w:r>
        <w:rPr>
          <w:rFonts w:hint="default" w:ascii="Times New Roman" w:hAnsi="Times New Roman" w:eastAsia="仿宋_GB2312" w:cs="Times New Roman"/>
          <w:bCs/>
          <w:color w:val="auto"/>
          <w:sz w:val="32"/>
          <w:szCs w:val="28"/>
          <w:highlight w:val="none"/>
        </w:rPr>
        <w:t>全面排查并针对性提升电力、通信、交通、供水等重点、关键基础设施的防洪标准，采取必要的防洪加固措施，提升通信网络韧性。聚焦旅游景区、大跨度建筑物、桥梁隧道、城市生命线，以及学校、养老院、托幼机构等重点场所，深入开展自然灾害隐患排查治理。分类实施城市内涝治理</w:t>
      </w:r>
      <w:r>
        <w:rPr>
          <w:rFonts w:hint="eastAsia" w:ascii="Times New Roman" w:hAnsi="Times New Roman" w:eastAsia="仿宋_GB2312" w:cs="Times New Roman"/>
          <w:bCs/>
          <w:color w:val="auto"/>
          <w:sz w:val="32"/>
          <w:szCs w:val="28"/>
          <w:highlight w:val="none"/>
          <w:lang w:eastAsia="zh-CN"/>
        </w:rPr>
        <w:t>，</w:t>
      </w:r>
      <w:r>
        <w:rPr>
          <w:rFonts w:hint="default" w:ascii="Times New Roman" w:hAnsi="Times New Roman" w:eastAsia="仿宋_GB2312" w:cs="Times New Roman"/>
          <w:bCs/>
          <w:color w:val="auto"/>
          <w:sz w:val="32"/>
          <w:szCs w:val="28"/>
          <w:highlight w:val="none"/>
        </w:rPr>
        <w:t>持续推进排水管网清管行动，加快老城区排水管网更新改造，配套建设强排泵站等设施，提升重点区域下凹桥、低洼路段防洪能力，消除管网空白区。完善联防联控与协同处置机制，提升复杂事故与灾害情景下的快速响应和多力协调效能。持续推进自然灾害综合风险普查成果应用，开展区域灾害风险评估与区划编制，明确洪涝、地震等重点防控区域与措施。</w:t>
      </w:r>
    </w:p>
    <w:p w14:paraId="6A142B2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三、强化风险监测预警与响应</w:t>
      </w:r>
    </w:p>
    <w:p w14:paraId="7BB70854">
      <w:pPr>
        <w:pStyle w:val="2"/>
        <w:keepNext w:val="0"/>
        <w:keepLines w:val="0"/>
        <w:pageBreakBefore w:val="0"/>
        <w:widowControl w:val="0"/>
        <w:kinsoku/>
        <w:wordWrap/>
        <w:overflowPunct/>
        <w:topLinePunct w:val="0"/>
        <w:autoSpaceDE/>
        <w:autoSpaceDN/>
        <w:bidi w:val="0"/>
        <w:spacing w:after="0" w:line="560" w:lineRule="exact"/>
        <w:ind w:firstLine="640" w:firstLineChars="200"/>
        <w:textAlignment w:val="auto"/>
        <w:rPr>
          <w:rFonts w:hint="eastAsia" w:ascii="Times New Roman" w:hAnsi="Times New Roman" w:eastAsia="仿宋_GB2312" w:cs="Times New Roman"/>
          <w:bCs/>
          <w:color w:val="auto"/>
          <w:kern w:val="2"/>
          <w:sz w:val="32"/>
          <w:szCs w:val="20"/>
          <w:highlight w:val="none"/>
          <w:lang w:val="en-US" w:eastAsia="zh-CN" w:bidi="ar-SA"/>
        </w:rPr>
      </w:pPr>
      <w:r>
        <w:rPr>
          <w:rFonts w:hint="eastAsia" w:ascii="Times New Roman" w:hAnsi="Times New Roman" w:eastAsia="仿宋_GB2312" w:cs="Times New Roman"/>
          <w:bCs/>
          <w:color w:val="auto"/>
          <w:sz w:val="32"/>
          <w:szCs w:val="20"/>
          <w:highlight w:val="none"/>
        </w:rPr>
        <w:t>集成气象、交通等多源数据，实现灾害预警、模拟推演和智能调度，提升精细化治理水平。完善公共安全体系，推动公共安全治理模式向事前预防转型。</w:t>
      </w:r>
      <w:r>
        <w:rPr>
          <w:rFonts w:hint="eastAsia" w:ascii="Times New Roman" w:hAnsi="Times New Roman" w:eastAsia="仿宋_GB2312" w:cs="Times New Roman"/>
          <w:bCs/>
          <w:color w:val="auto"/>
          <w:kern w:val="2"/>
          <w:sz w:val="32"/>
          <w:szCs w:val="20"/>
          <w:highlight w:val="none"/>
          <w:lang w:val="en-US" w:eastAsia="zh-CN" w:bidi="ar-SA"/>
        </w:rPr>
        <w:t>进一步完善“区—街乡—社区（村）—群众”链式发布体系，推动预警信息直达基层、直达公众，提升预警信息发布效能。优化预警信息发布与政策传导机制，探索广播、电视、新媒体、社区显示屏、智能喇叭等多元发布渠道，拓展公共传播途径，着力破解“最后一公里”问题。强化预警响应机制，严格依据应急预案开展分级分类响应，刚性落实停工、停学、避险转移等硬性措施，提升极端天气应对与风险防范能力。将行动不便的重点人群纳入区、乡、村三级台账管护。加强AI、数字孪生、大模型等新技术在风险识别、模拟推演与智能决策中的应用，推动风险防控由被动应对向主动干预转变。</w:t>
      </w:r>
    </w:p>
    <w:p w14:paraId="47A8E3B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四、全面增强城市综合保障韧性</w:t>
      </w:r>
    </w:p>
    <w:p w14:paraId="58268A90">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有序推进建设系统性与多元化相统筹的运行支撑、集中式与分散化相结合的空间组织、平急灵活转换的设施保障、分级分类的现代化管理四大体系。常态化开展“九小场所”、人员密集场所、城乡结合部、经营性自建房、住宅小区、有限空间和森林火险区等隐患排查，推进燃气、电力管网智能化改造，实施排水防涝设施升级和防火通道建设，系统提升基础设施韧性。增强学校、医院、老旧小区等重要建筑抗灾能力，推广抗震加固新技术，建立基础设施定期评估制度，开展区域灾害风险调查与防灾能力评估，绘制风险区划图，实现隐患清单动态管理。强化重大活动韧性保障，针对全国两会、国庆及国际性会展等时段，</w:t>
      </w:r>
      <w:r>
        <w:rPr>
          <w:rFonts w:hint="eastAsia" w:ascii="Times New Roman" w:hAnsi="Times New Roman" w:eastAsia="仿宋_GB2312" w:cs="Times New Roman"/>
          <w:bCs/>
          <w:color w:val="auto"/>
          <w:sz w:val="32"/>
          <w:szCs w:val="20"/>
          <w:highlight w:val="none"/>
          <w:lang w:val="en-US" w:eastAsia="zh-CN"/>
        </w:rPr>
        <w:t>加强</w:t>
      </w:r>
      <w:r>
        <w:rPr>
          <w:rFonts w:hint="eastAsia" w:ascii="Times New Roman" w:hAnsi="Times New Roman" w:eastAsia="仿宋_GB2312" w:cs="Times New Roman"/>
          <w:bCs/>
          <w:color w:val="auto"/>
          <w:sz w:val="32"/>
          <w:szCs w:val="20"/>
          <w:highlight w:val="none"/>
        </w:rPr>
        <w:t>国家会议中心</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CBD、</w:t>
      </w:r>
      <w:r>
        <w:rPr>
          <w:rFonts w:hint="eastAsia" w:ascii="Times New Roman" w:hAnsi="Times New Roman" w:eastAsia="仿宋_GB2312" w:cs="Times New Roman"/>
          <w:bCs/>
          <w:color w:val="auto"/>
          <w:sz w:val="32"/>
          <w:szCs w:val="20"/>
          <w:highlight w:val="none"/>
          <w:lang w:val="en-US" w:eastAsia="zh-CN"/>
        </w:rPr>
        <w:t>文化街区</w:t>
      </w:r>
      <w:r>
        <w:rPr>
          <w:rFonts w:hint="eastAsia" w:ascii="Times New Roman" w:hAnsi="Times New Roman" w:eastAsia="仿宋_GB2312" w:cs="Times New Roman"/>
          <w:bCs/>
          <w:color w:val="auto"/>
          <w:sz w:val="32"/>
          <w:szCs w:val="20"/>
          <w:highlight w:val="none"/>
        </w:rPr>
        <w:t>等</w:t>
      </w:r>
      <w:r>
        <w:rPr>
          <w:rFonts w:hint="eastAsia" w:ascii="Times New Roman" w:hAnsi="Times New Roman" w:eastAsia="仿宋_GB2312" w:cs="Times New Roman"/>
          <w:bCs/>
          <w:color w:val="auto"/>
          <w:sz w:val="32"/>
          <w:szCs w:val="20"/>
          <w:highlight w:val="none"/>
          <w:lang w:val="en-US" w:eastAsia="zh-CN"/>
        </w:rPr>
        <w:t>重点区域巡查</w:t>
      </w:r>
      <w:r>
        <w:rPr>
          <w:rFonts w:hint="eastAsia" w:ascii="Times New Roman" w:hAnsi="Times New Roman" w:eastAsia="仿宋_GB2312" w:cs="Times New Roman"/>
          <w:bCs/>
          <w:color w:val="auto"/>
          <w:sz w:val="32"/>
          <w:szCs w:val="20"/>
          <w:highlight w:val="none"/>
        </w:rPr>
        <w:t>，完善重大会议会展、文化体育活动的应急保障方案，确保重大活动安全、有序、圆满举办。</w:t>
      </w:r>
      <w:r>
        <w:rPr>
          <w:rFonts w:hint="eastAsia" w:ascii="Times New Roman" w:hAnsi="Times New Roman" w:eastAsia="仿宋_GB2312" w:cs="Times New Roman"/>
          <w:bCs/>
          <w:color w:val="auto"/>
          <w:sz w:val="32"/>
          <w:szCs w:val="20"/>
          <w:highlight w:val="none"/>
          <w:lang w:val="en-US" w:eastAsia="zh-CN"/>
        </w:rPr>
        <w:t>提升交通网络韧性，</w:t>
      </w:r>
      <w:r>
        <w:rPr>
          <w:rFonts w:hint="eastAsia" w:ascii="Times New Roman" w:hAnsi="Times New Roman" w:eastAsia="仿宋_GB2312" w:cs="Times New Roman"/>
          <w:bCs/>
          <w:color w:val="auto"/>
          <w:sz w:val="32"/>
          <w:szCs w:val="20"/>
          <w:highlight w:val="none"/>
        </w:rPr>
        <w:t>分级构建城市应急疏散救援通道网络，有效衔接居住区与关键应急设施。强化城市轨道、隧道等地下交通设施风险管控、隐患排查、消防设施建设，提升应急处置能力。提升高风险区域道路等基础设施建设标准，重点加强地灾点、堵水点、迎水点和低洼段防范设施建设。</w:t>
      </w:r>
    </w:p>
    <w:bookmarkEnd w:id="225"/>
    <w:bookmarkEnd w:id="226"/>
    <w:p w14:paraId="430FFAE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39" w:name="_Toc12839"/>
      <w:bookmarkStart w:id="240" w:name="_Toc28785"/>
      <w:bookmarkStart w:id="241" w:name="_Toc17512"/>
      <w:bookmarkStart w:id="242" w:name="_Toc4681"/>
      <w:bookmarkStart w:id="243" w:name="_Toc17434"/>
      <w:bookmarkStart w:id="244" w:name="_Toc9559"/>
      <w:bookmarkStart w:id="245" w:name="_Toc29443"/>
      <w:bookmarkStart w:id="246" w:name="_Toc17397"/>
      <w:bookmarkStart w:id="247" w:name="_Toc12698"/>
      <w:bookmarkStart w:id="248" w:name="_Toc26948"/>
      <w:bookmarkStart w:id="249" w:name="_Toc20254"/>
      <w:r>
        <w:rPr>
          <w:rFonts w:hint="eastAsia" w:ascii="Times New Roman" w:hAnsi="Times New Roman" w:eastAsia="黑体" w:cs="黑体"/>
          <w:color w:val="auto"/>
          <w:kern w:val="0"/>
          <w:sz w:val="32"/>
          <w:szCs w:val="32"/>
          <w:highlight w:val="none"/>
          <w:lang w:val="en-US" w:eastAsia="zh-CN" w:bidi="ar-SA"/>
        </w:rPr>
        <w:t>第五章 紧抓精准施策关键，提升防汛防震救灾能力</w:t>
      </w:r>
      <w:bookmarkEnd w:id="239"/>
    </w:p>
    <w:p w14:paraId="6F36403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w:t>
      </w:r>
      <w:r>
        <w:rPr>
          <w:rFonts w:hint="eastAsia" w:ascii="Times New Roman" w:hAnsi="Times New Roman" w:eastAsia="楷体_GB2312" w:cs="楷体_GB2312"/>
          <w:bCs/>
          <w:color w:val="auto"/>
          <w:sz w:val="32"/>
          <w:szCs w:val="32"/>
          <w:highlight w:val="none"/>
        </w:rPr>
        <w:t>健全闭环防汛工作责任体系</w:t>
      </w:r>
    </w:p>
    <w:p w14:paraId="5102E4E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压紧压实防汛救灾各方责任，构建权责清晰、齐抓共管、全域覆盖的防汛工作格局，常态化推进风险隐患排查整治、监测预警研判、应急</w:t>
      </w:r>
      <w:r>
        <w:rPr>
          <w:rFonts w:hint="eastAsia" w:ascii="Times New Roman" w:hAnsi="Times New Roman" w:eastAsia="仿宋_GB2312" w:cs="Times New Roman"/>
          <w:bCs/>
          <w:color w:val="auto"/>
          <w:sz w:val="32"/>
          <w:szCs w:val="20"/>
          <w:highlight w:val="none"/>
          <w:lang w:val="en-US" w:eastAsia="zh-CN"/>
        </w:rPr>
        <w:t>救援</w:t>
      </w:r>
      <w:r>
        <w:rPr>
          <w:rFonts w:hint="eastAsia" w:ascii="Times New Roman" w:hAnsi="Times New Roman" w:eastAsia="仿宋_GB2312" w:cs="Times New Roman"/>
          <w:bCs/>
          <w:color w:val="auto"/>
          <w:sz w:val="32"/>
          <w:szCs w:val="20"/>
          <w:highlight w:val="none"/>
        </w:rPr>
        <w:t>准备等重点工作，全方位筑牢汛期安全防线。严格落实防汛分级包保责任</w:t>
      </w:r>
      <w:r>
        <w:rPr>
          <w:rFonts w:hint="eastAsia" w:ascii="Times New Roman" w:hAnsi="Times New Roman" w:eastAsia="仿宋_GB2312" w:cs="Times New Roman"/>
          <w:bCs/>
          <w:color w:val="auto"/>
          <w:sz w:val="32"/>
          <w:szCs w:val="20"/>
          <w:highlight w:val="none"/>
          <w:lang w:val="en-US" w:eastAsia="zh-CN"/>
        </w:rPr>
        <w:t>体系</w:t>
      </w:r>
      <w:r>
        <w:rPr>
          <w:rFonts w:hint="eastAsia" w:ascii="Times New Roman" w:hAnsi="Times New Roman" w:eastAsia="仿宋_GB2312" w:cs="Times New Roman"/>
          <w:bCs/>
          <w:color w:val="auto"/>
          <w:sz w:val="32"/>
          <w:szCs w:val="20"/>
          <w:highlight w:val="none"/>
        </w:rPr>
        <w:t>，完善一级加强响应</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人群避险转移等</w:t>
      </w:r>
      <w:r>
        <w:rPr>
          <w:rFonts w:hint="eastAsia" w:ascii="Times New Roman" w:hAnsi="Times New Roman" w:eastAsia="仿宋_GB2312" w:cs="Times New Roman"/>
          <w:bCs/>
          <w:color w:val="auto"/>
          <w:sz w:val="32"/>
          <w:szCs w:val="20"/>
          <w:highlight w:val="none"/>
        </w:rPr>
        <w:t>机制</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强化预警预防行动和应急响应联动。</w:t>
      </w:r>
      <w:r>
        <w:rPr>
          <w:rFonts w:hint="eastAsia" w:ascii="Times New Roman" w:hAnsi="Times New Roman" w:eastAsia="仿宋_GB2312" w:cs="Times New Roman"/>
          <w:bCs/>
          <w:color w:val="auto"/>
          <w:sz w:val="32"/>
          <w:szCs w:val="20"/>
          <w:highlight w:val="none"/>
        </w:rPr>
        <w:t>围绕流域性洪水、山洪、地质灾害、城市内涝等风险，健全隐患治理、水库防洪调度等制度，深化重点部位、重点人群防控机制。健全约束与激励并重的考核体系，督促各级干部全面履行防汛工作职责。</w:t>
      </w:r>
      <w:r>
        <w:rPr>
          <w:rFonts w:hint="eastAsia" w:ascii="Times New Roman" w:hAnsi="Times New Roman" w:eastAsia="仿宋_GB2312" w:cs="Times New Roman"/>
          <w:bCs/>
          <w:color w:val="auto"/>
          <w:sz w:val="32"/>
          <w:szCs w:val="20"/>
          <w:highlight w:val="none"/>
          <w:lang w:val="en-US" w:eastAsia="zh-CN"/>
        </w:rPr>
        <w:t>夯实救援救助实战基础，每年组织</w:t>
      </w:r>
      <w:r>
        <w:rPr>
          <w:rFonts w:hint="eastAsia" w:ascii="Times New Roman" w:hAnsi="Times New Roman" w:eastAsia="仿宋_GB2312" w:cs="Times New Roman"/>
          <w:bCs/>
          <w:color w:val="auto"/>
          <w:sz w:val="32"/>
          <w:szCs w:val="20"/>
          <w:highlight w:val="none"/>
        </w:rPr>
        <w:t>开展防汛</w:t>
      </w:r>
      <w:r>
        <w:rPr>
          <w:rFonts w:hint="eastAsia" w:ascii="Times New Roman" w:hAnsi="Times New Roman" w:eastAsia="仿宋_GB2312" w:cs="Times New Roman"/>
          <w:bCs/>
          <w:color w:val="auto"/>
          <w:sz w:val="32"/>
          <w:szCs w:val="20"/>
          <w:highlight w:val="none"/>
          <w:lang w:val="en-US" w:eastAsia="zh-CN"/>
        </w:rPr>
        <w:t>专项</w:t>
      </w:r>
      <w:r>
        <w:rPr>
          <w:rFonts w:hint="eastAsia" w:ascii="Times New Roman" w:hAnsi="Times New Roman" w:eastAsia="仿宋_GB2312" w:cs="Times New Roman"/>
          <w:bCs/>
          <w:color w:val="auto"/>
          <w:sz w:val="32"/>
          <w:szCs w:val="20"/>
          <w:highlight w:val="none"/>
        </w:rPr>
        <w:t>培训和至少1次防汛应急演练</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健全汛期舆情宣传、群众动员、隐患上报长效机制，统筹行业监管、社会参与力量，全面构建联防联控、群防群治的防汛工作新格局。</w:t>
      </w:r>
    </w:p>
    <w:p w14:paraId="34D9515E">
      <w:pPr>
        <w:keepNext/>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default" w:ascii="Times New Roman" w:hAnsi="Times New Roman" w:eastAsia="楷体_GB2312" w:cs="楷体_GB2312"/>
          <w:bCs/>
          <w:color w:val="auto"/>
          <w:sz w:val="32"/>
          <w:szCs w:val="32"/>
          <w:highlight w:val="none"/>
          <w:lang w:val="en-US" w:eastAsia="zh-CN"/>
        </w:rPr>
        <w:t>二、</w:t>
      </w:r>
      <w:r>
        <w:rPr>
          <w:rFonts w:hint="default" w:ascii="Times New Roman" w:hAnsi="Times New Roman" w:eastAsia="楷体_GB2312" w:cs="楷体_GB2312"/>
          <w:bCs/>
          <w:color w:val="auto"/>
          <w:sz w:val="32"/>
          <w:szCs w:val="32"/>
          <w:highlight w:val="none"/>
        </w:rPr>
        <w:t>筑牢精准高效防汛减灾防控体系</w:t>
      </w:r>
    </w:p>
    <w:p w14:paraId="2987E1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lang w:val="en-US" w:eastAsia="zh-CN"/>
        </w:rPr>
        <w:t>强化精准监测预报感知，加强气象、水文和地震等灾害监测预报预警，</w:t>
      </w:r>
      <w:r>
        <w:rPr>
          <w:rFonts w:hint="eastAsia" w:ascii="Times New Roman" w:hAnsi="Times New Roman" w:eastAsia="仿宋_GB2312" w:cs="Times New Roman"/>
          <w:bCs/>
          <w:color w:val="auto"/>
          <w:sz w:val="32"/>
          <w:szCs w:val="20"/>
          <w:highlight w:val="none"/>
        </w:rPr>
        <w:t>健全雨情水情监测感知系统</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提升动态监测预警水平。</w:t>
      </w:r>
      <w:r>
        <w:rPr>
          <w:rFonts w:hint="eastAsia" w:ascii="Times New Roman" w:hAnsi="Times New Roman" w:eastAsia="仿宋_GB2312" w:cs="Times New Roman"/>
          <w:bCs/>
          <w:color w:val="auto"/>
          <w:sz w:val="32"/>
          <w:szCs w:val="20"/>
          <w:highlight w:val="none"/>
          <w:lang w:val="en-US" w:eastAsia="zh-CN"/>
        </w:rPr>
        <w:t>持续优化气象预报服务，极端灾害性天气提前3天预报过程、提前2天预报范围、提前1天落区精细到街乡。加强</w:t>
      </w:r>
      <w:r>
        <w:rPr>
          <w:rFonts w:hint="eastAsia" w:ascii="Times New Roman" w:hAnsi="Times New Roman" w:eastAsia="仿宋_GB2312" w:cs="Times New Roman"/>
          <w:bCs/>
          <w:color w:val="auto"/>
          <w:sz w:val="32"/>
          <w:szCs w:val="20"/>
          <w:highlight w:val="none"/>
        </w:rPr>
        <w:t>精准预报预警响应</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有效提升暴雨、大风、短时强降雨等灾害性天气预报精度和预警提前量。</w:t>
      </w:r>
      <w:r>
        <w:rPr>
          <w:rFonts w:hint="eastAsia" w:ascii="Times New Roman" w:hAnsi="Times New Roman" w:eastAsia="仿宋_GB2312" w:cs="Times New Roman"/>
          <w:bCs/>
          <w:color w:val="auto"/>
          <w:sz w:val="32"/>
          <w:szCs w:val="20"/>
          <w:highlight w:val="none"/>
          <w:lang w:val="en-US" w:eastAsia="zh-CN"/>
        </w:rPr>
        <w:t>深化预警信息发布渠道建设，</w:t>
      </w:r>
      <w:r>
        <w:rPr>
          <w:rFonts w:hint="eastAsia" w:ascii="Times New Roman" w:hAnsi="Times New Roman" w:eastAsia="仿宋_GB2312" w:cs="Times New Roman"/>
          <w:bCs/>
          <w:color w:val="auto"/>
          <w:sz w:val="32"/>
          <w:szCs w:val="20"/>
          <w:highlight w:val="none"/>
        </w:rPr>
        <w:t>建立预警信息与应急响应同步联动机制</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完善分级分区分类预警响应联动措施，强化临灾预警“叫应”机制。健全巡堤查险责任体系和巡查制度</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完善市域内河道水情上游主责、下游主动的握手机制</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推动基层自适自转建设，</w:t>
      </w:r>
      <w:r>
        <w:rPr>
          <w:rFonts w:hint="eastAsia" w:ascii="Times New Roman" w:hAnsi="Times New Roman" w:eastAsia="仿宋_GB2312" w:cs="Times New Roman"/>
          <w:bCs/>
          <w:color w:val="auto"/>
          <w:sz w:val="32"/>
          <w:szCs w:val="20"/>
          <w:highlight w:val="none"/>
        </w:rPr>
        <w:t>引导企事业单位和家庭储备必要的应急物资</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科学规划建设平急两用应急避难场所</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提升基层快速响应能力。加快</w:t>
      </w:r>
      <w:r>
        <w:rPr>
          <w:rFonts w:hint="eastAsia" w:ascii="Times New Roman" w:hAnsi="Times New Roman" w:eastAsia="仿宋_GB2312" w:cs="Times New Roman"/>
          <w:bCs/>
          <w:color w:val="auto"/>
          <w:sz w:val="32"/>
          <w:szCs w:val="20"/>
          <w:highlight w:val="none"/>
        </w:rPr>
        <w:t>推进</w:t>
      </w:r>
      <w:r>
        <w:rPr>
          <w:rFonts w:hint="eastAsia" w:ascii="Times New Roman" w:hAnsi="Times New Roman" w:eastAsia="仿宋_GB2312" w:cs="Times New Roman"/>
          <w:bCs/>
          <w:color w:val="auto"/>
          <w:sz w:val="32"/>
          <w:szCs w:val="20"/>
          <w:highlight w:val="none"/>
          <w:lang w:val="en-US" w:eastAsia="zh-CN"/>
        </w:rPr>
        <w:t>防洪排涝</w:t>
      </w:r>
      <w:r>
        <w:rPr>
          <w:rFonts w:hint="eastAsia" w:ascii="Times New Roman" w:hAnsi="Times New Roman" w:eastAsia="仿宋_GB2312" w:cs="Times New Roman"/>
          <w:bCs/>
          <w:color w:val="auto"/>
          <w:sz w:val="32"/>
          <w:szCs w:val="20"/>
          <w:highlight w:val="none"/>
        </w:rPr>
        <w:t>治理</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坚持源头治理、系统治理、综合治理，统筹海绵城市建设、雨水管网改造、排涝泵站升级、蓄涝调蓄区建设等重点任务，完善城市排水防涝基础设施体系。</w:t>
      </w:r>
      <w:r>
        <w:rPr>
          <w:rFonts w:hint="eastAsia" w:ascii="Times New Roman" w:hAnsi="Times New Roman" w:eastAsia="仿宋_GB2312" w:cs="Times New Roman"/>
          <w:bCs/>
          <w:color w:val="auto"/>
          <w:sz w:val="32"/>
          <w:szCs w:val="20"/>
          <w:highlight w:val="none"/>
          <w:lang w:val="en-US" w:eastAsia="zh-CN"/>
        </w:rPr>
        <w:t>分类实施城市内涝防治，</w:t>
      </w:r>
      <w:r>
        <w:rPr>
          <w:rFonts w:hint="eastAsia" w:ascii="Times New Roman" w:hAnsi="Times New Roman" w:eastAsia="仿宋_GB2312" w:cs="Times New Roman"/>
          <w:bCs/>
          <w:color w:val="auto"/>
          <w:sz w:val="32"/>
          <w:szCs w:val="20"/>
          <w:highlight w:val="none"/>
        </w:rPr>
        <w:t>加快老城区排水管网更新改造，</w:t>
      </w:r>
      <w:r>
        <w:rPr>
          <w:rFonts w:hint="eastAsia" w:ascii="Times New Roman" w:hAnsi="Times New Roman" w:eastAsia="仿宋_GB2312" w:cs="Times New Roman"/>
          <w:bCs/>
          <w:color w:val="auto"/>
          <w:sz w:val="32"/>
          <w:szCs w:val="20"/>
          <w:highlight w:val="none"/>
          <w:lang w:val="en-US" w:eastAsia="zh-CN"/>
        </w:rPr>
        <w:t>强化朝阳区百子湾铁路桥、金泰桥等区域综合治理，</w:t>
      </w:r>
      <w:r>
        <w:rPr>
          <w:rFonts w:hint="eastAsia" w:ascii="Times New Roman" w:hAnsi="Times New Roman" w:eastAsia="仿宋_GB2312" w:cs="Times New Roman"/>
          <w:bCs/>
          <w:color w:val="auto"/>
          <w:sz w:val="32"/>
          <w:szCs w:val="20"/>
          <w:highlight w:val="none"/>
        </w:rPr>
        <w:t>针对性补强下凹式桥梁、低洼路段、立体交叉道路等关键节点防洪排涝能力。</w:t>
      </w:r>
    </w:p>
    <w:p w14:paraId="35FD2B1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三、构建智能高效地震监测预警体系</w:t>
      </w:r>
    </w:p>
    <w:p w14:paraId="42E504BC">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加强区级地震监测站网建设，科学规划和优化地震监测台站布局</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通过加密站点、升级设备与技术，提升监测精度与快速测定能力</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加强跨部门协作，整合监测资源，构建统一管理、数据共享的地震监测网络体系。加强专业领域监测，对超高层建筑、重大基础设施等实施结构安全与灾害链监测，防范</w:t>
      </w:r>
      <w:r>
        <w:rPr>
          <w:rFonts w:hint="eastAsia" w:ascii="Times New Roman" w:hAnsi="Times New Roman" w:eastAsia="仿宋_GB2312" w:cs="Times New Roman"/>
          <w:bCs/>
          <w:color w:val="auto"/>
          <w:sz w:val="32"/>
          <w:szCs w:val="20"/>
          <w:highlight w:val="none"/>
          <w:lang w:val="en-US" w:eastAsia="zh-CN"/>
        </w:rPr>
        <w:t>次生灾害</w:t>
      </w:r>
      <w:r>
        <w:rPr>
          <w:rFonts w:hint="eastAsia" w:ascii="Times New Roman" w:hAnsi="Times New Roman" w:eastAsia="仿宋_GB2312" w:cs="Times New Roman"/>
          <w:bCs/>
          <w:color w:val="auto"/>
          <w:sz w:val="32"/>
          <w:szCs w:val="20"/>
          <w:highlight w:val="none"/>
        </w:rPr>
        <w:t>风险。提升预警能力，</w:t>
      </w:r>
      <w:r>
        <w:rPr>
          <w:rFonts w:hint="eastAsia" w:ascii="Times New Roman" w:hAnsi="Times New Roman" w:eastAsia="仿宋_GB2312" w:cs="Times New Roman"/>
          <w:bCs/>
          <w:color w:val="auto"/>
          <w:sz w:val="32"/>
          <w:szCs w:val="20"/>
          <w:highlight w:val="none"/>
          <w:lang w:val="en-US" w:eastAsia="zh-CN"/>
        </w:rPr>
        <w:t>推动地震</w:t>
      </w:r>
      <w:r>
        <w:rPr>
          <w:rFonts w:hint="eastAsia" w:ascii="Times New Roman" w:hAnsi="Times New Roman" w:eastAsia="仿宋_GB2312" w:cs="Times New Roman"/>
          <w:bCs/>
          <w:color w:val="auto"/>
          <w:sz w:val="32"/>
          <w:szCs w:val="20"/>
          <w:highlight w:val="none"/>
        </w:rPr>
        <w:t>预警终端</w:t>
      </w:r>
      <w:r>
        <w:rPr>
          <w:rFonts w:hint="eastAsia" w:ascii="Times New Roman" w:hAnsi="Times New Roman" w:eastAsia="仿宋_GB2312" w:cs="Times New Roman"/>
          <w:bCs/>
          <w:color w:val="auto"/>
          <w:sz w:val="32"/>
          <w:szCs w:val="20"/>
          <w:highlight w:val="none"/>
          <w:lang w:val="en-US" w:eastAsia="zh-CN"/>
        </w:rPr>
        <w:t>布设</w:t>
      </w:r>
      <w:r>
        <w:rPr>
          <w:rFonts w:hint="eastAsia" w:ascii="Times New Roman" w:hAnsi="Times New Roman" w:eastAsia="仿宋_GB2312" w:cs="Times New Roman"/>
          <w:bCs/>
          <w:color w:val="auto"/>
          <w:sz w:val="32"/>
          <w:szCs w:val="20"/>
          <w:highlight w:val="none"/>
        </w:rPr>
        <w:t>全覆盖，拓宽信息发布渠道，确保预警信息精准、及时触达重点场所与人群。整合现有地震监测资源，建设集数据汇集、分析处理、震情会商、预测预警于一体的地震监测会商平台。</w:t>
      </w:r>
    </w:p>
    <w:p w14:paraId="2D42E1F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w:t>
      </w:r>
      <w:r>
        <w:rPr>
          <w:rFonts w:hint="eastAsia" w:ascii="Times New Roman" w:hAnsi="Times New Roman" w:eastAsia="楷体_GB2312" w:cs="楷体_GB2312"/>
          <w:bCs/>
          <w:color w:val="auto"/>
          <w:sz w:val="32"/>
          <w:szCs w:val="32"/>
          <w:highlight w:val="none"/>
        </w:rPr>
        <w:t>夯实地震灾害风险防范基础</w:t>
      </w:r>
    </w:p>
    <w:p w14:paraId="3D3E5861">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560" w:lineRule="exact"/>
        <w:ind w:left="0" w:leftChars="0" w:right="0" w:firstLine="640" w:firstLineChars="200"/>
        <w:jc w:val="left"/>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开展地震安全韧性能力提升工作</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配合推进孙河断裂地震灾害监测防治提升项目，完善地震灾害风险评估体系。强化专业人才支撑，</w:t>
      </w:r>
      <w:r>
        <w:rPr>
          <w:rFonts w:hint="eastAsia" w:ascii="Times New Roman" w:hAnsi="Times New Roman" w:eastAsia="仿宋_GB2312" w:cs="Times New Roman"/>
          <w:bCs/>
          <w:color w:val="auto"/>
          <w:sz w:val="32"/>
          <w:szCs w:val="20"/>
          <w:highlight w:val="none"/>
        </w:rPr>
        <w:t>加强防震减灾专业人才培养</w:t>
      </w:r>
      <w:r>
        <w:rPr>
          <w:rFonts w:hint="eastAsia" w:ascii="Times New Roman" w:hAnsi="Times New Roman" w:eastAsia="仿宋_GB2312" w:cs="Times New Roman"/>
          <w:bCs/>
          <w:color w:val="auto"/>
          <w:sz w:val="32"/>
          <w:szCs w:val="20"/>
          <w:highlight w:val="none"/>
          <w:lang w:val="en-US" w:eastAsia="zh-CN"/>
        </w:rPr>
        <w:t>与引进</w:t>
      </w:r>
      <w:r>
        <w:rPr>
          <w:rFonts w:hint="eastAsia" w:ascii="Times New Roman" w:hAnsi="Times New Roman" w:eastAsia="仿宋_GB2312" w:cs="Times New Roman"/>
          <w:bCs/>
          <w:color w:val="auto"/>
          <w:sz w:val="32"/>
          <w:szCs w:val="20"/>
          <w:highlight w:val="none"/>
        </w:rPr>
        <w:t>，打造高素质、专业化的工作队伍。</w:t>
      </w:r>
      <w:r>
        <w:rPr>
          <w:rFonts w:hint="eastAsia" w:ascii="Times New Roman" w:hAnsi="Times New Roman" w:eastAsia="仿宋_GB2312" w:cs="Times New Roman"/>
          <w:bCs/>
          <w:color w:val="auto"/>
          <w:sz w:val="32"/>
          <w:szCs w:val="20"/>
          <w:highlight w:val="none"/>
          <w:lang w:val="en-US" w:eastAsia="zh-CN"/>
        </w:rPr>
        <w:t>定期</w:t>
      </w:r>
      <w:r>
        <w:rPr>
          <w:rFonts w:hint="eastAsia" w:ascii="Times New Roman" w:hAnsi="Times New Roman" w:eastAsia="仿宋_GB2312" w:cs="Times New Roman"/>
          <w:bCs/>
          <w:color w:val="auto"/>
          <w:sz w:val="32"/>
          <w:szCs w:val="20"/>
          <w:highlight w:val="none"/>
        </w:rPr>
        <w:t>开展基层防震减灾工作人员培训，</w:t>
      </w:r>
      <w:r>
        <w:rPr>
          <w:rFonts w:hint="eastAsia" w:ascii="Times New Roman" w:hAnsi="Times New Roman" w:eastAsia="仿宋_GB2312" w:cs="Times New Roman"/>
          <w:bCs/>
          <w:color w:val="auto"/>
          <w:sz w:val="32"/>
          <w:szCs w:val="20"/>
          <w:highlight w:val="none"/>
          <w:lang w:val="en-US" w:eastAsia="zh-CN"/>
        </w:rPr>
        <w:t>持续</w:t>
      </w:r>
      <w:r>
        <w:rPr>
          <w:rFonts w:hint="eastAsia" w:ascii="Times New Roman" w:hAnsi="Times New Roman" w:eastAsia="仿宋_GB2312" w:cs="Times New Roman"/>
          <w:bCs/>
          <w:color w:val="auto"/>
          <w:sz w:val="32"/>
          <w:szCs w:val="20"/>
          <w:highlight w:val="none"/>
        </w:rPr>
        <w:t>提升业务能力和专业水平。深化</w:t>
      </w:r>
      <w:r>
        <w:rPr>
          <w:rFonts w:hint="eastAsia" w:ascii="Times New Roman" w:hAnsi="Times New Roman" w:eastAsia="仿宋_GB2312" w:cs="Times New Roman"/>
          <w:bCs/>
          <w:color w:val="auto"/>
          <w:sz w:val="32"/>
          <w:szCs w:val="20"/>
          <w:highlight w:val="none"/>
          <w:lang w:val="en-US" w:eastAsia="zh-CN"/>
        </w:rPr>
        <w:t>公众</w:t>
      </w:r>
      <w:r>
        <w:rPr>
          <w:rFonts w:hint="eastAsia" w:ascii="Times New Roman" w:hAnsi="Times New Roman" w:eastAsia="仿宋_GB2312" w:cs="Times New Roman"/>
          <w:bCs/>
          <w:color w:val="auto"/>
          <w:sz w:val="32"/>
          <w:szCs w:val="20"/>
          <w:highlight w:val="none"/>
        </w:rPr>
        <w:t>科普宣传</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围绕地震基础知识、监测预警、风险防治、应急避险、自救互救等重点内容，开发系列化、特色化的科普产品。加强与媒体合作，开设专题专栏，广泛传播防震减灾知识和技能</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lang w:val="en-US" w:eastAsia="zh-CN"/>
        </w:rPr>
        <w:t>提升公众防灾素养</w:t>
      </w:r>
      <w:r>
        <w:rPr>
          <w:rFonts w:hint="eastAsia" w:ascii="Times New Roman" w:hAnsi="Times New Roman" w:eastAsia="仿宋_GB2312" w:cs="Times New Roman"/>
          <w:bCs/>
          <w:color w:val="auto"/>
          <w:sz w:val="32"/>
          <w:szCs w:val="20"/>
          <w:highlight w:val="none"/>
        </w:rPr>
        <w:t>。</w:t>
      </w:r>
    </w:p>
    <w:p w14:paraId="40AED14A">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50" w:name="_Toc29974"/>
      <w:r>
        <w:rPr>
          <w:rFonts w:hint="eastAsia" w:ascii="Times New Roman" w:hAnsi="Times New Roman" w:eastAsia="黑体" w:cs="黑体"/>
          <w:color w:val="auto"/>
          <w:kern w:val="0"/>
          <w:sz w:val="32"/>
          <w:szCs w:val="32"/>
          <w:highlight w:val="none"/>
          <w:lang w:val="en-US" w:eastAsia="zh-CN" w:bidi="ar-SA"/>
        </w:rPr>
        <w:t>第六章 聚焦应急救援实战，增强综合应急处理能力</w:t>
      </w:r>
      <w:bookmarkEnd w:id="240"/>
      <w:bookmarkEnd w:id="241"/>
      <w:bookmarkEnd w:id="242"/>
      <w:bookmarkEnd w:id="243"/>
      <w:bookmarkEnd w:id="244"/>
      <w:bookmarkEnd w:id="245"/>
      <w:bookmarkEnd w:id="246"/>
      <w:bookmarkEnd w:id="247"/>
      <w:bookmarkEnd w:id="248"/>
      <w:bookmarkEnd w:id="249"/>
      <w:bookmarkEnd w:id="250"/>
    </w:p>
    <w:p w14:paraId="2FBF37D3">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一、优化应急值守与专业现场处置</w:t>
      </w:r>
    </w:p>
    <w:p w14:paraId="4182398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仿宋_GB2312" w:cs="Times New Roman"/>
          <w:bCs/>
          <w:color w:val="auto"/>
          <w:sz w:val="32"/>
          <w:szCs w:val="20"/>
          <w:highlight w:val="none"/>
          <w:lang w:val="en-US" w:eastAsia="zh-CN"/>
        </w:rPr>
      </w:pPr>
      <w:r>
        <w:rPr>
          <w:rFonts w:hint="eastAsia" w:ascii="Times New Roman" w:hAnsi="Times New Roman" w:eastAsia="仿宋_GB2312" w:cs="Times New Roman"/>
          <w:bCs/>
          <w:color w:val="auto"/>
          <w:sz w:val="32"/>
          <w:szCs w:val="20"/>
          <w:highlight w:val="none"/>
        </w:rPr>
        <w:t>大力提升应急值守规范化水平，深化重要时期多部门联勤值守工作机制，固化与消防救援部门的常态联合值守模式</w:t>
      </w:r>
      <w:r>
        <w:rPr>
          <w:rFonts w:hint="eastAsia" w:ascii="Times New Roman" w:hAnsi="Times New Roman" w:eastAsia="仿宋_GB2312" w:cs="Times New Roman"/>
          <w:bCs/>
          <w:color w:val="auto"/>
          <w:sz w:val="32"/>
          <w:szCs w:val="20"/>
          <w:highlight w:val="none"/>
          <w:lang w:eastAsia="zh-CN"/>
        </w:rPr>
        <w:t>，推动应急指挥综合业务系统向街乡延伸</w:t>
      </w:r>
      <w:r>
        <w:rPr>
          <w:rFonts w:hint="eastAsia" w:ascii="Times New Roman" w:hAnsi="Times New Roman" w:eastAsia="仿宋_GB2312" w:cs="Times New Roman"/>
          <w:bCs/>
          <w:color w:val="auto"/>
          <w:sz w:val="32"/>
          <w:szCs w:val="20"/>
          <w:highlight w:val="none"/>
        </w:rPr>
        <w:t>。加强突发事件信息报告，拓宽信息渠道，优化信息报告程序。开展指挥能力提升专项行动，加强专业指挥人才选拔和培养，规范指挥流程，提升指挥处置效率。提升硬件装备标准化水平和运转效能。</w:t>
      </w:r>
    </w:p>
    <w:p w14:paraId="1157888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二、加强应急预案管理</w:t>
      </w:r>
    </w:p>
    <w:p w14:paraId="35111180">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lang w:eastAsia="zh-CN"/>
        </w:rPr>
      </w:pPr>
      <w:r>
        <w:rPr>
          <w:rFonts w:hint="eastAsia" w:ascii="Times New Roman" w:hAnsi="Times New Roman" w:eastAsia="仿宋_GB2312" w:cs="Times New Roman"/>
          <w:bCs/>
          <w:color w:val="auto"/>
          <w:sz w:val="32"/>
          <w:szCs w:val="20"/>
          <w:highlight w:val="none"/>
        </w:rPr>
        <w:t>增强应急预案的实用性、可操作性，及时修订完善总体预案、各专项预案和部门预案</w:t>
      </w:r>
      <w:r>
        <w:rPr>
          <w:rFonts w:hint="eastAsia" w:ascii="Times New Roman" w:hAnsi="Times New Roman" w:eastAsia="仿宋_GB2312" w:cs="Times New Roman"/>
          <w:bCs/>
          <w:color w:val="auto"/>
          <w:sz w:val="32"/>
          <w:szCs w:val="20"/>
          <w:highlight w:val="none"/>
          <w:lang w:eastAsia="zh-CN"/>
        </w:rPr>
        <w:t>，完成区级总体预案修订，</w:t>
      </w:r>
      <w:r>
        <w:rPr>
          <w:rFonts w:hint="eastAsia" w:ascii="Times New Roman" w:hAnsi="Times New Roman" w:eastAsia="仿宋_GB2312" w:cs="Times New Roman"/>
          <w:bCs/>
          <w:color w:val="auto"/>
          <w:sz w:val="32"/>
          <w:szCs w:val="20"/>
          <w:highlight w:val="none"/>
        </w:rPr>
        <w:t>做好重大活动保障应急预案。针对朝阳区主要灾害事故类型，加强街</w:t>
      </w:r>
      <w:r>
        <w:rPr>
          <w:rFonts w:hint="eastAsia" w:ascii="Times New Roman" w:hAnsi="Times New Roman" w:eastAsia="仿宋_GB2312" w:cs="Times New Roman"/>
          <w:bCs/>
          <w:color w:val="auto"/>
          <w:sz w:val="32"/>
          <w:szCs w:val="20"/>
          <w:highlight w:val="none"/>
          <w:lang w:eastAsia="zh-CN"/>
        </w:rPr>
        <w:t>乡</w:t>
      </w:r>
      <w:r>
        <w:rPr>
          <w:rFonts w:hint="eastAsia" w:ascii="Times New Roman" w:hAnsi="Times New Roman" w:eastAsia="仿宋_GB2312" w:cs="Times New Roman"/>
          <w:bCs/>
          <w:color w:val="auto"/>
          <w:sz w:val="32"/>
          <w:szCs w:val="20"/>
          <w:highlight w:val="none"/>
        </w:rPr>
        <w:t>、社区</w:t>
      </w:r>
      <w:r>
        <w:rPr>
          <w:rFonts w:hint="eastAsia" w:ascii="Times New Roman" w:hAnsi="Times New Roman" w:eastAsia="仿宋_GB2312" w:cs="Times New Roman"/>
          <w:bCs/>
          <w:color w:val="auto"/>
          <w:sz w:val="32"/>
          <w:szCs w:val="20"/>
          <w:highlight w:val="none"/>
          <w:lang w:eastAsia="zh-CN"/>
        </w:rPr>
        <w:t>（村）和</w:t>
      </w:r>
      <w:r>
        <w:rPr>
          <w:rFonts w:hint="eastAsia" w:ascii="Times New Roman" w:hAnsi="Times New Roman" w:eastAsia="仿宋_GB2312" w:cs="Times New Roman"/>
          <w:bCs/>
          <w:color w:val="auto"/>
          <w:sz w:val="32"/>
          <w:szCs w:val="20"/>
          <w:highlight w:val="none"/>
        </w:rPr>
        <w:t>企事业单位应急预案</w:t>
      </w:r>
      <w:r>
        <w:rPr>
          <w:rFonts w:hint="eastAsia" w:ascii="Times New Roman" w:hAnsi="Times New Roman" w:eastAsia="仿宋_GB2312" w:cs="Times New Roman"/>
          <w:bCs/>
          <w:color w:val="auto"/>
          <w:sz w:val="32"/>
          <w:szCs w:val="20"/>
          <w:highlight w:val="none"/>
          <w:lang w:eastAsia="zh-CN"/>
        </w:rPr>
        <w:t>（方案）</w:t>
      </w:r>
      <w:r>
        <w:rPr>
          <w:rFonts w:hint="eastAsia" w:ascii="Times New Roman" w:hAnsi="Times New Roman" w:eastAsia="仿宋_GB2312" w:cs="Times New Roman"/>
          <w:bCs/>
          <w:color w:val="auto"/>
          <w:sz w:val="32"/>
          <w:szCs w:val="20"/>
          <w:highlight w:val="none"/>
        </w:rPr>
        <w:t>制定，</w:t>
      </w:r>
      <w:r>
        <w:rPr>
          <w:rFonts w:hint="eastAsia" w:ascii="Times New Roman" w:hAnsi="Times New Roman" w:eastAsia="仿宋_GB2312" w:cs="Times New Roman"/>
          <w:bCs/>
          <w:color w:val="auto"/>
          <w:sz w:val="32"/>
          <w:szCs w:val="20"/>
          <w:highlight w:val="none"/>
          <w:lang w:val="en-US" w:eastAsia="zh-CN"/>
        </w:rPr>
        <w:t>配合市级部门</w:t>
      </w:r>
      <w:r>
        <w:rPr>
          <w:rFonts w:hint="eastAsia" w:ascii="Times New Roman" w:hAnsi="Times New Roman" w:eastAsia="仿宋_GB2312" w:cs="Times New Roman"/>
          <w:bCs/>
          <w:color w:val="auto"/>
          <w:sz w:val="32"/>
          <w:szCs w:val="20"/>
          <w:highlight w:val="none"/>
        </w:rPr>
        <w:t>组织编制重要目标、重大活动、重大基础设施安全保障应急预案，构建覆盖全区域、全灾种、全行业、全层级、全过程的应急预案体系。</w:t>
      </w:r>
      <w:r>
        <w:rPr>
          <w:rFonts w:hint="eastAsia" w:ascii="Times New Roman" w:hAnsi="Times New Roman" w:eastAsia="仿宋_GB2312" w:cs="Times New Roman"/>
          <w:bCs/>
          <w:color w:val="auto"/>
          <w:sz w:val="32"/>
          <w:szCs w:val="20"/>
          <w:highlight w:val="none"/>
          <w:lang w:val="en-US" w:eastAsia="zh-CN"/>
        </w:rPr>
        <w:t>对照市级</w:t>
      </w:r>
      <w:r>
        <w:rPr>
          <w:rFonts w:hint="eastAsia" w:ascii="Times New Roman" w:hAnsi="Times New Roman" w:eastAsia="仿宋_GB2312" w:cs="Times New Roman"/>
          <w:bCs/>
          <w:color w:val="auto"/>
          <w:sz w:val="32"/>
          <w:szCs w:val="20"/>
          <w:highlight w:val="none"/>
        </w:rPr>
        <w:t>自然灾害生活救助工作规范，推动出台实施细则，建立救助对象跟踪机制，扎实做好老弱病残孕等重点群体关爱救助，提升救助精准化水平。</w:t>
      </w:r>
      <w:r>
        <w:rPr>
          <w:rFonts w:hint="eastAsia" w:ascii="Times New Roman" w:hAnsi="Times New Roman" w:eastAsia="仿宋_GB2312" w:cs="Times New Roman"/>
          <w:bCs/>
          <w:color w:val="auto"/>
          <w:sz w:val="32"/>
          <w:szCs w:val="20"/>
          <w:highlight w:val="none"/>
          <w:lang w:eastAsia="zh-CN"/>
        </w:rPr>
        <w:t>探索</w:t>
      </w:r>
      <w:r>
        <w:rPr>
          <w:rFonts w:hint="eastAsia" w:ascii="Times New Roman" w:hAnsi="Times New Roman" w:eastAsia="仿宋_GB2312" w:cs="Times New Roman"/>
          <w:bCs/>
          <w:color w:val="auto"/>
          <w:sz w:val="32"/>
          <w:szCs w:val="20"/>
          <w:highlight w:val="none"/>
        </w:rPr>
        <w:t>与周边区域制定跨区域、流域性突发事件联合应急预案。</w:t>
      </w:r>
      <w:r>
        <w:rPr>
          <w:rFonts w:hint="eastAsia" w:ascii="Times New Roman" w:hAnsi="Times New Roman" w:eastAsia="仿宋_GB2312" w:cs="Times New Roman"/>
          <w:bCs/>
          <w:color w:val="auto"/>
          <w:sz w:val="32"/>
          <w:szCs w:val="20"/>
          <w:highlight w:val="none"/>
          <w:lang w:eastAsia="zh-CN"/>
        </w:rPr>
        <w:t>强化养老院、医院、学校等重点场所应急处置能力建设，筑牢社会安全体系防线。</w:t>
      </w:r>
    </w:p>
    <w:p w14:paraId="2F2FA52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三、建强应急救援队伍</w:t>
      </w:r>
    </w:p>
    <w:p w14:paraId="485C01BA">
      <w:pPr>
        <w:keepLines w:val="0"/>
        <w:pageBreakBefore w:val="0"/>
        <w:kinsoku/>
        <w:wordWrap/>
        <w:overflowPunct/>
        <w:topLinePunct w:val="0"/>
        <w:autoSpaceDE/>
        <w:autoSpaceDN/>
        <w:bidi w:val="0"/>
        <w:adjustRightInd w:val="0"/>
        <w:snapToGrid w:val="0"/>
        <w:spacing w:line="560" w:lineRule="exact"/>
        <w:ind w:firstLine="640" w:firstLineChars="200"/>
        <w:jc w:val="left"/>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建强“综合+专业+社会”应急救援力量体系，推进地铁、水域、地震等专业攻坚力量建设。</w:t>
      </w:r>
      <w:r>
        <w:rPr>
          <w:rFonts w:hint="eastAsia" w:ascii="Times New Roman" w:hAnsi="Times New Roman" w:eastAsia="仿宋_GB2312" w:cs="Times New Roman"/>
          <w:bCs/>
          <w:color w:val="auto"/>
          <w:sz w:val="32"/>
          <w:szCs w:val="20"/>
          <w:highlight w:val="none"/>
          <w:lang w:val="en-US" w:eastAsia="zh-CN"/>
        </w:rPr>
        <w:t>加强消防救援力量建设，</w:t>
      </w:r>
      <w:r>
        <w:rPr>
          <w:rFonts w:hint="eastAsia" w:ascii="Times New Roman" w:hAnsi="Times New Roman" w:eastAsia="仿宋_GB2312" w:cs="Times New Roman"/>
          <w:bCs/>
          <w:color w:val="auto"/>
          <w:sz w:val="32"/>
          <w:szCs w:val="20"/>
          <w:highlight w:val="none"/>
        </w:rPr>
        <w:t>逐步扩大区级政府专职消防员规模，</w:t>
      </w:r>
      <w:r>
        <w:rPr>
          <w:rFonts w:hint="eastAsia" w:ascii="Times New Roman" w:hAnsi="Times New Roman" w:eastAsia="仿宋_GB2312" w:cs="Times New Roman"/>
          <w:bCs/>
          <w:color w:val="auto"/>
          <w:sz w:val="32"/>
          <w:szCs w:val="20"/>
          <w:highlight w:val="none"/>
          <w:lang w:val="en-US" w:eastAsia="zh-CN"/>
        </w:rPr>
        <w:t>月均</w:t>
      </w:r>
      <w:r>
        <w:rPr>
          <w:rFonts w:hint="eastAsia" w:ascii="Times New Roman" w:hAnsi="Times New Roman" w:eastAsia="仿宋_GB2312" w:cs="Times New Roman"/>
          <w:bCs/>
          <w:color w:val="auto"/>
          <w:sz w:val="32"/>
          <w:szCs w:val="20"/>
          <w:highlight w:val="none"/>
        </w:rPr>
        <w:t>满编率不低于</w:t>
      </w:r>
      <w:r>
        <w:rPr>
          <w:rFonts w:hint="eastAsia" w:ascii="Times New Roman" w:hAnsi="Times New Roman" w:eastAsia="仿宋_GB2312" w:cs="Times New Roman"/>
          <w:bCs/>
          <w:color w:val="auto"/>
          <w:sz w:val="32"/>
          <w:szCs w:val="20"/>
          <w:highlight w:val="none"/>
          <w:lang w:val="en-US" w:eastAsia="zh-CN"/>
        </w:rPr>
        <w:t>90</w:t>
      </w:r>
      <w:r>
        <w:rPr>
          <w:rFonts w:hint="eastAsia" w:ascii="Times New Roman" w:hAnsi="Times New Roman" w:eastAsia="仿宋_GB2312" w:cs="Times New Roman"/>
          <w:bCs/>
          <w:color w:val="auto"/>
          <w:sz w:val="32"/>
          <w:szCs w:val="20"/>
          <w:highlight w:val="none"/>
        </w:rPr>
        <w:t>%。建立“四位一体”现代化消防员训练体系，聚焦高层建筑、地下空间、商业综合体、文物古建、大跨度厂库房、新能源产业等场景，提高队伍编组作战与编成指挥实战能力。加强应急队伍建设，提升专业队伍实战能力，针对抗洪抢险、森林灭火、地震救援等场景，强化实战化训练。强化基层应急救援力量，建强街道综合性应急救援队伍、社区（村）“应急响应人”队伍，</w:t>
      </w:r>
      <w:r>
        <w:rPr>
          <w:rFonts w:hint="eastAsia" w:ascii="Times New Roman" w:hAnsi="Times New Roman" w:eastAsia="仿宋_GB2312" w:cs="Times New Roman"/>
          <w:bCs/>
          <w:color w:val="auto"/>
          <w:sz w:val="32"/>
          <w:szCs w:val="20"/>
          <w:highlight w:val="none"/>
          <w:lang w:val="en-US" w:eastAsia="zh-CN"/>
        </w:rPr>
        <w:t>鼓励</w:t>
      </w:r>
      <w:r>
        <w:rPr>
          <w:rFonts w:hint="eastAsia" w:ascii="Times New Roman" w:hAnsi="Times New Roman" w:eastAsia="仿宋_GB2312" w:cs="Times New Roman"/>
          <w:bCs/>
          <w:color w:val="auto"/>
          <w:sz w:val="32"/>
          <w:szCs w:val="20"/>
          <w:highlight w:val="none"/>
        </w:rPr>
        <w:t>扩大队伍规模。通过技能竞赛、政治理论培训提升社会队伍专业性，打造品牌化志愿服务组织。引导社会力量规范发展，推动在册力量考取等级证书。鼓励企业专兼职队伍、社区志愿者等参与基层应急响应。分级分类完善应急救援队伍装备配备与能力建设标准，加大新质救援装备配备力度，依托实训基地开展专业与综合训练，强化跨部门、跨层级联演联训，提升协同作战与实战水平。</w:t>
      </w:r>
    </w:p>
    <w:p w14:paraId="1D2F006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四、强化应急物资保障</w:t>
      </w:r>
    </w:p>
    <w:p w14:paraId="2EA9486E">
      <w:pPr>
        <w:pStyle w:val="7"/>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color w:val="auto"/>
          <w:highlight w:val="none"/>
        </w:rPr>
      </w:pPr>
      <w:r>
        <w:rPr>
          <w:rFonts w:hint="eastAsia" w:ascii="Times New Roman" w:hAnsi="Times New Roman" w:eastAsia="仿宋_GB2312" w:cs="Times New Roman"/>
          <w:bCs/>
          <w:color w:val="auto"/>
          <w:sz w:val="32"/>
          <w:szCs w:val="20"/>
          <w:highlight w:val="none"/>
        </w:rPr>
        <w:t>加强应急物资储备统筹规划，加快构建现代化、智能化、社会化的储备与管理体系。优化应急物资储备结构，实施物资科学分类分级与精细化管理，结合重点区域风险特征与重大活动需求，实现差异化、动态化储备，推进探索应急物资协议储备模式。提升应急物资智慧管理能力，整合全区物资数据构建统一信息库，加强应急物资从采购、存储、使用到报废的全生命周期管理，提升应急物资的精准调度与高效保障水平。</w:t>
      </w:r>
      <w:r>
        <w:rPr>
          <w:rFonts w:hint="eastAsia" w:ascii="Times New Roman" w:hAnsi="Times New Roman" w:eastAsia="仿宋_GB2312" w:cs="Times New Roman"/>
          <w:bCs/>
          <w:color w:val="auto"/>
          <w:szCs w:val="20"/>
          <w:highlight w:val="none"/>
        </w:rPr>
        <w:t>健全应急运输绿色通道与优先通行机制。</w:t>
      </w:r>
    </w:p>
    <w:p w14:paraId="01F28D2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五、提升指挥决策能力</w:t>
      </w:r>
    </w:p>
    <w:p w14:paraId="470B066B">
      <w:pPr>
        <w:keepLines w:val="0"/>
        <w:pageBreakBefore w:val="0"/>
        <w:kinsoku/>
        <w:wordWrap/>
        <w:overflowPunct/>
        <w:topLinePunct w:val="0"/>
        <w:autoSpaceDE/>
        <w:autoSpaceDN/>
        <w:bidi w:val="0"/>
        <w:adjustRightInd w:val="0"/>
        <w:snapToGrid w:val="0"/>
        <w:spacing w:line="560" w:lineRule="exact"/>
        <w:ind w:firstLine="640" w:firstLineChars="200"/>
        <w:jc w:val="left"/>
        <w:rPr>
          <w:rFonts w:ascii="Times New Roman" w:hAnsi="Times New Roman" w:eastAsia="仿宋_GB2312" w:cs="Times New Roman"/>
          <w:b/>
          <w:color w:val="auto"/>
          <w:sz w:val="32"/>
          <w:szCs w:val="20"/>
          <w:highlight w:val="none"/>
        </w:rPr>
      </w:pPr>
      <w:r>
        <w:rPr>
          <w:rFonts w:hint="eastAsia" w:ascii="Times New Roman" w:hAnsi="Times New Roman" w:eastAsia="仿宋_GB2312" w:cs="Times New Roman"/>
          <w:bCs/>
          <w:color w:val="auto"/>
          <w:sz w:val="32"/>
          <w:szCs w:val="20"/>
          <w:highlight w:val="none"/>
        </w:rPr>
        <w:t>强化应急协同联动，扩展“区—街</w:t>
      </w:r>
      <w:r>
        <w:rPr>
          <w:rFonts w:hint="eastAsia" w:ascii="Times New Roman" w:hAnsi="Times New Roman" w:eastAsia="仿宋_GB2312" w:cs="Times New Roman"/>
          <w:bCs/>
          <w:color w:val="auto"/>
          <w:sz w:val="32"/>
          <w:szCs w:val="20"/>
          <w:highlight w:val="none"/>
          <w:lang w:eastAsia="zh-CN"/>
        </w:rPr>
        <w:t>乡</w:t>
      </w:r>
      <w:r>
        <w:rPr>
          <w:rFonts w:hint="eastAsia" w:ascii="Times New Roman" w:hAnsi="Times New Roman" w:eastAsia="仿宋_GB2312" w:cs="Times New Roman"/>
          <w:bCs/>
          <w:color w:val="auto"/>
          <w:sz w:val="32"/>
          <w:szCs w:val="20"/>
          <w:highlight w:val="none"/>
        </w:rPr>
        <w:t>—社区</w:t>
      </w:r>
      <w:r>
        <w:rPr>
          <w:rFonts w:hint="eastAsia" w:ascii="Times New Roman" w:hAnsi="Times New Roman" w:eastAsia="仿宋_GB2312" w:cs="Times New Roman"/>
          <w:bCs/>
          <w:color w:val="auto"/>
          <w:sz w:val="32"/>
          <w:szCs w:val="20"/>
          <w:highlight w:val="none"/>
          <w:lang w:eastAsia="zh-CN"/>
        </w:rPr>
        <w:t>（村）</w:t>
      </w:r>
      <w:r>
        <w:rPr>
          <w:rFonts w:hint="eastAsia" w:ascii="Times New Roman" w:hAnsi="Times New Roman" w:eastAsia="仿宋_GB2312" w:cs="Times New Roman"/>
          <w:bCs/>
          <w:color w:val="auto"/>
          <w:sz w:val="32"/>
          <w:szCs w:val="20"/>
          <w:highlight w:val="none"/>
        </w:rPr>
        <w:t>”三级视频互联平台，实现区级指挥中心与街乡、社区</w:t>
      </w:r>
      <w:r>
        <w:rPr>
          <w:rFonts w:hint="eastAsia" w:ascii="Times New Roman" w:hAnsi="Times New Roman" w:eastAsia="仿宋_GB2312" w:cs="Times New Roman"/>
          <w:bCs/>
          <w:color w:val="auto"/>
          <w:sz w:val="32"/>
          <w:szCs w:val="20"/>
          <w:highlight w:val="none"/>
          <w:lang w:eastAsia="zh-CN"/>
        </w:rPr>
        <w:t>（村）等</w:t>
      </w:r>
      <w:r>
        <w:rPr>
          <w:rFonts w:hint="eastAsia" w:ascii="Times New Roman" w:hAnsi="Times New Roman" w:eastAsia="仿宋_GB2312" w:cs="Times New Roman"/>
          <w:bCs/>
          <w:color w:val="auto"/>
          <w:sz w:val="32"/>
          <w:szCs w:val="20"/>
          <w:highlight w:val="none"/>
        </w:rPr>
        <w:t>实时音视频互通，提升跨层级调度效率。</w:t>
      </w:r>
      <w:r>
        <w:rPr>
          <w:rFonts w:hint="eastAsia" w:ascii="Times New Roman" w:hAnsi="Times New Roman" w:eastAsia="仿宋_GB2312" w:cs="Times New Roman"/>
          <w:bCs/>
          <w:color w:val="auto"/>
          <w:sz w:val="32"/>
          <w:szCs w:val="20"/>
          <w:highlight w:val="none"/>
          <w:lang w:eastAsia="zh-CN"/>
        </w:rPr>
        <w:t>优化</w:t>
      </w:r>
      <w:r>
        <w:rPr>
          <w:rFonts w:hint="eastAsia" w:ascii="Times New Roman" w:hAnsi="Times New Roman" w:eastAsia="仿宋_GB2312" w:cs="Times New Roman"/>
          <w:bCs/>
          <w:color w:val="auto"/>
          <w:sz w:val="32"/>
          <w:szCs w:val="20"/>
          <w:highlight w:val="none"/>
        </w:rPr>
        <w:t>应急响应机制，快速联动公安、消防、卫健等部门，破解多头管理难题。提高跨区域、跨部门协作能力，与周边区域建立常态化协调机制，加强应急救援信息开放共享，</w:t>
      </w:r>
      <w:r>
        <w:rPr>
          <w:rFonts w:hint="eastAsia" w:ascii="Times New Roman" w:hAnsi="Times New Roman" w:eastAsia="仿宋_GB2312" w:cs="Times New Roman"/>
          <w:bCs/>
          <w:color w:val="auto"/>
          <w:sz w:val="32"/>
          <w:szCs w:val="20"/>
          <w:highlight w:val="none"/>
          <w:lang w:eastAsia="zh-CN"/>
        </w:rPr>
        <w:t>探索</w:t>
      </w:r>
      <w:r>
        <w:rPr>
          <w:rFonts w:hint="eastAsia" w:ascii="Times New Roman" w:hAnsi="Times New Roman" w:eastAsia="仿宋_GB2312" w:cs="Times New Roman"/>
          <w:bCs/>
          <w:color w:val="auto"/>
          <w:sz w:val="32"/>
          <w:szCs w:val="20"/>
          <w:highlight w:val="none"/>
        </w:rPr>
        <w:t>跨区域、跨部门监测数据的实时交互与动态更新，协同开展跨区域灾害趋势研判。</w:t>
      </w:r>
    </w:p>
    <w:p w14:paraId="4970395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六、强化应急救援保障</w:t>
      </w:r>
    </w:p>
    <w:p w14:paraId="4B8DA68B">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32"/>
          <w:highlight w:val="none"/>
        </w:rPr>
        <w:t>提升应急物流保障水平，建立公路、轨道交通等紧急运输绿色通道，保障救援力量及物资优先通行。整合社会运力资源，完善紧急征用和补偿机制。推动多部门通信系统互联互通，提升指挥协同效率</w:t>
      </w:r>
      <w:r>
        <w:rPr>
          <w:rFonts w:hint="eastAsia" w:ascii="Times New Roman" w:hAnsi="Times New Roman" w:eastAsia="仿宋_GB2312" w:cs="Times New Roman"/>
          <w:bCs/>
          <w:color w:val="auto"/>
          <w:sz w:val="32"/>
          <w:szCs w:val="32"/>
          <w:highlight w:val="none"/>
          <w:lang w:eastAsia="zh-CN"/>
        </w:rPr>
        <w:t>，</w:t>
      </w:r>
      <w:r>
        <w:rPr>
          <w:rFonts w:hint="eastAsia" w:ascii="Times New Roman" w:hAnsi="Times New Roman" w:eastAsia="仿宋_GB2312" w:cs="Times New Roman"/>
          <w:bCs/>
          <w:color w:val="auto"/>
          <w:sz w:val="32"/>
          <w:szCs w:val="32"/>
          <w:highlight w:val="none"/>
        </w:rPr>
        <w:t>提升跨区域物资调配效率。提高应急装备保障，加快重点区域配备高层灭火、地下救援、危化处置等特种装备，推广机器人、智能监测设备，提升救援效率和安全性。</w:t>
      </w:r>
    </w:p>
    <w:p w14:paraId="3ABA8FCF">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default" w:ascii="Times New Roman" w:hAnsi="Times New Roman" w:eastAsia="黑体" w:cs="黑体"/>
          <w:color w:val="auto"/>
          <w:kern w:val="0"/>
          <w:sz w:val="32"/>
          <w:szCs w:val="32"/>
          <w:highlight w:val="none"/>
          <w:lang w:val="en-US" w:eastAsia="zh-CN" w:bidi="ar-SA"/>
        </w:rPr>
      </w:pPr>
      <w:bookmarkStart w:id="251" w:name="_Toc31656"/>
      <w:bookmarkStart w:id="252" w:name="_Toc19531"/>
      <w:bookmarkStart w:id="253" w:name="_Toc7212"/>
      <w:bookmarkStart w:id="254" w:name="_Toc8735"/>
      <w:bookmarkStart w:id="255" w:name="_Toc20812"/>
      <w:bookmarkStart w:id="256" w:name="_Toc30487"/>
      <w:bookmarkStart w:id="257" w:name="_Toc26921"/>
      <w:bookmarkStart w:id="258" w:name="_Toc27280"/>
      <w:bookmarkStart w:id="259" w:name="_Toc16763"/>
      <w:bookmarkStart w:id="260" w:name="_Toc1301"/>
      <w:bookmarkStart w:id="261" w:name="_Toc20963"/>
      <w:bookmarkStart w:id="262" w:name="_Toc7170"/>
      <w:bookmarkStart w:id="263" w:name="_Toc19324"/>
      <w:bookmarkStart w:id="264" w:name="_Toc25278"/>
      <w:bookmarkStart w:id="265" w:name="_Toc16396"/>
      <w:bookmarkStart w:id="266" w:name="_Toc22498"/>
      <w:r>
        <w:rPr>
          <w:rFonts w:hint="eastAsia" w:ascii="Times New Roman" w:hAnsi="Times New Roman" w:eastAsia="黑体" w:cs="黑体"/>
          <w:color w:val="auto"/>
          <w:kern w:val="0"/>
          <w:sz w:val="32"/>
          <w:szCs w:val="32"/>
          <w:highlight w:val="none"/>
          <w:lang w:val="en-US" w:eastAsia="zh-CN" w:bidi="ar-SA"/>
        </w:rPr>
        <w:t xml:space="preserve">第七章 </w:t>
      </w:r>
      <w:r>
        <w:rPr>
          <w:rFonts w:hint="eastAsia" w:ascii="Times New Roman" w:hAnsi="Times New Roman" w:eastAsia="黑体" w:cs="黑体"/>
          <w:color w:val="auto"/>
          <w:kern w:val="0"/>
          <w:sz w:val="32"/>
          <w:szCs w:val="32"/>
          <w:highlight w:val="none"/>
          <w:lang w:val="en-US" w:eastAsia="zh-CN"/>
        </w:rPr>
        <w:t>坚持</w:t>
      </w:r>
      <w:r>
        <w:rPr>
          <w:rFonts w:hint="eastAsia" w:ascii="Times New Roman" w:hAnsi="Times New Roman" w:eastAsia="黑体" w:cs="黑体"/>
          <w:color w:val="auto"/>
          <w:kern w:val="0"/>
          <w:sz w:val="32"/>
          <w:szCs w:val="32"/>
          <w:highlight w:val="none"/>
          <w:lang w:eastAsia="zh-CN"/>
        </w:rPr>
        <w:t>“</w:t>
      </w:r>
      <w:r>
        <w:rPr>
          <w:rFonts w:hint="eastAsia" w:ascii="Times New Roman" w:hAnsi="Times New Roman" w:eastAsia="黑体" w:cs="黑体"/>
          <w:color w:val="auto"/>
          <w:kern w:val="0"/>
          <w:sz w:val="32"/>
          <w:szCs w:val="32"/>
          <w:highlight w:val="none"/>
          <w:lang w:val="en-US" w:eastAsia="zh-CN"/>
        </w:rPr>
        <w:t>平急</w:t>
      </w:r>
      <w:r>
        <w:rPr>
          <w:rFonts w:hint="eastAsia" w:ascii="Times New Roman" w:hAnsi="Times New Roman" w:eastAsia="黑体" w:cs="黑体"/>
          <w:color w:val="auto"/>
          <w:kern w:val="0"/>
          <w:sz w:val="32"/>
          <w:szCs w:val="32"/>
          <w:highlight w:val="none"/>
          <w:lang w:eastAsia="zh-CN"/>
        </w:rPr>
        <w:t>”</w:t>
      </w:r>
      <w:r>
        <w:rPr>
          <w:rFonts w:hint="eastAsia" w:ascii="Times New Roman" w:hAnsi="Times New Roman" w:eastAsia="黑体" w:cs="黑体"/>
          <w:color w:val="auto"/>
          <w:kern w:val="0"/>
          <w:sz w:val="32"/>
          <w:szCs w:val="32"/>
          <w:highlight w:val="none"/>
          <w:lang w:val="en-US" w:eastAsia="zh-CN"/>
        </w:rPr>
        <w:t>一体筹划，全面提升应急动员能力</w:t>
      </w:r>
      <w:bookmarkEnd w:id="251"/>
      <w:bookmarkEnd w:id="252"/>
    </w:p>
    <w:p w14:paraId="27A026F4">
      <w:pPr>
        <w:pBdr>
          <w:top w:val="none" w:color="auto" w:sz="0" w:space="1"/>
          <w:left w:val="none" w:color="auto" w:sz="0" w:space="4"/>
          <w:bottom w:val="none" w:color="auto" w:sz="0" w:space="1"/>
          <w:right w:val="none" w:color="auto" w:sz="0" w:space="4"/>
        </w:pBdr>
        <w:adjustRightInd/>
        <w:snapToGrid/>
        <w:spacing w:line="560" w:lineRule="exact"/>
        <w:ind w:firstLine="640" w:firstLineChars="200"/>
        <w:outlineLvl w:val="2"/>
        <w:rPr>
          <w:rFonts w:hint="eastAsia" w:ascii="Times New Roman" w:hAnsi="Times New Roman" w:eastAsia="楷体_GB2312" w:cs="楷体_GB2312"/>
          <w:bCs/>
          <w:color w:val="auto"/>
          <w:sz w:val="32"/>
          <w:szCs w:val="32"/>
          <w:highlight w:val="none"/>
        </w:rPr>
      </w:pPr>
      <w:r>
        <w:rPr>
          <w:rFonts w:hint="eastAsia" w:ascii="Times New Roman" w:hAnsi="Times New Roman" w:eastAsia="楷体_GB2312" w:cs="楷体_GB2312"/>
          <w:bCs/>
          <w:color w:val="auto"/>
          <w:sz w:val="32"/>
          <w:szCs w:val="32"/>
          <w:highlight w:val="none"/>
          <w:lang w:val="en-US" w:eastAsia="zh-CN"/>
        </w:rPr>
        <w:t>一、</w:t>
      </w:r>
      <w:r>
        <w:rPr>
          <w:rFonts w:hint="eastAsia" w:ascii="Times New Roman" w:hAnsi="Times New Roman" w:eastAsia="楷体_GB2312" w:cs="楷体_GB2312"/>
          <w:bCs/>
          <w:color w:val="auto"/>
          <w:sz w:val="32"/>
          <w:szCs w:val="32"/>
          <w:highlight w:val="none"/>
        </w:rPr>
        <w:t>推进高点监控点位</w:t>
      </w:r>
      <w:r>
        <w:rPr>
          <w:rFonts w:hint="eastAsia" w:ascii="Times New Roman" w:hAnsi="Times New Roman" w:eastAsia="楷体_GB2312" w:cs="楷体_GB2312"/>
          <w:bCs/>
          <w:color w:val="auto"/>
          <w:sz w:val="32"/>
          <w:szCs w:val="32"/>
          <w:highlight w:val="none"/>
          <w:lang w:val="en-US" w:eastAsia="zh-CN"/>
        </w:rPr>
        <w:t>多</w:t>
      </w:r>
      <w:r>
        <w:rPr>
          <w:rFonts w:hint="eastAsia" w:ascii="Times New Roman" w:hAnsi="Times New Roman" w:eastAsia="楷体_GB2312" w:cs="楷体_GB2312"/>
          <w:bCs/>
          <w:color w:val="auto"/>
          <w:sz w:val="32"/>
          <w:szCs w:val="32"/>
          <w:highlight w:val="none"/>
        </w:rPr>
        <w:t>方位覆盖建设</w:t>
      </w:r>
    </w:p>
    <w:p w14:paraId="52951078">
      <w:pPr>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lang w:eastAsia="zh-CN"/>
        </w:rPr>
      </w:pPr>
      <w:r>
        <w:rPr>
          <w:rFonts w:hint="eastAsia" w:ascii="Times New Roman" w:hAnsi="Times New Roman" w:eastAsia="仿宋_GB2312" w:cs="Times New Roman"/>
          <w:bCs/>
          <w:color w:val="auto"/>
          <w:sz w:val="32"/>
          <w:szCs w:val="28"/>
          <w:highlight w:val="none"/>
          <w:lang w:val="en-US" w:eastAsia="zh-CN"/>
        </w:rPr>
        <w:t>严格落实</w:t>
      </w:r>
      <w:r>
        <w:rPr>
          <w:rFonts w:hint="eastAsia" w:ascii="Times New Roman" w:hAnsi="Times New Roman" w:eastAsia="仿宋_GB2312" w:cs="Times New Roman"/>
          <w:bCs/>
          <w:color w:val="auto"/>
          <w:sz w:val="32"/>
          <w:szCs w:val="28"/>
          <w:highlight w:val="none"/>
        </w:rPr>
        <w:t>《北京市“十五五”时期高点监控建设计划》要求，立足城市治理现代化目标，聚焦朝阳区重要经济目标、重点交通枢纽、核心政务区域等关键部位，新建标准化、智能化高点监控点位。结合</w:t>
      </w:r>
      <w:r>
        <w:rPr>
          <w:rFonts w:hint="eastAsia" w:ascii="Times New Roman" w:hAnsi="Times New Roman" w:eastAsia="仿宋_GB2312" w:cs="Times New Roman"/>
          <w:bCs/>
          <w:color w:val="auto"/>
          <w:sz w:val="32"/>
          <w:szCs w:val="28"/>
          <w:highlight w:val="none"/>
          <w:lang w:val="en-US" w:eastAsia="zh-CN"/>
        </w:rPr>
        <w:t>地理特点和防控需求</w:t>
      </w:r>
      <w:r>
        <w:rPr>
          <w:rFonts w:hint="eastAsia" w:ascii="Times New Roman" w:hAnsi="Times New Roman" w:eastAsia="仿宋_GB2312" w:cs="Times New Roman"/>
          <w:bCs/>
          <w:color w:val="auto"/>
          <w:sz w:val="32"/>
          <w:szCs w:val="28"/>
          <w:highlight w:val="none"/>
        </w:rPr>
        <w:t>科学选址，推动新建点位与现有防控资源深度融合</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健全多部门协同联动机制，进一步完善立体防控布局，补齐防控短板弱项，稳步推进重要目标监控全域覆盖，持续提升首都公共安全保障能力和城市治理精细化水平，为区域经济社会高质量发展提供坚实安全支撑。</w:t>
      </w:r>
    </w:p>
    <w:p w14:paraId="24402081">
      <w:pPr>
        <w:keepLines w:val="0"/>
        <w:pageBreakBefore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firstLine="640" w:firstLineChars="200"/>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二、拓展应急避难场所建设</w:t>
      </w:r>
    </w:p>
    <w:p w14:paraId="1D62BC44">
      <w:pPr>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坚持“战时防空、平时服务、应急支援”使命任务，持续</w:t>
      </w:r>
      <w:r>
        <w:rPr>
          <w:rFonts w:hint="eastAsia" w:ascii="Times New Roman" w:hAnsi="Times New Roman" w:eastAsia="仿宋_GB2312" w:cs="Times New Roman"/>
          <w:bCs/>
          <w:color w:val="auto"/>
          <w:sz w:val="32"/>
          <w:szCs w:val="28"/>
          <w:highlight w:val="none"/>
          <w:lang w:val="en-US" w:eastAsia="zh-CN"/>
        </w:rPr>
        <w:t>加强</w:t>
      </w:r>
      <w:r>
        <w:rPr>
          <w:rFonts w:hint="eastAsia" w:ascii="Times New Roman" w:hAnsi="Times New Roman" w:eastAsia="仿宋_GB2312" w:cs="Times New Roman"/>
          <w:bCs/>
          <w:color w:val="auto"/>
          <w:sz w:val="32"/>
          <w:szCs w:val="28"/>
          <w:highlight w:val="none"/>
        </w:rPr>
        <w:t>人防工程维护管理，</w:t>
      </w:r>
      <w:r>
        <w:rPr>
          <w:rFonts w:hint="eastAsia" w:ascii="Times New Roman" w:hAnsi="Times New Roman" w:eastAsia="仿宋_GB2312" w:cs="Times New Roman"/>
          <w:bCs/>
          <w:color w:val="auto"/>
          <w:sz w:val="32"/>
          <w:szCs w:val="28"/>
          <w:highlight w:val="none"/>
          <w:lang w:val="en-US" w:eastAsia="zh-CN"/>
        </w:rPr>
        <w:t>推动</w:t>
      </w:r>
      <w:r>
        <w:rPr>
          <w:rFonts w:hint="eastAsia" w:ascii="Times New Roman" w:hAnsi="Times New Roman" w:eastAsia="仿宋_GB2312" w:cs="Times New Roman"/>
          <w:bCs/>
          <w:color w:val="auto"/>
          <w:sz w:val="32"/>
          <w:szCs w:val="28"/>
          <w:highlight w:val="none"/>
        </w:rPr>
        <w:t>人民防空与应急管理资源互补、协同联动</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将部分</w:t>
      </w:r>
      <w:r>
        <w:rPr>
          <w:rFonts w:hint="eastAsia" w:ascii="Times New Roman" w:hAnsi="Times New Roman" w:eastAsia="仿宋_GB2312" w:cs="Times New Roman"/>
          <w:bCs/>
          <w:color w:val="auto"/>
          <w:sz w:val="32"/>
          <w:szCs w:val="28"/>
          <w:highlight w:val="none"/>
          <w:lang w:val="en-US" w:eastAsia="zh-CN"/>
        </w:rPr>
        <w:t>符合条件的</w:t>
      </w:r>
      <w:r>
        <w:rPr>
          <w:rFonts w:hint="eastAsia" w:ascii="Times New Roman" w:hAnsi="Times New Roman" w:eastAsia="仿宋_GB2312" w:cs="Times New Roman"/>
          <w:bCs/>
          <w:color w:val="auto"/>
          <w:sz w:val="32"/>
          <w:szCs w:val="28"/>
          <w:highlight w:val="none"/>
        </w:rPr>
        <w:t>人民防空疏散场所纳入应急避难场所体系。统筹整合既有场地空间</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规范设置标志标识，显著提升应急避难场所覆盖能力</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为群众应急避险、妥善安置提供坚实保障。</w:t>
      </w:r>
    </w:p>
    <w:p w14:paraId="7376D6C9">
      <w:pPr>
        <w:pBdr>
          <w:top w:val="none" w:color="auto" w:sz="0" w:space="1"/>
          <w:left w:val="none" w:color="auto" w:sz="0" w:space="4"/>
          <w:bottom w:val="none" w:color="auto" w:sz="0" w:space="1"/>
          <w:right w:val="none" w:color="auto" w:sz="0" w:space="4"/>
        </w:pBdr>
        <w:spacing w:line="560" w:lineRule="exact"/>
        <w:ind w:firstLine="640" w:firstLineChars="200"/>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三、健全</w:t>
      </w:r>
      <w:r>
        <w:rPr>
          <w:rFonts w:hint="eastAsia" w:ascii="Times New Roman" w:hAnsi="Times New Roman" w:eastAsia="楷体_GB2312" w:cs="楷体_GB2312"/>
          <w:bCs/>
          <w:color w:val="auto"/>
          <w:sz w:val="32"/>
          <w:szCs w:val="32"/>
          <w:highlight w:val="none"/>
        </w:rPr>
        <w:t>疫情防控协同</w:t>
      </w:r>
      <w:r>
        <w:rPr>
          <w:rFonts w:hint="eastAsia" w:ascii="Times New Roman" w:hAnsi="Times New Roman" w:eastAsia="楷体_GB2312" w:cs="楷体_GB2312"/>
          <w:bCs/>
          <w:color w:val="auto"/>
          <w:sz w:val="32"/>
          <w:szCs w:val="32"/>
          <w:highlight w:val="none"/>
          <w:lang w:val="en-US" w:eastAsia="zh-CN"/>
        </w:rPr>
        <w:t>体系</w:t>
      </w:r>
    </w:p>
    <w:p w14:paraId="2A85BC4F">
      <w:pPr>
        <w:spacing w:line="560" w:lineRule="exact"/>
        <w:ind w:firstLine="640" w:firstLineChars="200"/>
        <w:rPr>
          <w:rFonts w:hint="eastAsia"/>
        </w:rPr>
      </w:pPr>
      <w:r>
        <w:rPr>
          <w:rFonts w:hint="eastAsia" w:ascii="仿宋_GB2312" w:hAnsi="仿宋_GB2312" w:eastAsia="仿宋_GB2312" w:cs="仿宋_GB2312"/>
          <w:sz w:val="32"/>
          <w:szCs w:val="32"/>
          <w:highlight w:val="none"/>
          <w:lang w:val="en-US" w:eastAsia="zh-CN"/>
        </w:rPr>
        <w:t>健全统一领导、分级负责、联防联控的疫情应对指挥体系，充分发挥应急体系统筹调度优势，强化重大疫情</w:t>
      </w:r>
      <w:r>
        <w:rPr>
          <w:rFonts w:hint="eastAsia" w:ascii="仿宋_GB2312" w:hAnsi="仿宋_GB2312" w:eastAsia="仿宋_GB2312" w:cs="仿宋_GB2312"/>
          <w:sz w:val="32"/>
          <w:szCs w:val="32"/>
          <w:highlight w:val="none"/>
        </w:rPr>
        <w:t>监测预警、医疗救治、应急处置、物资保障</w:t>
      </w:r>
      <w:r>
        <w:rPr>
          <w:rFonts w:hint="eastAsia" w:ascii="仿宋_GB2312" w:hAnsi="仿宋_GB2312" w:eastAsia="仿宋_GB2312" w:cs="仿宋_GB2312"/>
          <w:sz w:val="32"/>
          <w:szCs w:val="32"/>
          <w:highlight w:val="none"/>
          <w:lang w:eastAsia="zh-CN"/>
        </w:rPr>
        <w:t>等关键环节协同联动</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优化应急医疗服务设施布局，促进</w:t>
      </w:r>
      <w:r>
        <w:rPr>
          <w:rFonts w:hint="eastAsia" w:ascii="仿宋_GB2312" w:hAnsi="仿宋_GB2312" w:eastAsia="仿宋_GB2312" w:cs="仿宋_GB2312"/>
          <w:sz w:val="32"/>
          <w:szCs w:val="32"/>
          <w:highlight w:val="none"/>
          <w:lang w:eastAsia="zh-CN"/>
        </w:rPr>
        <w:t>增强综合医院平疫结合转换能力</w:t>
      </w:r>
      <w:r>
        <w:rPr>
          <w:rFonts w:hint="eastAsia" w:ascii="仿宋_GB2312" w:hAnsi="仿宋_GB2312" w:eastAsia="仿宋_GB2312" w:cs="仿宋_GB2312"/>
          <w:sz w:val="32"/>
          <w:szCs w:val="32"/>
          <w:highlight w:val="none"/>
          <w:lang w:val="en-US" w:eastAsia="zh-CN"/>
        </w:rPr>
        <w:t>。完善</w:t>
      </w:r>
      <w:r>
        <w:rPr>
          <w:rFonts w:hint="eastAsia" w:ascii="仿宋_GB2312" w:hAnsi="仿宋_GB2312" w:eastAsia="仿宋_GB2312" w:cs="仿宋_GB2312"/>
          <w:sz w:val="32"/>
          <w:szCs w:val="32"/>
          <w:highlight w:val="none"/>
          <w:lang w:eastAsia="zh-CN"/>
        </w:rPr>
        <w:t>自然灾害后卫生防疫工作</w:t>
      </w:r>
      <w:r>
        <w:rPr>
          <w:rFonts w:hint="eastAsia" w:ascii="仿宋_GB2312" w:hAnsi="仿宋_GB2312" w:eastAsia="仿宋_GB2312" w:cs="仿宋_GB2312"/>
          <w:sz w:val="32"/>
          <w:szCs w:val="32"/>
          <w:highlight w:val="none"/>
          <w:lang w:val="en-US" w:eastAsia="zh-CN"/>
        </w:rPr>
        <w:t>措施</w:t>
      </w:r>
      <w:r>
        <w:rPr>
          <w:rFonts w:hint="eastAsia" w:ascii="仿宋_GB2312" w:hAnsi="仿宋_GB2312" w:eastAsia="仿宋_GB2312" w:cs="仿宋_GB2312"/>
          <w:sz w:val="32"/>
          <w:szCs w:val="32"/>
          <w:highlight w:val="none"/>
          <w:lang w:eastAsia="zh-CN"/>
        </w:rPr>
        <w:t>，确保“大灾之后无大疫”。</w:t>
      </w:r>
    </w:p>
    <w:p w14:paraId="2ACFCB79">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ind w:firstLine="0" w:firstLineChars="0"/>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67" w:name="_Toc15618"/>
      <w:bookmarkStart w:id="268" w:name="_Toc28811"/>
      <w:bookmarkStart w:id="269" w:name="_Toc27708"/>
      <w:bookmarkStart w:id="270" w:name="_Toc27143"/>
      <w:r>
        <w:rPr>
          <w:rFonts w:hint="eastAsia" w:ascii="Times New Roman" w:hAnsi="Times New Roman" w:eastAsia="黑体" w:cs="黑体"/>
          <w:color w:val="auto"/>
          <w:kern w:val="0"/>
          <w:sz w:val="32"/>
          <w:szCs w:val="32"/>
          <w:highlight w:val="none"/>
          <w:lang w:val="en-US" w:eastAsia="zh-CN" w:bidi="ar-SA"/>
        </w:rPr>
        <w:t>第八章 强化事业产业融合，构建智慧应急支撑体系</w:t>
      </w:r>
      <w:bookmarkEnd w:id="267"/>
      <w:bookmarkEnd w:id="268"/>
      <w:bookmarkEnd w:id="269"/>
      <w:bookmarkEnd w:id="270"/>
    </w:p>
    <w:p w14:paraId="56C2E92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一、建设安全应急产业园区</w:t>
      </w:r>
    </w:p>
    <w:p w14:paraId="0DB07A48">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kern w:val="2"/>
          <w:sz w:val="32"/>
          <w:szCs w:val="28"/>
          <w:highlight w:val="none"/>
          <w:lang w:val="en-US" w:eastAsia="zh-CN" w:bidi="ar-SA"/>
        </w:rPr>
        <w:t>推进应急管理工作与科技百园建设深度融合，围绕全灾种统筹应对、全链条协同指挥、全过程风险防控等重点方向，布局建设业态、场景适配的科技园区，推动应急管理从被动响应向主动预防、从单点防控向系统联控全面升级。</w:t>
      </w:r>
      <w:r>
        <w:rPr>
          <w:rFonts w:hint="eastAsia" w:ascii="Times New Roman" w:hAnsi="Times New Roman" w:eastAsia="仿宋_GB2312" w:cs="Times New Roman"/>
          <w:bCs/>
          <w:color w:val="auto"/>
          <w:sz w:val="32"/>
          <w:szCs w:val="28"/>
          <w:highlight w:val="none"/>
        </w:rPr>
        <w:t>围绕安全防护、安全应急服务、应急智能装备等赛道，链接行业领域内专业运营团队或者技术平台，支撑安全应急产业园区布局建设工作。培育超大城市核心区典型应用场景，推动安全监管精准落地。推进应急关键技术与装备研究应用，充分利用北京高校科研院所资源优势，联合高校和科研机构、高科技企业、社会组织等专业团队技术力量，共同参与应急管理信息化的研究和创新，聚焦应急管理实战需求，贴近应急管理实际业务场景，构建长效、开放的“产学研用”技术联合创新发展模式。</w:t>
      </w:r>
    </w:p>
    <w:p w14:paraId="7CA4820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二、强化智慧应急基础保障</w:t>
      </w:r>
    </w:p>
    <w:p w14:paraId="53C44A78">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lang w:val="en-US" w:eastAsia="zh-CN"/>
        </w:rPr>
      </w:pPr>
      <w:r>
        <w:rPr>
          <w:rFonts w:hint="eastAsia" w:ascii="Times New Roman" w:hAnsi="Times New Roman" w:eastAsia="仿宋_GB2312" w:cs="Times New Roman"/>
          <w:bCs/>
          <w:color w:val="auto"/>
          <w:sz w:val="32"/>
          <w:szCs w:val="20"/>
          <w:highlight w:val="none"/>
        </w:rPr>
        <w:t>推进应急管理智能平台建设</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8"/>
          <w:highlight w:val="none"/>
        </w:rPr>
        <w:t>深化数据挖掘与应用，强化多部门、多层级监测感知数据汇聚应用</w:t>
      </w:r>
      <w:r>
        <w:rPr>
          <w:rFonts w:hint="eastAsia" w:ascii="Times New Roman" w:hAnsi="Times New Roman" w:eastAsia="仿宋_GB2312" w:cs="Times New Roman"/>
          <w:bCs/>
          <w:color w:val="auto"/>
          <w:sz w:val="32"/>
          <w:szCs w:val="20"/>
          <w:highlight w:val="none"/>
        </w:rPr>
        <w:t>。聚焦预案管理、应急值守、应急指挥、防汛、森林防灭火、抗震救灾等核心场景，持续</w:t>
      </w:r>
      <w:r>
        <w:rPr>
          <w:rFonts w:hint="eastAsia" w:ascii="Times New Roman" w:hAnsi="Times New Roman" w:eastAsia="仿宋_GB2312" w:cs="Times New Roman"/>
          <w:bCs/>
          <w:color w:val="auto"/>
          <w:sz w:val="32"/>
          <w:szCs w:val="20"/>
          <w:highlight w:val="none"/>
          <w:lang w:val="en-US" w:eastAsia="zh-CN"/>
        </w:rPr>
        <w:t>归集</w:t>
      </w:r>
      <w:r>
        <w:rPr>
          <w:rFonts w:hint="eastAsia" w:ascii="Times New Roman" w:hAnsi="Times New Roman" w:eastAsia="仿宋_GB2312" w:cs="Times New Roman"/>
          <w:bCs/>
          <w:color w:val="auto"/>
          <w:sz w:val="32"/>
          <w:szCs w:val="20"/>
          <w:highlight w:val="none"/>
        </w:rPr>
        <w:t>突发事件应对数据，</w:t>
      </w:r>
      <w:r>
        <w:rPr>
          <w:rFonts w:hint="eastAsia" w:ascii="Times New Roman" w:hAnsi="Times New Roman" w:eastAsia="仿宋_GB2312" w:cs="Times New Roman"/>
          <w:bCs/>
          <w:color w:val="auto"/>
          <w:sz w:val="32"/>
          <w:szCs w:val="20"/>
          <w:highlight w:val="none"/>
          <w:lang w:val="en-US" w:eastAsia="zh-CN"/>
        </w:rPr>
        <w:t>着力</w:t>
      </w:r>
      <w:r>
        <w:rPr>
          <w:rFonts w:hint="eastAsia" w:ascii="Times New Roman" w:hAnsi="Times New Roman" w:eastAsia="仿宋_GB2312" w:cs="Times New Roman"/>
          <w:bCs/>
          <w:color w:val="auto"/>
          <w:sz w:val="32"/>
          <w:szCs w:val="20"/>
          <w:highlight w:val="none"/>
        </w:rPr>
        <w:t>提升智慧化态势研判、资源调度、指令分发与协同处置能力</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8"/>
          <w:highlight w:val="none"/>
          <w:lang w:val="en-US" w:eastAsia="zh-CN"/>
        </w:rPr>
        <w:t>全面提升</w:t>
      </w:r>
      <w:r>
        <w:rPr>
          <w:rFonts w:hint="eastAsia" w:ascii="Times New Roman" w:hAnsi="Times New Roman" w:eastAsia="仿宋_GB2312" w:cs="Times New Roman"/>
          <w:bCs/>
          <w:color w:val="auto"/>
          <w:sz w:val="32"/>
          <w:szCs w:val="20"/>
          <w:highlight w:val="none"/>
          <w:lang w:eastAsia="zh-CN"/>
        </w:rPr>
        <w:t>应急管理智能化水平</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lang w:val="en-US" w:eastAsia="zh-CN"/>
        </w:rPr>
        <w:t>健全应急通信保障网络，围绕“三断”</w:t>
      </w:r>
      <w:r>
        <w:rPr>
          <w:rStyle w:val="21"/>
          <w:rFonts w:hint="eastAsia" w:ascii="Times New Roman" w:hAnsi="Times New Roman" w:eastAsia="仿宋_GB2312" w:cs="Times New Roman"/>
          <w:bCs/>
          <w:color w:val="auto"/>
          <w:sz w:val="32"/>
          <w:szCs w:val="20"/>
          <w:highlight w:val="none"/>
          <w:lang w:val="en-US" w:eastAsia="zh-CN"/>
        </w:rPr>
        <w:footnoteReference w:id="7"/>
      </w:r>
      <w:r>
        <w:rPr>
          <w:rFonts w:hint="eastAsia" w:ascii="Times New Roman" w:hAnsi="Times New Roman" w:eastAsia="仿宋_GB2312" w:cs="Times New Roman"/>
          <w:bCs/>
          <w:color w:val="auto"/>
          <w:sz w:val="32"/>
          <w:szCs w:val="20"/>
          <w:highlight w:val="none"/>
          <w:lang w:val="en-US" w:eastAsia="zh-CN"/>
        </w:rPr>
        <w:t>场景，</w:t>
      </w:r>
      <w:r>
        <w:rPr>
          <w:rFonts w:hint="eastAsia" w:ascii="Times New Roman" w:hAnsi="Times New Roman" w:eastAsia="仿宋_GB2312" w:cs="Times New Roman"/>
          <w:bCs/>
          <w:color w:val="auto"/>
          <w:sz w:val="32"/>
          <w:szCs w:val="28"/>
          <w:highlight w:val="none"/>
        </w:rPr>
        <w:t>建立全灾种应急通信手段，实现多种通信终端融合联通，确保极端条件下通信畅通。</w:t>
      </w:r>
      <w:r>
        <w:rPr>
          <w:rFonts w:hint="eastAsia" w:ascii="Times New Roman" w:hAnsi="Times New Roman" w:eastAsia="仿宋_GB2312" w:cs="Times New Roman"/>
          <w:bCs/>
          <w:color w:val="auto"/>
          <w:sz w:val="32"/>
          <w:szCs w:val="20"/>
          <w:highlight w:val="none"/>
        </w:rPr>
        <w:t>推动安全生产</w:t>
      </w:r>
      <w:r>
        <w:rPr>
          <w:rFonts w:hint="eastAsia" w:ascii="Times New Roman" w:hAnsi="Times New Roman" w:eastAsia="仿宋_GB2312" w:cs="Times New Roman"/>
          <w:bCs/>
          <w:color w:val="auto"/>
          <w:sz w:val="32"/>
          <w:szCs w:val="20"/>
          <w:highlight w:val="none"/>
          <w:lang w:val="en-US" w:eastAsia="zh-CN"/>
        </w:rPr>
        <w:t>监管</w:t>
      </w:r>
      <w:r>
        <w:rPr>
          <w:rFonts w:hint="eastAsia" w:ascii="Times New Roman" w:hAnsi="Times New Roman" w:eastAsia="仿宋_GB2312" w:cs="Times New Roman"/>
          <w:bCs/>
          <w:color w:val="auto"/>
          <w:sz w:val="32"/>
          <w:szCs w:val="20"/>
          <w:highlight w:val="none"/>
        </w:rPr>
        <w:t>全链条数据融合</w:t>
      </w:r>
      <w:r>
        <w:rPr>
          <w:rFonts w:hint="eastAsia" w:ascii="Times New Roman" w:hAnsi="Times New Roman" w:eastAsia="仿宋_GB2312" w:cs="Times New Roman"/>
          <w:bCs/>
          <w:color w:val="auto"/>
          <w:sz w:val="32"/>
          <w:szCs w:val="20"/>
          <w:highlight w:val="none"/>
          <w:lang w:val="en-US" w:eastAsia="zh-CN"/>
        </w:rPr>
        <w:t>应用</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lang w:val="en-US" w:eastAsia="zh-CN"/>
        </w:rPr>
        <w:t>助力</w:t>
      </w:r>
      <w:r>
        <w:rPr>
          <w:rFonts w:hint="eastAsia" w:ascii="Times New Roman" w:hAnsi="Times New Roman" w:eastAsia="仿宋_GB2312" w:cs="Times New Roman"/>
          <w:bCs/>
          <w:color w:val="auto"/>
          <w:sz w:val="32"/>
          <w:szCs w:val="20"/>
          <w:highlight w:val="none"/>
        </w:rPr>
        <w:t>风险分级管控与隐患排查治理。推广应用危险化学品集中管理体系信息平台，平台使用率、监管覆盖率和追溯扫码率均不低于90%。推动设有消防控制室的单位消防设施物联感知监测设备安装率稳步提升。</w:t>
      </w:r>
      <w:r>
        <w:rPr>
          <w:rFonts w:ascii="仿宋_GB2312" w:hAnsi="仿宋_GB2312" w:eastAsia="仿宋_GB2312" w:cs="仿宋_GB2312"/>
          <w:color w:val="auto"/>
          <w:sz w:val="32"/>
          <w:szCs w:val="32"/>
          <w:highlight w:val="none"/>
        </w:rPr>
        <w:t>深化实施“智慧应急”战略，</w:t>
      </w:r>
      <w:r>
        <w:rPr>
          <w:rFonts w:hint="eastAsia" w:ascii="Times New Roman" w:hAnsi="Times New Roman" w:eastAsia="仿宋_GB2312" w:cs="Times New Roman"/>
          <w:bCs/>
          <w:color w:val="auto"/>
          <w:sz w:val="32"/>
          <w:szCs w:val="28"/>
          <w:highlight w:val="none"/>
        </w:rPr>
        <w:t>全面推动</w:t>
      </w:r>
      <w:r>
        <w:rPr>
          <w:rFonts w:hint="eastAsia" w:ascii="Times New Roman" w:hAnsi="Times New Roman" w:eastAsia="仿宋_GB2312" w:cs="Times New Roman"/>
          <w:bCs/>
          <w:color w:val="auto"/>
          <w:sz w:val="32"/>
          <w:szCs w:val="28"/>
          <w:highlight w:val="none"/>
          <w:lang w:val="en-US" w:eastAsia="zh-CN"/>
        </w:rPr>
        <w:t>大数据</w:t>
      </w:r>
      <w:r>
        <w:rPr>
          <w:rFonts w:hint="eastAsia" w:ascii="Times New Roman" w:hAnsi="Times New Roman" w:eastAsia="仿宋_GB2312" w:cs="Times New Roman"/>
          <w:bCs/>
          <w:color w:val="auto"/>
          <w:sz w:val="32"/>
          <w:szCs w:val="28"/>
          <w:highlight w:val="none"/>
        </w:rPr>
        <w:t>、人工智能等先进技术在城市监测预警、应急救援等领域的深度应用。</w:t>
      </w:r>
      <w:r>
        <w:rPr>
          <w:rFonts w:hint="eastAsia" w:ascii="Times New Roman" w:hAnsi="Times New Roman" w:eastAsia="仿宋_GB2312" w:cs="Times New Roman"/>
          <w:bCs/>
          <w:color w:val="auto"/>
          <w:sz w:val="32"/>
          <w:szCs w:val="20"/>
          <w:highlight w:val="none"/>
        </w:rPr>
        <w:t>持续推进智慧消防建设，建立跨部门、跨领域数据共享机制，提升火灾防控数字化、精准化、精细化水平。</w:t>
      </w:r>
      <w:r>
        <w:rPr>
          <w:rFonts w:hint="eastAsia" w:ascii="Times New Roman" w:hAnsi="Times New Roman" w:eastAsia="仿宋_GB2312" w:cs="Times New Roman"/>
          <w:bCs/>
          <w:color w:val="auto"/>
          <w:sz w:val="32"/>
          <w:szCs w:val="28"/>
          <w:highlight w:val="none"/>
        </w:rPr>
        <w:t>推进应急机器人配备应用，加大智能防护装备、无人化救援装备等安全应急装备的推广应用。深化监测预警应用，以新质生产力赋能新质战斗力，持续加大重点行业领域安全风险监测预警系统建设和推广应用力度。</w:t>
      </w:r>
      <w:r>
        <w:rPr>
          <w:rFonts w:hint="eastAsia" w:ascii="仿宋_GB2312" w:hAnsi="仿宋_GB2312" w:eastAsia="仿宋_GB2312" w:cs="仿宋_GB2312"/>
          <w:color w:val="auto"/>
          <w:sz w:val="32"/>
          <w:szCs w:val="32"/>
          <w:highlight w:val="none"/>
          <w:lang w:val="en-US" w:eastAsia="zh-CN"/>
        </w:rPr>
        <w:t>依托</w:t>
      </w:r>
      <w:r>
        <w:rPr>
          <w:rFonts w:hint="eastAsia" w:ascii="仿宋_GB2312" w:hAnsi="仿宋_GB2312" w:eastAsia="仿宋_GB2312" w:cs="仿宋_GB2312"/>
          <w:color w:val="auto"/>
          <w:sz w:val="32"/>
          <w:szCs w:val="32"/>
          <w:highlight w:val="none"/>
        </w:rPr>
        <w:t>“企安安”系统，</w:t>
      </w:r>
      <w:r>
        <w:rPr>
          <w:rFonts w:hint="eastAsia" w:ascii="仿宋_GB2312" w:hAnsi="仿宋_GB2312" w:eastAsia="仿宋_GB2312" w:cs="仿宋_GB2312"/>
          <w:color w:val="auto"/>
          <w:sz w:val="32"/>
          <w:szCs w:val="32"/>
          <w:highlight w:val="none"/>
          <w:lang w:eastAsia="zh-CN"/>
        </w:rPr>
        <w:t>提高风险隐患排查整改水平。</w:t>
      </w:r>
      <w:r>
        <w:rPr>
          <w:rFonts w:hint="eastAsia" w:ascii="Times New Roman" w:hAnsi="Times New Roman" w:eastAsia="仿宋_GB2312" w:cs="Times New Roman"/>
          <w:bCs/>
          <w:color w:val="auto"/>
          <w:sz w:val="32"/>
          <w:szCs w:val="28"/>
          <w:highlight w:val="none"/>
        </w:rPr>
        <w:t>推动</w:t>
      </w:r>
      <w:r>
        <w:rPr>
          <w:rFonts w:hint="eastAsia" w:ascii="仿宋_GB2312" w:hAnsi="仿宋_GB2312" w:eastAsia="仿宋_GB2312" w:cs="仿宋_GB2312"/>
          <w:color w:val="auto"/>
          <w:sz w:val="32"/>
          <w:szCs w:val="32"/>
          <w:highlight w:val="none"/>
        </w:rPr>
        <w:t>“智慧应急”</w:t>
      </w:r>
      <w:r>
        <w:rPr>
          <w:rFonts w:hint="eastAsia" w:ascii="Times New Roman" w:hAnsi="Times New Roman" w:eastAsia="仿宋_GB2312" w:cs="Times New Roman"/>
          <w:bCs/>
          <w:color w:val="auto"/>
          <w:sz w:val="32"/>
          <w:szCs w:val="28"/>
          <w:highlight w:val="none"/>
        </w:rPr>
        <w:t>和基层治理有机融合，推广应用符合基层实际需求的科技手段和信息化系统。通过户外大屏</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楼宇电视及时发布预警以及其他重要信息，提高全区预警信息覆盖率。</w:t>
      </w:r>
    </w:p>
    <w:p w14:paraId="2C3EA63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三、加强专业人才培养</w:t>
      </w:r>
    </w:p>
    <w:p w14:paraId="73EB804E">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组织开展应急管理干部实战化培训，加快锻造</w:t>
      </w:r>
      <w:r>
        <w:rPr>
          <w:rFonts w:hint="eastAsia" w:ascii="Times New Roman" w:hAnsi="Times New Roman" w:eastAsia="仿宋_GB2312" w:cs="Times New Roman"/>
          <w:bCs/>
          <w:color w:val="auto"/>
          <w:sz w:val="32"/>
          <w:szCs w:val="20"/>
          <w:highlight w:val="none"/>
          <w:lang w:val="en-US" w:eastAsia="zh-CN"/>
        </w:rPr>
        <w:t>领导</w:t>
      </w:r>
      <w:r>
        <w:rPr>
          <w:rFonts w:hint="eastAsia" w:ascii="Times New Roman" w:hAnsi="Times New Roman" w:eastAsia="仿宋_GB2312" w:cs="Times New Roman"/>
          <w:bCs/>
          <w:color w:val="auto"/>
          <w:sz w:val="32"/>
          <w:szCs w:val="20"/>
          <w:highlight w:val="none"/>
        </w:rPr>
        <w:t>指挥、预防</w:t>
      </w:r>
      <w:r>
        <w:rPr>
          <w:rFonts w:hint="eastAsia" w:ascii="Times New Roman" w:hAnsi="Times New Roman" w:eastAsia="仿宋_GB2312" w:cs="Times New Roman"/>
          <w:bCs/>
          <w:color w:val="auto"/>
          <w:sz w:val="32"/>
          <w:szCs w:val="20"/>
          <w:highlight w:val="none"/>
          <w:lang w:val="en-US" w:eastAsia="zh-CN"/>
        </w:rPr>
        <w:t>准备</w:t>
      </w:r>
      <w:r>
        <w:rPr>
          <w:rFonts w:hint="eastAsia"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lang w:val="en-US" w:eastAsia="zh-CN"/>
        </w:rPr>
        <w:t>处置</w:t>
      </w:r>
      <w:r>
        <w:rPr>
          <w:rFonts w:hint="eastAsia" w:ascii="Times New Roman" w:hAnsi="Times New Roman" w:eastAsia="仿宋_GB2312" w:cs="Times New Roman"/>
          <w:bCs/>
          <w:color w:val="auto"/>
          <w:sz w:val="32"/>
          <w:szCs w:val="20"/>
          <w:highlight w:val="none"/>
        </w:rPr>
        <w:t>救援及技术支撑人才。</w:t>
      </w:r>
      <w:r>
        <w:rPr>
          <w:rFonts w:ascii="Times New Roman" w:hAnsi="Times New Roman" w:eastAsia="仿宋_GB2312" w:cs="Times New Roman"/>
          <w:bCs/>
          <w:color w:val="auto"/>
          <w:sz w:val="32"/>
          <w:szCs w:val="20"/>
          <w:highlight w:val="none"/>
        </w:rPr>
        <w:t>定期开展多元化培训，打造应急管理党员干部的知识、素质、能力体系，逐步形成</w:t>
      </w:r>
      <w:r>
        <w:rPr>
          <w:rFonts w:hint="eastAsia" w:ascii="Times New Roman" w:hAnsi="Times New Roman" w:eastAsia="仿宋_GB2312" w:cs="Times New Roman"/>
          <w:bCs/>
          <w:color w:val="auto"/>
          <w:sz w:val="32"/>
          <w:szCs w:val="20"/>
          <w:highlight w:val="none"/>
        </w:rPr>
        <w:t>“</w:t>
      </w:r>
      <w:r>
        <w:rPr>
          <w:rFonts w:ascii="Times New Roman" w:hAnsi="Times New Roman" w:eastAsia="仿宋_GB2312" w:cs="Times New Roman"/>
          <w:bCs/>
          <w:color w:val="auto"/>
          <w:sz w:val="32"/>
          <w:szCs w:val="20"/>
          <w:highlight w:val="none"/>
        </w:rPr>
        <w:t>一专多能</w:t>
      </w:r>
      <w:r>
        <w:rPr>
          <w:rFonts w:hint="eastAsia" w:ascii="Times New Roman" w:hAnsi="Times New Roman" w:eastAsia="仿宋_GB2312" w:cs="Times New Roman"/>
          <w:bCs/>
          <w:color w:val="auto"/>
          <w:sz w:val="32"/>
          <w:szCs w:val="20"/>
          <w:highlight w:val="none"/>
        </w:rPr>
        <w:t>”“</w:t>
      </w:r>
      <w:r>
        <w:rPr>
          <w:rFonts w:ascii="Times New Roman" w:hAnsi="Times New Roman" w:eastAsia="仿宋_GB2312" w:cs="Times New Roman"/>
          <w:bCs/>
          <w:color w:val="auto"/>
          <w:sz w:val="32"/>
          <w:szCs w:val="20"/>
          <w:highlight w:val="none"/>
        </w:rPr>
        <w:t>通才专才互补</w:t>
      </w:r>
      <w:r>
        <w:rPr>
          <w:rFonts w:hint="eastAsia" w:ascii="Times New Roman" w:hAnsi="Times New Roman" w:eastAsia="仿宋_GB2312" w:cs="Times New Roman"/>
          <w:bCs/>
          <w:color w:val="auto"/>
          <w:sz w:val="32"/>
          <w:szCs w:val="20"/>
          <w:highlight w:val="none"/>
        </w:rPr>
        <w:t>”</w:t>
      </w:r>
      <w:r>
        <w:rPr>
          <w:rFonts w:ascii="Times New Roman" w:hAnsi="Times New Roman" w:eastAsia="仿宋_GB2312" w:cs="Times New Roman"/>
          <w:bCs/>
          <w:color w:val="auto"/>
          <w:sz w:val="32"/>
          <w:szCs w:val="20"/>
          <w:highlight w:val="none"/>
        </w:rPr>
        <w:t>人才队伍结构。</w:t>
      </w:r>
      <w:r>
        <w:rPr>
          <w:rFonts w:hint="eastAsia" w:ascii="Times New Roman" w:hAnsi="Times New Roman" w:eastAsia="仿宋_GB2312" w:cs="Times New Roman"/>
          <w:bCs/>
          <w:color w:val="auto"/>
          <w:sz w:val="32"/>
          <w:szCs w:val="20"/>
          <w:highlight w:val="none"/>
        </w:rPr>
        <w:t>持续强化化工和危险化学品，以及涉爆粉尘、高温熔融金属作业、有限空间作业等高风险领域从业人员安全生产教育培训。新建投用消防设施操作员鉴定站，迭代更新考核设备，提高审批鉴定质效。持续</w:t>
      </w:r>
      <w:r>
        <w:rPr>
          <w:rFonts w:ascii="Times New Roman" w:hAnsi="Times New Roman" w:eastAsia="仿宋_GB2312" w:cs="Times New Roman"/>
          <w:bCs/>
          <w:color w:val="auto"/>
          <w:sz w:val="32"/>
          <w:szCs w:val="20"/>
          <w:highlight w:val="none"/>
        </w:rPr>
        <w:t>拓宽</w:t>
      </w:r>
      <w:r>
        <w:rPr>
          <w:rFonts w:hint="eastAsia" w:ascii="Times New Roman" w:hAnsi="Times New Roman" w:eastAsia="仿宋_GB2312" w:cs="Times New Roman"/>
          <w:bCs/>
          <w:color w:val="auto"/>
          <w:sz w:val="32"/>
          <w:szCs w:val="20"/>
          <w:highlight w:val="none"/>
        </w:rPr>
        <w:t>应急人才</w:t>
      </w:r>
      <w:r>
        <w:rPr>
          <w:rFonts w:ascii="Times New Roman" w:hAnsi="Times New Roman" w:eastAsia="仿宋_GB2312" w:cs="Times New Roman"/>
          <w:bCs/>
          <w:color w:val="auto"/>
          <w:sz w:val="32"/>
          <w:szCs w:val="20"/>
          <w:highlight w:val="none"/>
        </w:rPr>
        <w:t>培养渠道，加强与专业高校的战略合作。畅通应急管理人才引进渠道，持续引进和培养高危行业安全管理、技术、工程、执法等各类人才</w:t>
      </w:r>
      <w:r>
        <w:rPr>
          <w:rFonts w:hint="eastAsia" w:ascii="Times New Roman" w:hAnsi="Times New Roman" w:eastAsia="仿宋_GB2312" w:cs="Times New Roman"/>
          <w:bCs/>
          <w:color w:val="auto"/>
          <w:sz w:val="32"/>
          <w:szCs w:val="20"/>
          <w:highlight w:val="none"/>
        </w:rPr>
        <w:t>，</w:t>
      </w:r>
      <w:r>
        <w:rPr>
          <w:rFonts w:ascii="Times New Roman" w:hAnsi="Times New Roman" w:eastAsia="仿宋_GB2312" w:cs="Times New Roman"/>
          <w:bCs/>
          <w:color w:val="auto"/>
          <w:sz w:val="32"/>
          <w:szCs w:val="20"/>
          <w:highlight w:val="none"/>
        </w:rPr>
        <w:t>尽快引进和培养应急预案编制、应急指挥、应急处置、应急信息化人才</w:t>
      </w:r>
      <w:r>
        <w:rPr>
          <w:rFonts w:hint="eastAsia" w:ascii="Times New Roman" w:hAnsi="Times New Roman" w:eastAsia="仿宋_GB2312" w:cs="Times New Roman"/>
          <w:bCs/>
          <w:color w:val="auto"/>
          <w:sz w:val="32"/>
          <w:szCs w:val="20"/>
          <w:highlight w:val="none"/>
        </w:rPr>
        <w:t>，</w:t>
      </w:r>
      <w:r>
        <w:rPr>
          <w:rFonts w:ascii="Times New Roman" w:hAnsi="Times New Roman" w:eastAsia="仿宋_GB2312" w:cs="Times New Roman"/>
          <w:bCs/>
          <w:color w:val="auto"/>
          <w:sz w:val="32"/>
          <w:szCs w:val="20"/>
          <w:highlight w:val="none"/>
        </w:rPr>
        <w:t>积极引进和培养自然灾害风险评估及监测预警、火灾管理、防汛抗旱、地震和地质灾害防控等人才</w:t>
      </w:r>
      <w:r>
        <w:rPr>
          <w:rFonts w:hint="eastAsia" w:ascii="Times New Roman" w:hAnsi="Times New Roman" w:eastAsia="仿宋_GB2312" w:cs="Times New Roman"/>
          <w:bCs/>
          <w:color w:val="auto"/>
          <w:sz w:val="32"/>
          <w:szCs w:val="20"/>
          <w:highlight w:val="none"/>
        </w:rPr>
        <w:t>，持续提升应急人才储备</w:t>
      </w:r>
      <w:r>
        <w:rPr>
          <w:rFonts w:ascii="Times New Roman" w:hAnsi="Times New Roman" w:eastAsia="仿宋_GB2312" w:cs="Times New Roman"/>
          <w:bCs/>
          <w:color w:val="auto"/>
          <w:sz w:val="32"/>
          <w:szCs w:val="20"/>
          <w:highlight w:val="none"/>
        </w:rPr>
        <w:t>。</w:t>
      </w:r>
      <w:r>
        <w:rPr>
          <w:rFonts w:hint="eastAsia" w:ascii="Times New Roman" w:hAnsi="Times New Roman" w:eastAsia="仿宋_GB2312" w:cs="Times New Roman"/>
          <w:bCs/>
          <w:color w:val="auto"/>
          <w:sz w:val="32"/>
          <w:szCs w:val="20"/>
          <w:highlight w:val="none"/>
        </w:rPr>
        <w:t>完善基层应急人员待遇保障，将</w:t>
      </w:r>
      <w:r>
        <w:rPr>
          <w:rFonts w:hint="eastAsia" w:ascii="Times New Roman" w:hAnsi="Times New Roman" w:eastAsia="仿宋_GB2312" w:cs="Times New Roman"/>
          <w:bCs/>
          <w:color w:val="auto"/>
          <w:sz w:val="32"/>
          <w:szCs w:val="20"/>
          <w:highlight w:val="none"/>
          <w:lang w:eastAsia="zh-CN"/>
        </w:rPr>
        <w:t>经区委编办批复的</w:t>
      </w:r>
      <w:r>
        <w:rPr>
          <w:rFonts w:hint="eastAsia" w:ascii="Times New Roman" w:hAnsi="Times New Roman" w:eastAsia="仿宋_GB2312" w:cs="Times New Roman"/>
          <w:bCs/>
          <w:color w:val="auto"/>
          <w:sz w:val="32"/>
          <w:szCs w:val="20"/>
          <w:highlight w:val="none"/>
        </w:rPr>
        <w:t>应急管理综合行政执法技术检查员、从事安全生产监管辅助工作的城市协管员、政府专职消防员等基层应急管理人员待遇保障所需经费纳入地方财政预算，并依据“优绩优酬、职称激励”原则，建立健全差异化薪酬体系。</w:t>
      </w:r>
    </w:p>
    <w:p w14:paraId="1FD2001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71" w:name="_Toc24690"/>
      <w:bookmarkStart w:id="272" w:name="_Toc31361"/>
      <w:bookmarkStart w:id="273" w:name="_Toc2074"/>
      <w:bookmarkStart w:id="274" w:name="_Toc22735"/>
      <w:r>
        <w:rPr>
          <w:rFonts w:hint="eastAsia" w:ascii="Times New Roman" w:hAnsi="Times New Roman" w:eastAsia="黑体" w:cs="黑体"/>
          <w:color w:val="auto"/>
          <w:kern w:val="0"/>
          <w:sz w:val="32"/>
          <w:szCs w:val="32"/>
          <w:highlight w:val="none"/>
          <w:lang w:val="en-US" w:eastAsia="zh-CN" w:bidi="ar-SA"/>
        </w:rPr>
        <w:t>第九章 深耕基层治理创新，夯实基层应急管理能力</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71"/>
      <w:bookmarkEnd w:id="272"/>
      <w:bookmarkEnd w:id="273"/>
      <w:bookmarkEnd w:id="274"/>
    </w:p>
    <w:p w14:paraId="5068C52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一、完善基层应急管理体系</w:t>
      </w:r>
    </w:p>
    <w:p w14:paraId="7C6A2C35">
      <w:pPr>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bCs/>
          <w:color w:val="auto"/>
          <w:sz w:val="32"/>
          <w:szCs w:val="28"/>
          <w:highlight w:val="none"/>
          <w:lang w:eastAsia="zh-CN"/>
        </w:rPr>
      </w:pPr>
      <w:r>
        <w:rPr>
          <w:rFonts w:hint="eastAsia" w:ascii="Times New Roman" w:hAnsi="Times New Roman" w:eastAsia="仿宋_GB2312" w:cs="Times New Roman"/>
          <w:bCs/>
          <w:color w:val="auto"/>
          <w:sz w:val="32"/>
          <w:szCs w:val="28"/>
          <w:highlight w:val="none"/>
        </w:rPr>
        <w:t>健全基层应急管理机制</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lang w:val="en-US" w:eastAsia="zh-CN"/>
        </w:rPr>
        <w:t>推动完善街乡应急管理和消防工作组织体系，优化综合保障或平安建设部门牵头效能。健全</w:t>
      </w:r>
      <w:r>
        <w:rPr>
          <w:rFonts w:hint="eastAsia" w:ascii="Times New Roman" w:hAnsi="Times New Roman" w:eastAsia="仿宋_GB2312" w:cs="Times New Roman"/>
          <w:bCs/>
          <w:color w:val="auto"/>
          <w:sz w:val="32"/>
          <w:szCs w:val="28"/>
          <w:highlight w:val="none"/>
        </w:rPr>
        <w:t>基层应急组织体系建设，充分发挥街乡党建工作协调委员会作用，</w:t>
      </w:r>
      <w:r>
        <w:rPr>
          <w:rFonts w:hint="eastAsia" w:ascii="Times New Roman" w:hAnsi="Times New Roman" w:eastAsia="仿宋_GB2312" w:cs="Times New Roman"/>
          <w:bCs/>
          <w:color w:val="auto"/>
          <w:sz w:val="32"/>
          <w:szCs w:val="28"/>
          <w:highlight w:val="none"/>
          <w:lang w:val="en-US" w:eastAsia="zh-CN"/>
        </w:rPr>
        <w:t>统筹调配</w:t>
      </w:r>
      <w:r>
        <w:rPr>
          <w:rFonts w:hint="eastAsia" w:ascii="Times New Roman" w:hAnsi="Times New Roman" w:eastAsia="仿宋_GB2312" w:cs="Times New Roman"/>
          <w:bCs/>
          <w:color w:val="auto"/>
          <w:sz w:val="32"/>
          <w:szCs w:val="28"/>
          <w:highlight w:val="none"/>
        </w:rPr>
        <w:t>队伍、物资、场所等各类应急资源，建立区、街乡、社区（村）“三级”应急联合体</w:t>
      </w:r>
      <w:r>
        <w:rPr>
          <w:rFonts w:hint="eastAsia" w:ascii="Times New Roman" w:hAnsi="Times New Roman" w:eastAsia="仿宋_GB2312" w:cs="Times New Roman"/>
          <w:bCs/>
          <w:color w:val="auto"/>
          <w:sz w:val="32"/>
          <w:szCs w:val="28"/>
          <w:highlight w:val="none"/>
          <w:lang w:eastAsia="zh-CN"/>
        </w:rPr>
        <w:t>，因地制宜积极探索基层应消一体工作模式</w:t>
      </w:r>
      <w:r>
        <w:rPr>
          <w:rFonts w:hint="eastAsia" w:ascii="Times New Roman" w:hAnsi="Times New Roman" w:eastAsia="仿宋_GB2312" w:cs="Times New Roman"/>
          <w:bCs/>
          <w:color w:val="auto"/>
          <w:sz w:val="32"/>
          <w:szCs w:val="28"/>
          <w:highlight w:val="none"/>
        </w:rPr>
        <w:t>。落实“双报到”和干部下沉机制，将党员骨干编入基层应急队伍，建立“平时组团服务、应急就地入列”响应模式。依托“街乡吹哨、部门报到”和接诉即办机制，条块协同解决基层应急管理工作重点难点问题，形成党组织统一领导、政府依法履责、各类组织积极协同、群众广泛参与的基层应急管理工作格局。细化街乡应急管理工作分工，依托网格化服务管理体系，探索建立“点、线、面”立体应急网格。强化网格员、群测群防员、灾害信息员、灾害风险隐患信息报送员、应急志愿者队伍建设，对成功避险的案例加强表扬奖励和宣传。因地制宜推进应消一体综合救援服务站（点）建设，强化指南指引、试点示范与经验推广。依托党建引领网格治理，推动基层应急网格化建设，将巡查巡护、隐患排查、信息报告、先期处置、疏散撤离、宣传入户纳入网格，健全运行机制。按照事权与支出责任相适应原则，将基层应急经费纳入地方财政预算。</w:t>
      </w:r>
    </w:p>
    <w:p w14:paraId="49615C7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二、提升基层应急响应能力</w:t>
      </w:r>
    </w:p>
    <w:p w14:paraId="3B8FD5AB">
      <w:pPr>
        <w:keepLines w:val="0"/>
        <w:pageBreakBefore w:val="0"/>
        <w:kinsoku/>
        <w:wordWrap/>
        <w:overflowPunct/>
        <w:topLinePunct w:val="0"/>
        <w:autoSpaceDE/>
        <w:autoSpaceDN/>
        <w:bidi w:val="0"/>
        <w:adjustRightInd w:val="0"/>
        <w:snapToGrid w:val="0"/>
        <w:spacing w:line="560" w:lineRule="exact"/>
        <w:ind w:firstLine="640" w:firstLineChars="200"/>
        <w:rPr>
          <w:rFonts w:ascii="Times New Roman" w:hAnsi="Times New Roman" w:eastAsia="仿宋_GB2312" w:cs="Times New Roman"/>
          <w:bCs/>
          <w:color w:val="auto"/>
          <w:sz w:val="32"/>
          <w:szCs w:val="20"/>
          <w:highlight w:val="none"/>
        </w:rPr>
      </w:pPr>
      <w:r>
        <w:rPr>
          <w:rFonts w:hint="eastAsia" w:ascii="Times New Roman" w:hAnsi="Times New Roman" w:eastAsia="仿宋_GB2312" w:cs="Times New Roman"/>
          <w:bCs/>
          <w:color w:val="auto"/>
          <w:sz w:val="32"/>
          <w:szCs w:val="20"/>
          <w:highlight w:val="none"/>
        </w:rPr>
        <w:t>构建极端灾害场景下的应对机制，压缩指挥层级，明确</w:t>
      </w:r>
      <w:r>
        <w:rPr>
          <w:rFonts w:hint="eastAsia" w:ascii="Times New Roman" w:hAnsi="Times New Roman" w:eastAsia="仿宋_GB2312" w:cs="Times New Roman"/>
          <w:bCs/>
          <w:color w:val="auto"/>
          <w:sz w:val="32"/>
          <w:szCs w:val="20"/>
          <w:highlight w:val="none"/>
          <w:lang w:val="en-US" w:eastAsia="zh-CN"/>
        </w:rPr>
        <w:t>街乡</w:t>
      </w:r>
      <w:r>
        <w:rPr>
          <w:rFonts w:hint="eastAsia" w:ascii="Times New Roman" w:hAnsi="Times New Roman" w:eastAsia="仿宋_GB2312" w:cs="Times New Roman"/>
          <w:bCs/>
          <w:color w:val="auto"/>
          <w:sz w:val="32"/>
          <w:szCs w:val="20"/>
          <w:highlight w:val="none"/>
        </w:rPr>
        <w:t>领导干部在应急状态下的指挥权限与处置流程，强化先期处置与社会动员。加强基层应急预案编制，应急预案按区、街乡级管理，延伸到企事业单位、学校、医院、社会组织等。突发事件主责部门和街乡应急指挥部建立“三图两表”（辖区地图、风险分布图、突发事件处置流程图，应急通信联络表、应急指挥与处置分级表）。推进应急指挥部体系建设，强化区应急部门统筹调度，提升协同应急能力，街乡依法先期处置，职能部门协调处置，应急力量专业处置。强化基层应急值守，严格落实市、区应急值守工作管理规范。完善报告制度，推动社区（村）、企业、学校、医院等基层单位落实报告信息的主体责任，建立行业系统和基层突发事件信息管理机制。持续推进应急广播系统建设，拓展应用场景</w:t>
      </w:r>
      <w:r>
        <w:rPr>
          <w:rFonts w:hint="eastAsia" w:ascii="Times New Roman" w:hAnsi="Times New Roman" w:eastAsia="仿宋_GB2312" w:cs="Times New Roman"/>
          <w:bCs/>
          <w:color w:val="auto"/>
          <w:sz w:val="32"/>
          <w:szCs w:val="20"/>
          <w:highlight w:val="none"/>
          <w:lang w:eastAsia="zh-CN"/>
        </w:rPr>
        <w:t>。</w:t>
      </w:r>
      <w:r>
        <w:rPr>
          <w:rFonts w:hint="eastAsia" w:ascii="Times New Roman" w:hAnsi="Times New Roman" w:eastAsia="仿宋_GB2312" w:cs="Times New Roman"/>
          <w:bCs/>
          <w:color w:val="auto"/>
          <w:sz w:val="32"/>
          <w:szCs w:val="20"/>
          <w:highlight w:val="none"/>
        </w:rPr>
        <w:t>提升应急物资响应效能，探索在街乡实施救灾物资前置储备，推动前置专业力量和应急物资装备。</w:t>
      </w:r>
    </w:p>
    <w:p w14:paraId="7E16906C">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三、提升基层应急处置能力</w:t>
      </w:r>
    </w:p>
    <w:p w14:paraId="5BD27792">
      <w:pPr>
        <w:keepLines w:val="0"/>
        <w:pageBreakBefore w:val="0"/>
        <w:kinsoku/>
        <w:wordWrap/>
        <w:overflowPunct/>
        <w:topLinePunct w:val="0"/>
        <w:autoSpaceDE/>
        <w:autoSpaceDN/>
        <w:bidi w:val="0"/>
        <w:adjustRightInd/>
        <w:snapToGrid/>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严格落实应急值守工作管理规范，加强突发事件信息收集和报告。建强基层应急救援力量，指导街乡整合民兵、保安、医务人员等组建专兼职应急救援队伍；鼓励社区（村）以“两委”工作人员、“双报到”党员为主，组建应急响应小分队。建强街乡应急志愿服务队伍，将其纳入重大突发事件应急管理体系，规范各类应急志愿服务组织，打造应急志愿服务品牌。鼓励有条件的街乡组建不少于50人的应急志愿服务队</w:t>
      </w:r>
      <w:r>
        <w:rPr>
          <w:rFonts w:hint="eastAsia" w:ascii="Times New Roman" w:hAnsi="Times New Roman" w:eastAsia="仿宋_GB2312" w:cs="Times New Roman"/>
          <w:bCs/>
          <w:color w:val="auto"/>
          <w:sz w:val="32"/>
          <w:szCs w:val="28"/>
          <w:highlight w:val="none"/>
          <w:lang w:eastAsia="zh-CN"/>
        </w:rPr>
        <w:t>。提升安全评价检测检验机构专业能力，</w:t>
      </w:r>
      <w:r>
        <w:rPr>
          <w:rFonts w:hint="eastAsia" w:ascii="Times New Roman" w:hAnsi="Times New Roman" w:eastAsia="仿宋_GB2312" w:cs="Times New Roman"/>
          <w:bCs/>
          <w:color w:val="auto"/>
          <w:sz w:val="32"/>
          <w:szCs w:val="28"/>
          <w:highlight w:val="none"/>
          <w:lang w:val="en-US" w:eastAsia="zh-CN"/>
        </w:rPr>
        <w:t>实现</w:t>
      </w:r>
      <w:r>
        <w:rPr>
          <w:rFonts w:hint="eastAsia" w:ascii="Times New Roman" w:hAnsi="Times New Roman" w:eastAsia="仿宋_GB2312" w:cs="Times New Roman"/>
          <w:bCs/>
          <w:color w:val="auto"/>
          <w:sz w:val="32"/>
          <w:szCs w:val="28"/>
          <w:highlight w:val="none"/>
          <w:lang w:eastAsia="zh-CN"/>
        </w:rPr>
        <w:t>机构资质合规率、全职技术人员配置达标率达100%。</w:t>
      </w:r>
      <w:r>
        <w:rPr>
          <w:rFonts w:hint="eastAsia" w:ascii="Times New Roman" w:hAnsi="Times New Roman" w:eastAsia="仿宋_GB2312" w:cs="Times New Roman"/>
          <w:bCs/>
          <w:color w:val="auto"/>
          <w:sz w:val="32"/>
          <w:szCs w:val="28"/>
          <w:highlight w:val="none"/>
        </w:rPr>
        <w:t>提升应急联动和实战能力，充分发挥消防救援队伍主力军作用，健全与基层应急救援力量联训联演联战机制，坚持实战导向编制训练计划，探索建立联勤联动机制，提高基层抢险救援能力。鼓励超高层公共建筑、大型商业综合体等社会单位聘用注册消防工程师，鼓励消防技术服务机构参与消防安全治理。开展韧性社区试点</w:t>
      </w:r>
      <w:r>
        <w:rPr>
          <w:rFonts w:hint="eastAsia" w:ascii="Times New Roman" w:hAnsi="Times New Roman" w:eastAsia="仿宋_GB2312" w:cs="Times New Roman"/>
          <w:bCs/>
          <w:color w:val="auto"/>
          <w:sz w:val="32"/>
          <w:szCs w:val="28"/>
          <w:highlight w:val="none"/>
          <w:lang w:val="en-US" w:eastAsia="zh-CN"/>
        </w:rPr>
        <w:t>建设</w:t>
      </w:r>
      <w:r>
        <w:rPr>
          <w:rFonts w:hint="eastAsia" w:ascii="Times New Roman" w:hAnsi="Times New Roman" w:eastAsia="仿宋_GB2312" w:cs="Times New Roman"/>
          <w:bCs/>
          <w:color w:val="auto"/>
          <w:sz w:val="32"/>
          <w:szCs w:val="28"/>
          <w:highlight w:val="none"/>
        </w:rPr>
        <w:t>，在双井、望京等国际化社区</w:t>
      </w:r>
      <w:r>
        <w:rPr>
          <w:rFonts w:hint="eastAsia" w:ascii="Times New Roman" w:hAnsi="Times New Roman" w:eastAsia="仿宋_GB2312" w:cs="Times New Roman"/>
          <w:bCs/>
          <w:color w:val="auto"/>
          <w:sz w:val="32"/>
          <w:szCs w:val="28"/>
          <w:highlight w:val="none"/>
          <w:lang w:val="en-US" w:eastAsia="zh-CN"/>
        </w:rPr>
        <w:t>打造</w:t>
      </w:r>
      <w:r>
        <w:rPr>
          <w:rFonts w:hint="eastAsia" w:ascii="Times New Roman" w:hAnsi="Times New Roman" w:eastAsia="仿宋_GB2312" w:cs="Times New Roman"/>
          <w:bCs/>
          <w:color w:val="auto"/>
          <w:sz w:val="32"/>
          <w:szCs w:val="28"/>
          <w:highlight w:val="none"/>
        </w:rPr>
        <w:t>“韧性社区”示范点</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集成应急避难、医疗救护等功能，探索社区级应急空间建设模式，增强基层防灾减灾</w:t>
      </w:r>
      <w:r>
        <w:rPr>
          <w:rFonts w:hint="eastAsia" w:ascii="Times New Roman" w:hAnsi="Times New Roman" w:eastAsia="仿宋_GB2312" w:cs="Times New Roman"/>
          <w:bCs/>
          <w:color w:val="auto"/>
          <w:sz w:val="32"/>
          <w:szCs w:val="28"/>
          <w:highlight w:val="none"/>
          <w:lang w:val="en-US" w:eastAsia="zh-CN"/>
        </w:rPr>
        <w:t>救灾</w:t>
      </w:r>
      <w:r>
        <w:rPr>
          <w:rFonts w:hint="eastAsia" w:ascii="Times New Roman" w:hAnsi="Times New Roman" w:eastAsia="仿宋_GB2312" w:cs="Times New Roman"/>
          <w:bCs/>
          <w:color w:val="auto"/>
          <w:sz w:val="32"/>
          <w:szCs w:val="28"/>
          <w:highlight w:val="none"/>
        </w:rPr>
        <w:t>能力。</w:t>
      </w:r>
    </w:p>
    <w:p w14:paraId="2E0045B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color w:val="auto"/>
          <w:sz w:val="32"/>
          <w:szCs w:val="32"/>
          <w:highlight w:val="none"/>
          <w:lang w:val="en-US" w:eastAsia="zh-CN"/>
        </w:rPr>
      </w:pPr>
      <w:r>
        <w:rPr>
          <w:rFonts w:hint="eastAsia" w:ascii="Times New Roman" w:hAnsi="Times New Roman" w:eastAsia="楷体_GB2312" w:cs="楷体_GB2312"/>
          <w:bCs/>
          <w:color w:val="auto"/>
          <w:sz w:val="32"/>
          <w:szCs w:val="32"/>
          <w:highlight w:val="none"/>
          <w:lang w:val="en-US" w:eastAsia="zh-CN"/>
        </w:rPr>
        <w:t>四、完善应急宣教培训体系</w:t>
      </w:r>
    </w:p>
    <w:p w14:paraId="0AC5716C">
      <w:pPr>
        <w:keepLines w:val="0"/>
        <w:pageBreakBefore w:val="0"/>
        <w:kinsoku/>
        <w:wordWrap/>
        <w:overflowPunct/>
        <w:topLinePunct w:val="0"/>
        <w:autoSpaceDE/>
        <w:autoSpaceDN/>
        <w:bidi w:val="0"/>
        <w:adjustRightInd w:val="0"/>
        <w:snapToGrid w:val="0"/>
        <w:spacing w:line="560" w:lineRule="exact"/>
        <w:ind w:firstLine="640" w:firstLineChars="200"/>
        <w:jc w:val="left"/>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加强应急宣教培训，统筹相关培训安排，加强基层干部应急管理能力建设，</w:t>
      </w:r>
      <w:r>
        <w:rPr>
          <w:rFonts w:hint="eastAsia" w:ascii="仿宋_GB2312" w:hAnsi="黑体" w:eastAsia="仿宋_GB2312" w:cs="宋体"/>
          <w:b w:val="0"/>
          <w:bCs/>
          <w:color w:val="auto"/>
          <w:kern w:val="0"/>
          <w:sz w:val="32"/>
          <w:szCs w:val="32"/>
          <w:highlight w:val="none"/>
          <w:lang w:val="en-US" w:eastAsia="zh-CN"/>
        </w:rPr>
        <w:t>每</w:t>
      </w:r>
      <w:r>
        <w:rPr>
          <w:rFonts w:hint="default" w:ascii="Times New Roman" w:hAnsi="Times New Roman" w:eastAsia="仿宋_GB2312" w:cs="Times New Roman"/>
          <w:b w:val="0"/>
          <w:bCs/>
          <w:color w:val="auto"/>
          <w:kern w:val="0"/>
          <w:sz w:val="32"/>
          <w:szCs w:val="32"/>
          <w:highlight w:val="none"/>
          <w:lang w:val="en-US" w:eastAsia="zh-CN"/>
        </w:rPr>
        <w:t>5年</w:t>
      </w:r>
      <w:r>
        <w:rPr>
          <w:rFonts w:hint="default" w:ascii="Times New Roman" w:hAnsi="Times New Roman" w:eastAsia="仿宋_GB2312" w:cs="Times New Roman"/>
          <w:b w:val="0"/>
          <w:bCs/>
          <w:color w:val="auto"/>
          <w:kern w:val="0"/>
          <w:sz w:val="32"/>
          <w:szCs w:val="32"/>
          <w:highlight w:val="none"/>
          <w:u w:val="none" w:color="auto"/>
          <w:lang w:val="en-US" w:eastAsia="zh-CN"/>
        </w:rPr>
        <w:t>完成1轮街乡干部培训</w:t>
      </w:r>
      <w:r>
        <w:rPr>
          <w:rFonts w:hint="eastAsia" w:ascii="Times New Roman" w:hAnsi="Times New Roman" w:eastAsia="仿宋_GB2312" w:cs="Times New Roman"/>
          <w:bCs/>
          <w:color w:val="auto"/>
          <w:sz w:val="32"/>
          <w:szCs w:val="28"/>
          <w:highlight w:val="none"/>
        </w:rPr>
        <w:t>。强化全民安全素质宣教培训，结合防灾减灾日、安全生产月、消防宣传月等节点，充分发挥朝阳公共安全馆等科普阵地作用，全面推进安全宣传进企业、进农村、进社区、进学校、进家庭，</w:t>
      </w:r>
      <w:r>
        <w:rPr>
          <w:rFonts w:hint="eastAsia" w:ascii="Times New Roman" w:hAnsi="Times New Roman" w:eastAsia="仿宋_GB2312" w:cs="Times New Roman"/>
          <w:bCs/>
          <w:color w:val="auto"/>
          <w:sz w:val="32"/>
          <w:szCs w:val="28"/>
          <w:highlight w:val="none"/>
          <w:lang w:val="en-US" w:eastAsia="zh-CN"/>
        </w:rPr>
        <w:t>加强“一老一小”等重点人群安全宣传教育</w:t>
      </w:r>
      <w:r>
        <w:rPr>
          <w:rFonts w:hint="eastAsia" w:ascii="Times New Roman" w:hAnsi="Times New Roman" w:eastAsia="仿宋_GB2312" w:cs="Times New Roman"/>
          <w:bCs/>
          <w:color w:val="auto"/>
          <w:sz w:val="32"/>
          <w:szCs w:val="28"/>
          <w:highlight w:val="none"/>
        </w:rPr>
        <w:t>，培育“人人讲安全、个个会应急”的安全文化。实施全民安全宣传教育工程，</w:t>
      </w:r>
      <w:r>
        <w:rPr>
          <w:rFonts w:hint="eastAsia" w:ascii="Times New Roman" w:hAnsi="Times New Roman" w:eastAsia="仿宋_GB2312" w:cs="Times New Roman"/>
          <w:bCs/>
          <w:color w:val="auto"/>
          <w:sz w:val="32"/>
          <w:szCs w:val="28"/>
          <w:highlight w:val="none"/>
          <w:lang w:val="en-US" w:eastAsia="zh-CN"/>
        </w:rPr>
        <w:t>积极</w:t>
      </w:r>
      <w:r>
        <w:rPr>
          <w:rFonts w:hint="eastAsia" w:ascii="Times New Roman" w:hAnsi="Times New Roman" w:eastAsia="仿宋_GB2312" w:cs="Times New Roman"/>
          <w:bCs/>
          <w:color w:val="auto"/>
          <w:sz w:val="32"/>
          <w:szCs w:val="28"/>
          <w:highlight w:val="none"/>
        </w:rPr>
        <w:t>推动安全教育融入全学段及全社会通识教育。建立健全应急科普联动协调机制，推动建立公众科普宣教媒体绿色通道，建设一批具有区域特色的安全应急科普场馆，开发针对不同社会群体的宣教产品，提升基于互联网的科普宣教培训能力。加强应急宣传队伍建设，</w:t>
      </w:r>
      <w:r>
        <w:rPr>
          <w:rFonts w:hint="eastAsia" w:ascii="Times New Roman" w:hAnsi="Times New Roman" w:eastAsia="仿宋_GB2312" w:cs="Times New Roman"/>
          <w:bCs/>
          <w:color w:val="auto"/>
          <w:sz w:val="32"/>
          <w:szCs w:val="28"/>
          <w:highlight w:val="none"/>
          <w:lang w:eastAsia="zh-CN"/>
        </w:rPr>
        <w:t>做好</w:t>
      </w:r>
      <w:r>
        <w:rPr>
          <w:rFonts w:hint="eastAsia" w:ascii="Times New Roman" w:hAnsi="Times New Roman" w:eastAsia="仿宋_GB2312" w:cs="Times New Roman"/>
          <w:bCs/>
          <w:color w:val="auto"/>
          <w:sz w:val="32"/>
          <w:szCs w:val="28"/>
          <w:highlight w:val="none"/>
        </w:rPr>
        <w:t>新闻宣传培训</w:t>
      </w:r>
      <w:r>
        <w:rPr>
          <w:rFonts w:hint="eastAsia" w:ascii="Times New Roman" w:hAnsi="Times New Roman" w:eastAsia="仿宋_GB2312" w:cs="Times New Roman"/>
          <w:bCs/>
          <w:color w:val="auto"/>
          <w:sz w:val="32"/>
          <w:szCs w:val="28"/>
          <w:highlight w:val="none"/>
          <w:lang w:eastAsia="zh-CN"/>
        </w:rPr>
        <w:t>演练</w:t>
      </w:r>
      <w:r>
        <w:rPr>
          <w:rFonts w:hint="eastAsia" w:ascii="Times New Roman" w:hAnsi="Times New Roman" w:eastAsia="仿宋_GB2312" w:cs="Times New Roman"/>
          <w:bCs/>
          <w:color w:val="auto"/>
          <w:sz w:val="32"/>
          <w:szCs w:val="28"/>
          <w:highlight w:val="none"/>
        </w:rPr>
        <w:t>，</w:t>
      </w:r>
      <w:r>
        <w:rPr>
          <w:rFonts w:hint="eastAsia" w:ascii="Times New Roman" w:hAnsi="Times New Roman" w:eastAsia="仿宋_GB2312" w:cs="Times New Roman"/>
          <w:bCs/>
          <w:color w:val="auto"/>
          <w:sz w:val="32"/>
          <w:szCs w:val="28"/>
          <w:highlight w:val="none"/>
          <w:lang w:eastAsia="zh-CN"/>
        </w:rPr>
        <w:t>提升</w:t>
      </w:r>
      <w:r>
        <w:rPr>
          <w:rFonts w:hint="eastAsia" w:ascii="Times New Roman" w:hAnsi="Times New Roman" w:eastAsia="仿宋_GB2312" w:cs="Times New Roman"/>
          <w:bCs/>
          <w:color w:val="auto"/>
          <w:sz w:val="32"/>
          <w:szCs w:val="28"/>
          <w:highlight w:val="none"/>
        </w:rPr>
        <w:t>突发事件舆论引导</w:t>
      </w:r>
      <w:r>
        <w:rPr>
          <w:rFonts w:hint="eastAsia" w:ascii="Times New Roman" w:hAnsi="Times New Roman" w:eastAsia="仿宋_GB2312" w:cs="Times New Roman"/>
          <w:bCs/>
          <w:color w:val="auto"/>
          <w:sz w:val="32"/>
          <w:szCs w:val="28"/>
          <w:highlight w:val="none"/>
          <w:lang w:eastAsia="zh-CN"/>
        </w:rPr>
        <w:t>能力</w:t>
      </w:r>
      <w:r>
        <w:rPr>
          <w:rFonts w:hint="eastAsia" w:ascii="Times New Roman" w:hAnsi="Times New Roman" w:eastAsia="仿宋_GB2312" w:cs="Times New Roman"/>
          <w:bCs/>
          <w:color w:val="auto"/>
          <w:sz w:val="32"/>
          <w:szCs w:val="28"/>
          <w:highlight w:val="none"/>
        </w:rPr>
        <w:t>。</w:t>
      </w:r>
    </w:p>
    <w:p w14:paraId="0BAC8FF8">
      <w:pPr>
        <w:keepLines w:val="0"/>
        <w:pageBreakBefore w:val="0"/>
        <w:kinsoku/>
        <w:wordWrap/>
        <w:overflowPunct/>
        <w:topLinePunct w:val="0"/>
        <w:autoSpaceDE/>
        <w:autoSpaceDN/>
        <w:bidi w:val="0"/>
        <w:spacing w:line="560" w:lineRule="exact"/>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br w:type="page"/>
      </w:r>
    </w:p>
    <w:p w14:paraId="4F1FF257">
      <w:pPr>
        <w:pStyle w:val="28"/>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lang w:val="en-US" w:eastAsia="zh-CN"/>
        </w:rPr>
      </w:pPr>
      <w:bookmarkStart w:id="275" w:name="_Toc22856"/>
      <w:bookmarkStart w:id="276" w:name="_Toc1900"/>
      <w:bookmarkStart w:id="277" w:name="_Toc10760"/>
      <w:bookmarkStart w:id="278" w:name="_Toc3217"/>
      <w:bookmarkStart w:id="279" w:name="_Toc25429"/>
      <w:bookmarkStart w:id="280" w:name="_Toc25600"/>
      <w:bookmarkStart w:id="281" w:name="_Toc25291"/>
      <w:bookmarkStart w:id="282" w:name="_Toc23690"/>
      <w:bookmarkStart w:id="283" w:name="_Toc13499"/>
      <w:bookmarkStart w:id="284" w:name="_Toc29093"/>
      <w:bookmarkStart w:id="285" w:name="_Toc29054"/>
      <w:bookmarkStart w:id="286" w:name="_Toc13474"/>
      <w:bookmarkStart w:id="287" w:name="_Toc26793"/>
      <w:bookmarkStart w:id="288" w:name="_Toc17644"/>
      <w:bookmarkStart w:id="289" w:name="_Toc600"/>
      <w:bookmarkStart w:id="290" w:name="_Toc26315"/>
      <w:bookmarkStart w:id="291" w:name="_Toc29447"/>
      <w:bookmarkStart w:id="292" w:name="_Toc31420"/>
      <w:r>
        <w:rPr>
          <w:rFonts w:hint="eastAsia" w:ascii="Times New Roman" w:hAnsi="Times New Roman" w:eastAsia="方正小标宋简体" w:cs="Times New Roman"/>
          <w:color w:val="auto"/>
          <w:kern w:val="44"/>
          <w:sz w:val="36"/>
          <w:szCs w:val="36"/>
          <w:highlight w:val="none"/>
          <w:lang w:val="en-US" w:eastAsia="zh-CN"/>
        </w:rPr>
        <w:t>第四篇 重点工程</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7E20F43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293" w:name="_Toc19087"/>
      <w:bookmarkStart w:id="294" w:name="_Toc9105"/>
      <w:bookmarkStart w:id="295" w:name="_Toc21684"/>
      <w:bookmarkStart w:id="296" w:name="_Toc6371"/>
      <w:bookmarkStart w:id="297" w:name="_Toc2340"/>
      <w:bookmarkStart w:id="298" w:name="_Toc28083"/>
      <w:bookmarkStart w:id="299" w:name="_Toc17120"/>
      <w:bookmarkStart w:id="300" w:name="_Toc23986"/>
      <w:bookmarkStart w:id="301" w:name="_Toc4003"/>
      <w:bookmarkStart w:id="302" w:name="_Toc10275"/>
      <w:bookmarkStart w:id="303" w:name="_Toc13390"/>
      <w:bookmarkStart w:id="304" w:name="_Toc2763"/>
      <w:bookmarkStart w:id="305" w:name="_Toc13273"/>
      <w:bookmarkStart w:id="306" w:name="_Toc5438"/>
      <w:bookmarkStart w:id="307" w:name="_Toc12023"/>
      <w:bookmarkStart w:id="308" w:name="_Toc32567"/>
      <w:bookmarkStart w:id="309" w:name="_Toc17430"/>
      <w:bookmarkStart w:id="310" w:name="_Toc31247"/>
      <w:bookmarkStart w:id="311" w:name="_Toc1615343075_WPSOffice_Level2"/>
      <w:bookmarkStart w:id="312" w:name="_Toc72507519"/>
      <w:r>
        <w:rPr>
          <w:rFonts w:hint="eastAsia" w:ascii="Times New Roman" w:hAnsi="Times New Roman" w:eastAsia="黑体" w:cs="黑体"/>
          <w:color w:val="auto"/>
          <w:kern w:val="0"/>
          <w:sz w:val="32"/>
          <w:szCs w:val="32"/>
          <w:highlight w:val="none"/>
          <w:lang w:val="en-US" w:eastAsia="zh-CN" w:bidi="ar-SA"/>
        </w:rPr>
        <w:t>第一章 安全韧性城市建设工程</w:t>
      </w:r>
      <w:bookmarkEnd w:id="293"/>
      <w:bookmarkEnd w:id="294"/>
      <w:bookmarkEnd w:id="295"/>
      <w:bookmarkEnd w:id="296"/>
      <w:bookmarkEnd w:id="297"/>
      <w:bookmarkEnd w:id="298"/>
      <w:bookmarkEnd w:id="299"/>
    </w:p>
    <w:p w14:paraId="3D21B0E3">
      <w:pPr>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系统构建多层次韧性体系，建立韧性城市组团档案</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安全风险清单，在区级层面</w:t>
      </w:r>
      <w:r>
        <w:rPr>
          <w:rFonts w:hint="eastAsia" w:ascii="Times New Roman" w:hAnsi="Times New Roman" w:eastAsia="仿宋_GB2312" w:cs="Times New Roman"/>
          <w:bCs/>
          <w:color w:val="auto"/>
          <w:sz w:val="32"/>
          <w:szCs w:val="28"/>
          <w:highlight w:val="none"/>
          <w:lang w:val="en-US" w:eastAsia="zh-CN"/>
        </w:rPr>
        <w:t>推动</w:t>
      </w:r>
      <w:r>
        <w:rPr>
          <w:rFonts w:hint="eastAsia" w:ascii="Times New Roman" w:hAnsi="Times New Roman" w:eastAsia="仿宋_GB2312" w:cs="Times New Roman"/>
          <w:bCs/>
          <w:color w:val="auto"/>
          <w:sz w:val="32"/>
          <w:szCs w:val="28"/>
          <w:highlight w:val="none"/>
        </w:rPr>
        <w:t>城市治理单元自组织自运转，在各行业部门提升公共设施应急响应能力，健全指挥协同与社会共治机制。强化满足韧性</w:t>
      </w:r>
      <w:r>
        <w:rPr>
          <w:rFonts w:hint="eastAsia" w:ascii="Times New Roman" w:hAnsi="Times New Roman" w:eastAsia="仿宋_GB2312" w:cs="Times New Roman"/>
          <w:bCs/>
          <w:color w:val="auto"/>
          <w:sz w:val="32"/>
          <w:szCs w:val="28"/>
          <w:highlight w:val="none"/>
          <w:lang w:val="en-US" w:eastAsia="zh-CN"/>
        </w:rPr>
        <w:t>街乡</w:t>
      </w:r>
      <w:r>
        <w:rPr>
          <w:rFonts w:hint="eastAsia" w:ascii="Times New Roman" w:hAnsi="Times New Roman" w:eastAsia="仿宋_GB2312" w:cs="Times New Roman"/>
          <w:bCs/>
          <w:color w:val="auto"/>
          <w:sz w:val="32"/>
          <w:szCs w:val="28"/>
          <w:highlight w:val="none"/>
        </w:rPr>
        <w:t>单元和韧性社村生活圈等基层单元在极端</w:t>
      </w:r>
      <w:r>
        <w:rPr>
          <w:rFonts w:hint="eastAsia" w:ascii="Times New Roman" w:hAnsi="Times New Roman" w:eastAsia="仿宋_GB2312" w:cs="Times New Roman"/>
          <w:bCs/>
          <w:color w:val="auto"/>
          <w:sz w:val="32"/>
          <w:szCs w:val="28"/>
          <w:highlight w:val="none"/>
          <w:lang w:val="en-US" w:eastAsia="zh-CN"/>
        </w:rPr>
        <w:t>条件</w:t>
      </w:r>
      <w:r>
        <w:rPr>
          <w:rFonts w:hint="eastAsia" w:ascii="Times New Roman" w:hAnsi="Times New Roman" w:eastAsia="仿宋_GB2312" w:cs="Times New Roman"/>
          <w:bCs/>
          <w:color w:val="auto"/>
          <w:sz w:val="32"/>
          <w:szCs w:val="28"/>
          <w:highlight w:val="none"/>
        </w:rPr>
        <w:t>下的内部互助、快速响应和自主应对需求，实现不同区域的互为备份和冗余。提高极端条件应急保障能力，加强供水、能源、通信等关键应急能力建设，增强重点地区、重点行业保供能力。推进海绵城市建设和内涝治理</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实施东小口沟、青年路沟、大柳树支沟治理，启动亮马河、坝河</w:t>
      </w:r>
      <w:r>
        <w:rPr>
          <w:rFonts w:hint="eastAsia" w:ascii="Times New Roman" w:hAnsi="Times New Roman" w:eastAsia="仿宋_GB2312" w:cs="Times New Roman"/>
          <w:bCs/>
          <w:color w:val="auto"/>
          <w:sz w:val="32"/>
          <w:szCs w:val="28"/>
          <w:highlight w:val="none"/>
          <w:lang w:val="en-US" w:eastAsia="zh-CN"/>
        </w:rPr>
        <w:t>等重点段</w:t>
      </w:r>
      <w:r>
        <w:rPr>
          <w:rFonts w:hint="eastAsia" w:ascii="Times New Roman" w:hAnsi="Times New Roman" w:eastAsia="仿宋_GB2312" w:cs="Times New Roman"/>
          <w:bCs/>
          <w:color w:val="auto"/>
          <w:sz w:val="32"/>
          <w:szCs w:val="28"/>
          <w:highlight w:val="none"/>
        </w:rPr>
        <w:t>治理，全面建成坝河口蓄滞洪区工程。加强高风险街乡和多灾易灾村（社区）应急装备配置，逐步构建“小灾能自救、大灾能增援、区域能联动”的救援格局。开展市政基础设施普查与管道老化更新，推进</w:t>
      </w:r>
      <w:r>
        <w:rPr>
          <w:rFonts w:hint="eastAsia" w:ascii="Times New Roman" w:hAnsi="Times New Roman" w:eastAsia="仿宋_GB2312" w:cs="Times New Roman"/>
          <w:bCs/>
          <w:color w:val="auto"/>
          <w:sz w:val="32"/>
          <w:szCs w:val="28"/>
          <w:highlight w:val="none"/>
          <w:lang w:eastAsia="zh-CN"/>
        </w:rPr>
        <w:t>市政管线消隐改造</w:t>
      </w:r>
      <w:r>
        <w:rPr>
          <w:rFonts w:hint="eastAsia" w:ascii="Times New Roman" w:hAnsi="Times New Roman" w:eastAsia="仿宋_GB2312" w:cs="Times New Roman"/>
          <w:bCs/>
          <w:color w:val="auto"/>
          <w:sz w:val="32"/>
          <w:szCs w:val="28"/>
          <w:highlight w:val="none"/>
        </w:rPr>
        <w:t>。增强能源保障，扩建小营东路等区域热力管线。统筹防洪排涝与防灾体系工程，加快易涝区域整治和地下管网改造。结合城市更新，推进酒仙桥、甜水园旧改，深化朝外、三里屯片区焕新，实施危旧楼房和城中村改造。</w:t>
      </w:r>
    </w:p>
    <w:bookmarkEnd w:id="300"/>
    <w:bookmarkEnd w:id="301"/>
    <w:bookmarkEnd w:id="302"/>
    <w:bookmarkEnd w:id="303"/>
    <w:bookmarkEnd w:id="304"/>
    <w:bookmarkEnd w:id="305"/>
    <w:bookmarkEnd w:id="306"/>
    <w:bookmarkEnd w:id="307"/>
    <w:bookmarkEnd w:id="308"/>
    <w:bookmarkEnd w:id="309"/>
    <w:bookmarkEnd w:id="310"/>
    <w:p w14:paraId="2DC3920D">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313" w:name="_Toc3579"/>
      <w:bookmarkStart w:id="314" w:name="_Toc26930"/>
      <w:bookmarkStart w:id="315" w:name="_Toc22799"/>
      <w:bookmarkStart w:id="316" w:name="_Toc14072"/>
      <w:bookmarkStart w:id="317" w:name="_Toc3063"/>
      <w:bookmarkStart w:id="318" w:name="_Toc17953"/>
      <w:bookmarkStart w:id="319" w:name="_Toc72507520"/>
      <w:bookmarkStart w:id="320" w:name="_Toc25826"/>
      <w:bookmarkStart w:id="321" w:name="_Toc2772"/>
      <w:bookmarkStart w:id="322" w:name="_Toc20209"/>
      <w:bookmarkStart w:id="323" w:name="_Toc26336"/>
      <w:bookmarkStart w:id="324" w:name="_Toc21813"/>
      <w:bookmarkStart w:id="325" w:name="_Toc9520"/>
      <w:bookmarkStart w:id="326" w:name="_Toc17806"/>
      <w:bookmarkStart w:id="327" w:name="_Toc15526"/>
      <w:bookmarkStart w:id="328" w:name="_Toc21295"/>
      <w:bookmarkStart w:id="329" w:name="_Toc8103"/>
      <w:bookmarkStart w:id="330" w:name="_Toc47955411"/>
      <w:bookmarkStart w:id="331" w:name="_Toc24126"/>
      <w:bookmarkStart w:id="332" w:name="_Toc29345"/>
      <w:r>
        <w:rPr>
          <w:rFonts w:hint="eastAsia" w:ascii="Times New Roman" w:hAnsi="Times New Roman" w:eastAsia="黑体" w:cs="黑体"/>
          <w:color w:val="auto"/>
          <w:kern w:val="0"/>
          <w:sz w:val="32"/>
          <w:szCs w:val="32"/>
          <w:highlight w:val="none"/>
          <w:lang w:val="en-US" w:eastAsia="zh-CN" w:bidi="ar-SA"/>
        </w:rPr>
        <w:t>第二章 安全生产专项整治工程</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45CA2068">
      <w:pPr>
        <w:keepLines w:val="0"/>
        <w:pageBreakBefore w:val="0"/>
        <w:widowControl w:val="0"/>
        <w:kinsoku/>
        <w:wordWrap/>
        <w:overflowPunct/>
        <w:topLinePunct w:val="0"/>
        <w:autoSpaceDE/>
        <w:autoSpaceDN/>
        <w:bidi w:val="0"/>
        <w:spacing w:line="560" w:lineRule="exact"/>
        <w:ind w:firstLine="640" w:firstLineChars="200"/>
        <w:rPr>
          <w:rFonts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lang w:val="en-US" w:eastAsia="zh-CN"/>
        </w:rPr>
        <w:t>完成并</w:t>
      </w:r>
      <w:r>
        <w:rPr>
          <w:rFonts w:hint="eastAsia" w:ascii="Times New Roman" w:hAnsi="Times New Roman" w:eastAsia="仿宋_GB2312" w:cs="Times New Roman"/>
          <w:bCs/>
          <w:color w:val="auto"/>
          <w:sz w:val="32"/>
          <w:szCs w:val="28"/>
          <w:highlight w:val="none"/>
        </w:rPr>
        <w:t>巩固安全生产治本攻坚三年行动</w:t>
      </w:r>
      <w:r>
        <w:rPr>
          <w:rFonts w:hint="eastAsia" w:ascii="Times New Roman" w:hAnsi="Times New Roman" w:eastAsia="仿宋_GB2312" w:cs="Times New Roman"/>
          <w:bCs/>
          <w:color w:val="auto"/>
          <w:sz w:val="32"/>
          <w:szCs w:val="28"/>
          <w:highlight w:val="none"/>
          <w:lang w:val="en-US" w:eastAsia="zh-CN"/>
        </w:rPr>
        <w:t>成果</w:t>
      </w:r>
      <w:r>
        <w:rPr>
          <w:rFonts w:hint="eastAsia" w:ascii="Times New Roman" w:hAnsi="Times New Roman" w:eastAsia="仿宋_GB2312" w:cs="Times New Roman"/>
          <w:bCs/>
          <w:color w:val="auto"/>
          <w:sz w:val="32"/>
          <w:szCs w:val="28"/>
          <w:highlight w:val="none"/>
        </w:rPr>
        <w:t>，</w:t>
      </w:r>
      <w:r>
        <w:rPr>
          <w:rFonts w:hint="eastAsia" w:ascii="Times New Roman" w:hAnsi="Times New Roman" w:eastAsia="仿宋_GB2312" w:cs="Times New Roman"/>
          <w:bCs/>
          <w:color w:val="auto"/>
          <w:sz w:val="32"/>
          <w:szCs w:val="28"/>
          <w:highlight w:val="none"/>
          <w:lang w:val="en-US" w:eastAsia="zh-CN"/>
        </w:rPr>
        <w:t>聚焦</w:t>
      </w:r>
      <w:r>
        <w:rPr>
          <w:rFonts w:hint="eastAsia" w:ascii="Times New Roman" w:hAnsi="Times New Roman" w:eastAsia="仿宋_GB2312" w:cs="Times New Roman"/>
          <w:bCs/>
          <w:color w:val="auto"/>
          <w:sz w:val="32"/>
          <w:szCs w:val="28"/>
          <w:highlight w:val="none"/>
        </w:rPr>
        <w:t>危险化学品、消防安全、建筑施工、</w:t>
      </w:r>
      <w:r>
        <w:rPr>
          <w:rFonts w:hint="eastAsia" w:ascii="Times New Roman" w:hAnsi="Times New Roman" w:eastAsia="仿宋_GB2312" w:cs="Times New Roman"/>
          <w:bCs/>
          <w:color w:val="auto"/>
          <w:sz w:val="32"/>
          <w:szCs w:val="28"/>
          <w:highlight w:val="none"/>
          <w:lang w:val="en-US" w:eastAsia="zh-CN"/>
        </w:rPr>
        <w:t>道路交通</w:t>
      </w:r>
      <w:r>
        <w:rPr>
          <w:rFonts w:hint="eastAsia" w:ascii="Times New Roman" w:hAnsi="Times New Roman" w:eastAsia="仿宋_GB2312" w:cs="Times New Roman"/>
          <w:bCs/>
          <w:color w:val="auto"/>
          <w:sz w:val="32"/>
          <w:szCs w:val="28"/>
          <w:highlight w:val="none"/>
        </w:rPr>
        <w:t>、</w:t>
      </w:r>
      <w:r>
        <w:rPr>
          <w:rFonts w:hint="eastAsia" w:ascii="Times New Roman" w:hAnsi="Times New Roman" w:eastAsia="仿宋_GB2312" w:cs="Times New Roman"/>
          <w:bCs/>
          <w:color w:val="auto"/>
          <w:sz w:val="32"/>
          <w:szCs w:val="28"/>
          <w:highlight w:val="none"/>
          <w:lang w:val="en-US" w:eastAsia="zh-CN"/>
        </w:rPr>
        <w:t>工贸</w:t>
      </w:r>
      <w:r>
        <w:rPr>
          <w:rFonts w:hint="eastAsia" w:ascii="Times New Roman" w:hAnsi="Times New Roman" w:eastAsia="仿宋_GB2312" w:cs="Times New Roman"/>
          <w:bCs/>
          <w:color w:val="auto"/>
          <w:sz w:val="32"/>
          <w:szCs w:val="28"/>
          <w:highlight w:val="none"/>
        </w:rPr>
        <w:t>等</w:t>
      </w:r>
      <w:r>
        <w:rPr>
          <w:rFonts w:hint="eastAsia" w:ascii="Times New Roman" w:hAnsi="Times New Roman" w:eastAsia="仿宋_GB2312" w:cs="Times New Roman"/>
          <w:bCs/>
          <w:color w:val="auto"/>
          <w:sz w:val="32"/>
          <w:szCs w:val="28"/>
          <w:highlight w:val="none"/>
          <w:lang w:val="en-US" w:eastAsia="zh-CN"/>
        </w:rPr>
        <w:t>重点</w:t>
      </w:r>
      <w:r>
        <w:rPr>
          <w:rFonts w:hint="eastAsia" w:ascii="Times New Roman" w:hAnsi="Times New Roman" w:eastAsia="仿宋_GB2312" w:cs="Times New Roman"/>
          <w:bCs/>
          <w:color w:val="auto"/>
          <w:sz w:val="32"/>
          <w:szCs w:val="28"/>
          <w:highlight w:val="none"/>
        </w:rPr>
        <w:t>行业领域，</w:t>
      </w:r>
      <w:r>
        <w:rPr>
          <w:rFonts w:hint="eastAsia" w:ascii="Times New Roman" w:hAnsi="Times New Roman" w:eastAsia="仿宋_GB2312" w:cs="Times New Roman"/>
          <w:bCs/>
          <w:color w:val="auto"/>
          <w:sz w:val="32"/>
          <w:szCs w:val="28"/>
          <w:highlight w:val="none"/>
          <w:lang w:val="en-US" w:eastAsia="zh-CN"/>
        </w:rPr>
        <w:t>持续强化</w:t>
      </w:r>
      <w:r>
        <w:rPr>
          <w:rFonts w:hint="eastAsia" w:ascii="Times New Roman" w:hAnsi="Times New Roman" w:eastAsia="仿宋_GB2312" w:cs="Times New Roman"/>
          <w:bCs/>
          <w:color w:val="auto"/>
          <w:sz w:val="32"/>
          <w:szCs w:val="28"/>
          <w:highlight w:val="none"/>
        </w:rPr>
        <w:t>“人防、技防、工程防、管理防”措施</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每年组织开展一轮重大事故隐患判定标准宣贯培训，提升重大事故隐患排查能力。</w:t>
      </w:r>
      <w:r>
        <w:rPr>
          <w:rFonts w:hint="eastAsia" w:ascii="Times New Roman" w:hAnsi="Times New Roman" w:eastAsia="仿宋_GB2312" w:cs="Times New Roman"/>
          <w:bCs/>
          <w:color w:val="auto"/>
          <w:sz w:val="32"/>
          <w:szCs w:val="28"/>
          <w:highlight w:val="none"/>
          <w:lang w:val="en-US" w:eastAsia="zh-CN"/>
        </w:rPr>
        <w:t>推动</w:t>
      </w:r>
      <w:r>
        <w:rPr>
          <w:rFonts w:hint="eastAsia" w:ascii="Times New Roman" w:hAnsi="Times New Roman" w:eastAsia="仿宋_GB2312" w:cs="Times New Roman"/>
          <w:bCs/>
          <w:color w:val="auto"/>
          <w:sz w:val="32"/>
          <w:szCs w:val="28"/>
          <w:highlight w:val="none"/>
        </w:rPr>
        <w:t>关口前移</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lang w:val="en-US" w:eastAsia="zh-CN"/>
        </w:rPr>
        <w:t>实行</w:t>
      </w:r>
      <w:r>
        <w:rPr>
          <w:rFonts w:hint="eastAsia" w:ascii="Times New Roman" w:hAnsi="Times New Roman" w:eastAsia="仿宋_GB2312" w:cs="Times New Roman"/>
          <w:bCs/>
          <w:color w:val="auto"/>
          <w:sz w:val="32"/>
          <w:szCs w:val="28"/>
          <w:highlight w:val="none"/>
          <w:lang w:eastAsia="zh-CN"/>
        </w:rPr>
        <w:t>突出问题、</w:t>
      </w:r>
      <w:r>
        <w:rPr>
          <w:rFonts w:hint="eastAsia" w:ascii="Times New Roman" w:hAnsi="Times New Roman" w:eastAsia="仿宋_GB2312" w:cs="Times New Roman"/>
          <w:bCs/>
          <w:color w:val="auto"/>
          <w:sz w:val="32"/>
          <w:szCs w:val="28"/>
          <w:highlight w:val="none"/>
        </w:rPr>
        <w:t>重大事故隐患挂账督办</w:t>
      </w:r>
      <w:r>
        <w:rPr>
          <w:rFonts w:hint="eastAsia" w:ascii="Times New Roman" w:hAnsi="Times New Roman" w:eastAsia="仿宋_GB2312" w:cs="Times New Roman"/>
          <w:bCs/>
          <w:color w:val="auto"/>
          <w:sz w:val="32"/>
          <w:szCs w:val="28"/>
          <w:highlight w:val="none"/>
          <w:lang w:val="en-US" w:eastAsia="zh-CN"/>
        </w:rPr>
        <w:t>和</w:t>
      </w:r>
      <w:r>
        <w:rPr>
          <w:rFonts w:hint="eastAsia" w:ascii="Times New Roman" w:hAnsi="Times New Roman" w:eastAsia="仿宋_GB2312" w:cs="Times New Roman"/>
          <w:bCs/>
          <w:color w:val="auto"/>
          <w:sz w:val="32"/>
          <w:szCs w:val="28"/>
          <w:highlight w:val="none"/>
        </w:rPr>
        <w:t>闭环管理。常态化</w:t>
      </w:r>
      <w:r>
        <w:rPr>
          <w:rFonts w:hint="eastAsia" w:ascii="Times New Roman" w:hAnsi="Times New Roman" w:eastAsia="仿宋_GB2312" w:cs="Times New Roman"/>
          <w:bCs/>
          <w:color w:val="auto"/>
          <w:sz w:val="32"/>
          <w:szCs w:val="28"/>
          <w:highlight w:val="none"/>
          <w:lang w:val="en-US" w:eastAsia="zh-CN"/>
        </w:rPr>
        <w:t>开展</w:t>
      </w:r>
      <w:r>
        <w:rPr>
          <w:rFonts w:hint="eastAsia" w:ascii="Times New Roman" w:hAnsi="Times New Roman" w:eastAsia="仿宋_GB2312" w:cs="Times New Roman"/>
          <w:bCs/>
          <w:color w:val="auto"/>
          <w:sz w:val="32"/>
          <w:szCs w:val="28"/>
          <w:highlight w:val="none"/>
        </w:rPr>
        <w:t>燃气、电动自行车、村民自建出租房、施工动火作业、“双疏散通道”、高层建筑、大屋脊住宅、限额以下工程等重点领域专项整治行动。强化执法监管效能，综合运用“四不两直”、明</w:t>
      </w:r>
      <w:r>
        <w:rPr>
          <w:rFonts w:hint="eastAsia" w:ascii="Times New Roman" w:hAnsi="Times New Roman" w:eastAsia="仿宋_GB2312" w:cs="Times New Roman"/>
          <w:bCs/>
          <w:color w:val="auto"/>
          <w:sz w:val="32"/>
          <w:szCs w:val="28"/>
          <w:highlight w:val="none"/>
          <w:lang w:eastAsia="zh-CN"/>
        </w:rPr>
        <w:t>查</w:t>
      </w:r>
      <w:r>
        <w:rPr>
          <w:rFonts w:hint="eastAsia" w:ascii="Times New Roman" w:hAnsi="Times New Roman" w:eastAsia="仿宋_GB2312" w:cs="Times New Roman"/>
          <w:bCs/>
          <w:color w:val="auto"/>
          <w:sz w:val="32"/>
          <w:szCs w:val="28"/>
          <w:highlight w:val="none"/>
        </w:rPr>
        <w:t>暗访等方式，聚焦重大事故隐患排查整治，强化安全生产举报办案件查处，深入推进精准执法和帮扶行动。依据行业隐患清单逐项排查，依托“企安安”系统健全重大事故隐患数据库，实现“查、改、报”全流程线上闭环管理，建立</w:t>
      </w:r>
      <w:r>
        <w:rPr>
          <w:rFonts w:hint="eastAsia" w:ascii="Times New Roman" w:hAnsi="Times New Roman" w:eastAsia="仿宋_GB2312" w:cs="Times New Roman"/>
          <w:bCs/>
          <w:color w:val="auto"/>
          <w:sz w:val="32"/>
          <w:szCs w:val="28"/>
          <w:highlight w:val="none"/>
          <w:lang w:val="en-US" w:eastAsia="zh-CN"/>
        </w:rPr>
        <w:t>企业</w:t>
      </w:r>
      <w:r>
        <w:rPr>
          <w:rFonts w:hint="eastAsia" w:ascii="Times New Roman" w:hAnsi="Times New Roman" w:eastAsia="仿宋_GB2312" w:cs="Times New Roman"/>
          <w:bCs/>
          <w:color w:val="auto"/>
          <w:sz w:val="32"/>
          <w:szCs w:val="28"/>
          <w:highlight w:val="none"/>
        </w:rPr>
        <w:t>分级分类监管模式，通过标准化清单规范排查，对整改不力企业重点督办。</w:t>
      </w:r>
    </w:p>
    <w:bookmarkEnd w:id="311"/>
    <w:bookmarkEnd w:id="312"/>
    <w:p w14:paraId="78C9AA6A">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333" w:name="_Toc23938"/>
      <w:bookmarkStart w:id="334" w:name="_Toc9492"/>
      <w:bookmarkStart w:id="335" w:name="_Toc3008"/>
      <w:bookmarkStart w:id="336" w:name="_Toc13046"/>
      <w:bookmarkStart w:id="337" w:name="_Toc72507521"/>
      <w:r>
        <w:rPr>
          <w:rFonts w:hint="eastAsia" w:ascii="Times New Roman" w:hAnsi="Times New Roman" w:eastAsia="黑体" w:cs="黑体"/>
          <w:color w:val="auto"/>
          <w:kern w:val="0"/>
          <w:sz w:val="32"/>
          <w:szCs w:val="32"/>
          <w:highlight w:val="none"/>
          <w:lang w:val="en-US" w:eastAsia="zh-CN" w:bidi="ar-SA"/>
        </w:rPr>
        <w:t>第三章 自然灾害综合防治工程</w:t>
      </w:r>
      <w:bookmarkEnd w:id="333"/>
      <w:bookmarkEnd w:id="334"/>
      <w:bookmarkEnd w:id="335"/>
    </w:p>
    <w:p w14:paraId="5F221DD4">
      <w:pPr>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bCs/>
          <w:color w:val="auto"/>
          <w:sz w:val="32"/>
          <w:szCs w:val="28"/>
          <w:highlight w:val="none"/>
          <w:lang w:val="en-US" w:eastAsia="zh-CN"/>
        </w:rPr>
      </w:pPr>
      <w:r>
        <w:rPr>
          <w:rFonts w:hint="eastAsia" w:ascii="Times New Roman" w:hAnsi="Times New Roman" w:eastAsia="仿宋_GB2312" w:cs="Times New Roman"/>
          <w:bCs/>
          <w:color w:val="auto"/>
          <w:sz w:val="32"/>
          <w:szCs w:val="28"/>
          <w:highlight w:val="none"/>
          <w:lang w:val="en-US" w:eastAsia="zh-CN"/>
        </w:rPr>
        <w:t>针对隐患多发点位和监测薄弱区域，补充监测设施，提升灾害风险实时感知与动态监测能力。加强重点区域风险隐患点综合治理和防洪排涝水利工程基础设施建设，全面提升河道行洪能力。结合汛期积水情况，深化内涝治理，通过建设调蓄设施、提高泵站能力、新建雨水管线等措施，因地制宜对三间房金家村下凹桥、管庄通惠河南巡河路下凹桥区等重点下凹桥区、排水系统标准较低路段进行系统治理，消除防汛隐患。提升智慧防汛水平。开展潜在地震风险及主要断层评估，实施活动断层探测和地震构造探查，针对地震灾害风险突出的区域和领域，实施一批风险防控重点工程。统筹老旧房屋改造和抗震加固，持续加强房屋建筑和基础设施工程抗震设防监督管理，规范抗震设防专项审查，消减地震灾害风险。整合应急、气象、水务、交通、地震等各项监测数据，系统推进防汛、地震、森林防火等重点灾种的监测预警体系优化与能力提升，完善多灾种一体化监测网络，强化综合监测布局。</w:t>
      </w:r>
    </w:p>
    <w:p w14:paraId="0844457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338" w:name="_Toc11506"/>
      <w:bookmarkStart w:id="339" w:name="_Toc27485"/>
      <w:bookmarkStart w:id="340" w:name="_Toc11339"/>
      <w:bookmarkStart w:id="341" w:name="_Toc5260"/>
      <w:bookmarkStart w:id="342" w:name="_Toc23825"/>
      <w:bookmarkStart w:id="343" w:name="_Toc22121"/>
      <w:bookmarkStart w:id="344" w:name="_Toc16147"/>
      <w:bookmarkStart w:id="345" w:name="_Toc31782"/>
      <w:bookmarkStart w:id="346" w:name="_Toc24544"/>
      <w:bookmarkStart w:id="347" w:name="_Toc24030"/>
      <w:bookmarkStart w:id="348" w:name="_Toc8141"/>
      <w:bookmarkStart w:id="349" w:name="_Toc5548"/>
      <w:bookmarkStart w:id="350" w:name="_Toc5865"/>
      <w:bookmarkStart w:id="351" w:name="_Toc28186"/>
      <w:bookmarkStart w:id="352" w:name="_Toc29587"/>
      <w:bookmarkStart w:id="353" w:name="_Toc11192"/>
      <w:bookmarkStart w:id="354" w:name="_Toc9772"/>
      <w:bookmarkStart w:id="355" w:name="_Toc10177"/>
      <w:r>
        <w:rPr>
          <w:rFonts w:hint="eastAsia" w:ascii="Times New Roman" w:hAnsi="Times New Roman" w:eastAsia="黑体" w:cs="黑体"/>
          <w:color w:val="auto"/>
          <w:kern w:val="0"/>
          <w:sz w:val="32"/>
          <w:szCs w:val="32"/>
          <w:highlight w:val="none"/>
          <w:lang w:val="en-US" w:eastAsia="zh-CN" w:bidi="ar-SA"/>
        </w:rPr>
        <w:t>第四章</w:t>
      </w:r>
      <w:bookmarkEnd w:id="336"/>
      <w:bookmarkEnd w:id="337"/>
      <w:bookmarkEnd w:id="338"/>
      <w:bookmarkEnd w:id="339"/>
      <w:bookmarkEnd w:id="340"/>
      <w:bookmarkEnd w:id="341"/>
      <w:bookmarkEnd w:id="342"/>
      <w:bookmarkEnd w:id="343"/>
      <w:bookmarkEnd w:id="344"/>
      <w:bookmarkEnd w:id="345"/>
      <w:bookmarkEnd w:id="346"/>
      <w:r>
        <w:rPr>
          <w:rFonts w:hint="eastAsia" w:ascii="Times New Roman" w:hAnsi="Times New Roman" w:eastAsia="黑体" w:cs="黑体"/>
          <w:color w:val="auto"/>
          <w:kern w:val="0"/>
          <w:sz w:val="32"/>
          <w:szCs w:val="32"/>
          <w:highlight w:val="none"/>
          <w:lang w:val="en-US" w:eastAsia="zh-CN" w:bidi="ar-SA"/>
        </w:rPr>
        <w:t xml:space="preserve"> 应急救援队伍提升工程</w:t>
      </w:r>
      <w:bookmarkEnd w:id="347"/>
      <w:bookmarkEnd w:id="348"/>
      <w:bookmarkEnd w:id="349"/>
      <w:bookmarkEnd w:id="350"/>
      <w:bookmarkEnd w:id="351"/>
      <w:bookmarkEnd w:id="352"/>
      <w:bookmarkEnd w:id="353"/>
      <w:bookmarkEnd w:id="354"/>
      <w:bookmarkEnd w:id="355"/>
    </w:p>
    <w:p w14:paraId="6B502F38">
      <w:pPr>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lang w:val="en-US" w:eastAsia="zh-CN"/>
        </w:rPr>
        <w:t>构建</w:t>
      </w:r>
      <w:r>
        <w:rPr>
          <w:rFonts w:hint="eastAsia" w:ascii="Times New Roman" w:hAnsi="Times New Roman" w:eastAsia="仿宋_GB2312" w:cs="Times New Roman"/>
          <w:bCs/>
          <w:color w:val="auto"/>
          <w:sz w:val="32"/>
          <w:szCs w:val="28"/>
          <w:highlight w:val="none"/>
        </w:rPr>
        <w:t>与朝阳区经济社会发展水平相适应</w:t>
      </w:r>
      <w:r>
        <w:rPr>
          <w:rFonts w:hint="eastAsia" w:ascii="Times New Roman" w:hAnsi="Times New Roman" w:eastAsia="仿宋_GB2312" w:cs="Times New Roman"/>
          <w:bCs/>
          <w:color w:val="auto"/>
          <w:sz w:val="32"/>
          <w:szCs w:val="28"/>
          <w:highlight w:val="none"/>
          <w:lang w:val="en-US" w:eastAsia="zh-CN"/>
        </w:rPr>
        <w:t>的立体化专业救援网络，全面</w:t>
      </w:r>
      <w:r>
        <w:rPr>
          <w:rFonts w:hint="eastAsia" w:ascii="Times New Roman" w:hAnsi="Times New Roman" w:eastAsia="仿宋_GB2312" w:cs="Times New Roman"/>
          <w:bCs/>
          <w:color w:val="auto"/>
          <w:sz w:val="32"/>
          <w:szCs w:val="28"/>
          <w:highlight w:val="none"/>
        </w:rPr>
        <w:t>提升应急救援</w:t>
      </w:r>
      <w:r>
        <w:rPr>
          <w:rFonts w:hint="eastAsia" w:ascii="Times New Roman" w:hAnsi="Times New Roman" w:eastAsia="仿宋_GB2312" w:cs="Times New Roman"/>
          <w:bCs/>
          <w:color w:val="auto"/>
          <w:sz w:val="32"/>
          <w:szCs w:val="28"/>
          <w:highlight w:val="none"/>
          <w:lang w:val="en-US" w:eastAsia="zh-CN"/>
        </w:rPr>
        <w:t>综合</w:t>
      </w:r>
      <w:r>
        <w:rPr>
          <w:rFonts w:hint="eastAsia" w:ascii="Times New Roman" w:hAnsi="Times New Roman" w:eastAsia="仿宋_GB2312" w:cs="Times New Roman"/>
          <w:bCs/>
          <w:color w:val="auto"/>
          <w:sz w:val="32"/>
          <w:szCs w:val="28"/>
          <w:highlight w:val="none"/>
        </w:rPr>
        <w:t>保障能力。加快推进</w:t>
      </w:r>
      <w:r>
        <w:rPr>
          <w:rFonts w:hint="eastAsia" w:ascii="Times New Roman" w:hAnsi="Times New Roman" w:eastAsia="仿宋_GB2312" w:cs="Times New Roman"/>
          <w:bCs/>
          <w:color w:val="auto"/>
          <w:sz w:val="32"/>
          <w:szCs w:val="28"/>
          <w:highlight w:val="none"/>
          <w:lang w:val="en-US" w:eastAsia="zh-CN"/>
        </w:rPr>
        <w:t>专业化、规范化</w:t>
      </w:r>
      <w:r>
        <w:rPr>
          <w:rFonts w:hint="eastAsia" w:ascii="Times New Roman" w:hAnsi="Times New Roman" w:eastAsia="仿宋_GB2312" w:cs="Times New Roman"/>
          <w:bCs/>
          <w:color w:val="auto"/>
          <w:sz w:val="32"/>
          <w:szCs w:val="28"/>
          <w:highlight w:val="none"/>
        </w:rPr>
        <w:t>应急救援队伍建设，</w:t>
      </w:r>
      <w:r>
        <w:rPr>
          <w:rFonts w:hint="eastAsia" w:ascii="Times New Roman" w:hAnsi="Times New Roman" w:eastAsia="仿宋_GB2312" w:cs="Times New Roman"/>
          <w:bCs/>
          <w:color w:val="auto"/>
          <w:sz w:val="32"/>
          <w:szCs w:val="28"/>
          <w:highlight w:val="none"/>
          <w:lang w:val="en-US" w:eastAsia="zh-CN"/>
        </w:rPr>
        <w:t>深入实施</w:t>
      </w:r>
      <w:r>
        <w:rPr>
          <w:rFonts w:hint="eastAsia" w:ascii="Times New Roman" w:hAnsi="Times New Roman" w:eastAsia="仿宋_GB2312" w:cs="Times New Roman"/>
          <w:bCs/>
          <w:color w:val="auto"/>
          <w:sz w:val="32"/>
          <w:szCs w:val="28"/>
          <w:highlight w:val="none"/>
        </w:rPr>
        <w:t>“全灾种”应急救援队伍建设</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充分</w:t>
      </w:r>
      <w:r>
        <w:rPr>
          <w:rFonts w:hint="eastAsia" w:ascii="Times New Roman" w:hAnsi="Times New Roman" w:eastAsia="仿宋_GB2312" w:cs="Times New Roman"/>
          <w:bCs/>
          <w:color w:val="auto"/>
          <w:sz w:val="32"/>
          <w:szCs w:val="28"/>
          <w:highlight w:val="none"/>
          <w:lang w:val="en-US" w:eastAsia="zh-CN"/>
        </w:rPr>
        <w:t>整合</w:t>
      </w:r>
      <w:r>
        <w:rPr>
          <w:rFonts w:hint="eastAsia" w:ascii="Times New Roman" w:hAnsi="Times New Roman" w:eastAsia="仿宋_GB2312" w:cs="Times New Roman"/>
          <w:bCs/>
          <w:color w:val="auto"/>
          <w:sz w:val="32"/>
          <w:szCs w:val="28"/>
          <w:highlight w:val="none"/>
        </w:rPr>
        <w:t>行业部门专业队伍、国有大中型企业等现有优势救援力量，</w:t>
      </w:r>
      <w:r>
        <w:rPr>
          <w:rFonts w:hint="eastAsia" w:ascii="Times New Roman" w:hAnsi="Times New Roman" w:eastAsia="仿宋_GB2312" w:cs="Times New Roman"/>
          <w:bCs/>
          <w:color w:val="auto"/>
          <w:sz w:val="32"/>
          <w:szCs w:val="28"/>
          <w:highlight w:val="none"/>
          <w:lang w:val="en-US" w:eastAsia="zh-CN"/>
        </w:rPr>
        <w:t>聚焦</w:t>
      </w:r>
      <w:r>
        <w:rPr>
          <w:rFonts w:hint="eastAsia" w:ascii="Times New Roman" w:hAnsi="Times New Roman" w:eastAsia="仿宋_GB2312" w:cs="Times New Roman"/>
          <w:bCs/>
          <w:color w:val="auto"/>
          <w:sz w:val="32"/>
          <w:szCs w:val="28"/>
          <w:highlight w:val="none"/>
        </w:rPr>
        <w:t>洪涝灾害、森林火灾等自然灾害</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lang w:val="en-US" w:eastAsia="zh-CN"/>
        </w:rPr>
        <w:t>以及</w:t>
      </w:r>
      <w:r>
        <w:rPr>
          <w:rFonts w:hint="eastAsia" w:ascii="Times New Roman" w:hAnsi="Times New Roman" w:eastAsia="仿宋_GB2312" w:cs="Times New Roman"/>
          <w:bCs/>
          <w:color w:val="auto"/>
          <w:sz w:val="32"/>
          <w:szCs w:val="28"/>
          <w:highlight w:val="none"/>
        </w:rPr>
        <w:t>危险化学品、地铁（隧道）、城市公用事业等重点领域</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lang w:val="en-US" w:eastAsia="zh-CN"/>
        </w:rPr>
        <w:t>系统组建并强化</w:t>
      </w:r>
      <w:r>
        <w:rPr>
          <w:rFonts w:hint="eastAsia" w:ascii="Times New Roman" w:hAnsi="Times New Roman" w:eastAsia="仿宋_GB2312" w:cs="Times New Roman"/>
          <w:bCs/>
          <w:color w:val="auto"/>
          <w:sz w:val="32"/>
          <w:szCs w:val="28"/>
          <w:highlight w:val="none"/>
        </w:rPr>
        <w:t>区级专业应急救援队伍。持续推进应急救援人员职业化、专业化水平提升，组织专业应急救援队伍和社会应急力量参加“应急救援员”职业能力资格认证</w:t>
      </w:r>
      <w:r>
        <w:rPr>
          <w:rFonts w:hint="eastAsia" w:ascii="Times New Roman" w:hAnsi="Times New Roman" w:eastAsia="仿宋_GB2312" w:cs="Times New Roman"/>
          <w:bCs/>
          <w:color w:val="auto"/>
          <w:sz w:val="32"/>
          <w:szCs w:val="28"/>
          <w:highlight w:val="none"/>
          <w:lang w:eastAsia="zh-CN"/>
        </w:rPr>
        <w:t>。</w:t>
      </w:r>
      <w:r>
        <w:rPr>
          <w:rFonts w:hint="eastAsia" w:ascii="Times New Roman" w:hAnsi="Times New Roman" w:eastAsia="仿宋_GB2312" w:cs="Times New Roman"/>
          <w:bCs/>
          <w:color w:val="auto"/>
          <w:sz w:val="32"/>
          <w:szCs w:val="28"/>
          <w:highlight w:val="none"/>
        </w:rPr>
        <w:t>定期开展多部门、多力量参与的综合应急演练，强化防内涝、防极端天气等专项训练，切实提高防范化解重大安全风险能力。加强综合协调和指挥机制建设，引导社会应急力量规范、有序参与应急救援行动，统筹推进防灾减灾救灾工作协同发展，确保城市运行安全</w:t>
      </w:r>
      <w:r>
        <w:rPr>
          <w:rFonts w:hint="eastAsia" w:ascii="Times New Roman" w:hAnsi="Times New Roman" w:eastAsia="仿宋_GB2312" w:cs="Times New Roman"/>
          <w:bCs/>
          <w:color w:val="auto"/>
          <w:sz w:val="32"/>
          <w:szCs w:val="28"/>
          <w:highlight w:val="none"/>
          <w:lang w:eastAsia="zh-CN"/>
        </w:rPr>
        <w:t>。</w:t>
      </w:r>
    </w:p>
    <w:p w14:paraId="28ECF83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356" w:name="_Toc25963"/>
      <w:bookmarkStart w:id="357" w:name="_Toc12973"/>
      <w:bookmarkStart w:id="358" w:name="_Toc21561"/>
      <w:bookmarkStart w:id="359" w:name="_Toc25528"/>
      <w:bookmarkStart w:id="360" w:name="_Toc28174"/>
      <w:bookmarkStart w:id="361" w:name="_Toc24704"/>
      <w:bookmarkStart w:id="362" w:name="_Toc31006"/>
      <w:bookmarkStart w:id="363" w:name="_Toc28157"/>
      <w:bookmarkStart w:id="364" w:name="_Toc19055"/>
      <w:bookmarkStart w:id="365" w:name="_Toc3466"/>
      <w:bookmarkStart w:id="366" w:name="_Toc7016"/>
      <w:bookmarkStart w:id="367" w:name="_Toc7995"/>
      <w:bookmarkStart w:id="368" w:name="_Toc2592"/>
      <w:r>
        <w:rPr>
          <w:rFonts w:hint="eastAsia" w:ascii="Times New Roman" w:hAnsi="Times New Roman" w:eastAsia="黑体" w:cs="黑体"/>
          <w:color w:val="auto"/>
          <w:kern w:val="0"/>
          <w:sz w:val="32"/>
          <w:szCs w:val="32"/>
          <w:highlight w:val="none"/>
          <w:lang w:val="en-US" w:eastAsia="zh-CN" w:bidi="ar-SA"/>
        </w:rPr>
        <w:t>第五章</w:t>
      </w:r>
      <w:bookmarkStart w:id="369" w:name="OLE_LINK25"/>
      <w:bookmarkStart w:id="370" w:name="OLE_LINK24"/>
      <w:r>
        <w:rPr>
          <w:rFonts w:hint="eastAsia" w:ascii="Times New Roman" w:hAnsi="Times New Roman" w:eastAsia="黑体" w:cs="黑体"/>
          <w:color w:val="auto"/>
          <w:kern w:val="0"/>
          <w:sz w:val="32"/>
          <w:szCs w:val="32"/>
          <w:highlight w:val="none"/>
          <w:lang w:val="en-US" w:eastAsia="zh-CN" w:bidi="ar-SA"/>
        </w:rPr>
        <w:t xml:space="preserve"> 应急物资</w:t>
      </w:r>
      <w:bookmarkStart w:id="371" w:name="OLE_LINK34"/>
      <w:r>
        <w:rPr>
          <w:rFonts w:hint="eastAsia" w:ascii="Times New Roman" w:hAnsi="Times New Roman" w:eastAsia="黑体" w:cs="黑体"/>
          <w:color w:val="auto"/>
          <w:kern w:val="0"/>
          <w:sz w:val="32"/>
          <w:szCs w:val="32"/>
          <w:highlight w:val="none"/>
          <w:lang w:val="en-US" w:eastAsia="zh-CN" w:bidi="ar-SA"/>
        </w:rPr>
        <w:t>储备</w:t>
      </w:r>
      <w:bookmarkEnd w:id="371"/>
      <w:r>
        <w:rPr>
          <w:rFonts w:hint="eastAsia" w:ascii="Times New Roman" w:hAnsi="Times New Roman" w:eastAsia="黑体" w:cs="黑体"/>
          <w:color w:val="auto"/>
          <w:kern w:val="0"/>
          <w:sz w:val="32"/>
          <w:szCs w:val="32"/>
          <w:highlight w:val="none"/>
          <w:lang w:val="en-US" w:eastAsia="zh-CN" w:bidi="ar-SA"/>
        </w:rPr>
        <w:t>库建设工程</w:t>
      </w:r>
      <w:bookmarkEnd w:id="356"/>
      <w:bookmarkEnd w:id="357"/>
      <w:bookmarkEnd w:id="358"/>
      <w:bookmarkEnd w:id="359"/>
      <w:bookmarkEnd w:id="360"/>
      <w:bookmarkEnd w:id="361"/>
      <w:bookmarkEnd w:id="362"/>
      <w:bookmarkEnd w:id="363"/>
      <w:bookmarkEnd w:id="364"/>
      <w:bookmarkEnd w:id="365"/>
      <w:bookmarkEnd w:id="366"/>
      <w:bookmarkEnd w:id="367"/>
      <w:bookmarkEnd w:id="368"/>
    </w:p>
    <w:bookmarkEnd w:id="369"/>
    <w:bookmarkEnd w:id="370"/>
    <w:p w14:paraId="6C80600E">
      <w:pPr>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加快推动区级应急物资储备库建设项目，做好区级应急物资储备库的选址工作，建设区级综合性应急物资储备库库房。加快推进标准化应急</w:t>
      </w:r>
      <w:bookmarkStart w:id="494" w:name="_GoBack"/>
      <w:bookmarkEnd w:id="494"/>
      <w:r>
        <w:rPr>
          <w:rFonts w:hint="eastAsia" w:ascii="Times New Roman" w:hAnsi="Times New Roman" w:eastAsia="仿宋_GB2312" w:cs="Times New Roman"/>
          <w:bCs/>
          <w:color w:val="auto"/>
          <w:sz w:val="32"/>
          <w:szCs w:val="28"/>
          <w:highlight w:val="none"/>
        </w:rPr>
        <w:t>物资库建设，补齐硬件设施短板。科学规划应急物资仓储布局，实现街乡物资储备点全覆盖。推广“政府+市场+社会”三方协同的储备模式，探索统筹利用企业、个人仓储等设施，采取签订协议储备合同、协议供货合同、委托代储等多种方式，实施应急物资社会化储备。持续增强应对重特大突发事件的物资保障能力，弥补应急物资储备能力短板。</w:t>
      </w:r>
    </w:p>
    <w:p w14:paraId="222EB5A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372" w:name="_Toc22385"/>
      <w:bookmarkStart w:id="373" w:name="_Toc4719"/>
      <w:bookmarkStart w:id="374" w:name="_Toc21905"/>
      <w:bookmarkStart w:id="375" w:name="_Toc13496"/>
      <w:bookmarkStart w:id="376" w:name="_Toc5676"/>
      <w:bookmarkStart w:id="377" w:name="_Toc7086"/>
      <w:bookmarkStart w:id="378" w:name="_Toc18824"/>
      <w:bookmarkStart w:id="379" w:name="_Toc18822"/>
      <w:bookmarkStart w:id="380" w:name="_Toc23436"/>
      <w:bookmarkStart w:id="381" w:name="_Toc3128"/>
      <w:bookmarkStart w:id="382" w:name="_Toc13027"/>
      <w:bookmarkStart w:id="383" w:name="_Toc14812"/>
      <w:bookmarkStart w:id="384" w:name="_Toc25203"/>
      <w:r>
        <w:rPr>
          <w:rFonts w:hint="eastAsia" w:ascii="Times New Roman" w:hAnsi="Times New Roman" w:eastAsia="黑体" w:cs="黑体"/>
          <w:color w:val="auto"/>
          <w:kern w:val="0"/>
          <w:sz w:val="32"/>
          <w:szCs w:val="32"/>
          <w:highlight w:val="none"/>
          <w:lang w:val="en-US" w:eastAsia="zh-CN" w:bidi="ar-SA"/>
        </w:rPr>
        <w:t>第六章 应急避险空间建设工程</w:t>
      </w:r>
      <w:bookmarkEnd w:id="372"/>
      <w:bookmarkEnd w:id="373"/>
      <w:bookmarkEnd w:id="374"/>
      <w:bookmarkEnd w:id="375"/>
      <w:bookmarkEnd w:id="376"/>
      <w:bookmarkEnd w:id="377"/>
      <w:bookmarkEnd w:id="378"/>
      <w:bookmarkEnd w:id="379"/>
      <w:bookmarkEnd w:id="380"/>
      <w:bookmarkEnd w:id="381"/>
      <w:bookmarkEnd w:id="382"/>
      <w:bookmarkEnd w:id="383"/>
      <w:bookmarkEnd w:id="384"/>
    </w:p>
    <w:p w14:paraId="69A64517">
      <w:pPr>
        <w:keepLines w:val="0"/>
        <w:pageBreakBefore w:val="0"/>
        <w:kinsoku/>
        <w:wordWrap/>
        <w:overflowPunct/>
        <w:topLinePunct w:val="0"/>
        <w:autoSpaceDE/>
        <w:autoSpaceDN/>
        <w:bidi w:val="0"/>
        <w:spacing w:line="560" w:lineRule="exact"/>
        <w:ind w:firstLine="640" w:firstLineChars="200"/>
        <w:rPr>
          <w:rFonts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扎实推进应急避难场所建设，加快构建布局均衡、功能完备、安全可靠的应急避难空间体系，切实增强城市综合应急保障能力。推进存量设施提质升级，对4</w:t>
      </w:r>
      <w:r>
        <w:rPr>
          <w:rFonts w:ascii="Times New Roman" w:hAnsi="Times New Roman" w:eastAsia="仿宋_GB2312" w:cs="Times New Roman"/>
          <w:bCs/>
          <w:color w:val="auto"/>
          <w:sz w:val="32"/>
          <w:szCs w:val="28"/>
          <w:highlight w:val="none"/>
        </w:rPr>
        <w:t>5</w:t>
      </w:r>
      <w:r>
        <w:rPr>
          <w:rFonts w:hint="eastAsia" w:ascii="Times New Roman" w:hAnsi="Times New Roman" w:eastAsia="仿宋_GB2312" w:cs="Times New Roman"/>
          <w:bCs/>
          <w:color w:val="auto"/>
          <w:sz w:val="32"/>
          <w:szCs w:val="28"/>
          <w:highlight w:val="none"/>
        </w:rPr>
        <w:t>处公园、绿地、广场、体育场等应急避难场所实施系统性更新改造，推动功能由单一地震避难向综合应急避难转型。重点开展场所总体规划与平面设计优化，科学增配功能区域，全面更换符合最新标准的标志标识系统，切实保障场所基本功能与标准化管理水平。加快增量场所科学布局，依托全区学校、体育馆、公园等公共服务设施资源，新规划建设一批综合性应急避难场所。推进人防工程兼顾应急避难场所建设，实现灾时紧急避难、战时人员疏散的平战结合效益。</w:t>
      </w:r>
    </w:p>
    <w:p w14:paraId="3E30137A">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default" w:ascii="Times New Roman" w:hAnsi="Times New Roman" w:eastAsia="黑体" w:cs="黑体"/>
          <w:color w:val="auto"/>
          <w:kern w:val="0"/>
          <w:sz w:val="32"/>
          <w:szCs w:val="32"/>
          <w:highlight w:val="none"/>
          <w:lang w:val="en-US" w:eastAsia="zh-CN" w:bidi="ar-SA"/>
        </w:rPr>
      </w:pPr>
      <w:bookmarkStart w:id="385" w:name="_Toc18304"/>
      <w:bookmarkStart w:id="386" w:name="_Toc11763"/>
      <w:bookmarkStart w:id="387" w:name="_Toc15341"/>
      <w:bookmarkStart w:id="388" w:name="_Toc19889"/>
      <w:bookmarkStart w:id="389" w:name="_Toc23571"/>
      <w:bookmarkStart w:id="390" w:name="_Toc1689"/>
      <w:bookmarkStart w:id="391" w:name="_Toc30222"/>
      <w:bookmarkStart w:id="392" w:name="_Toc15388"/>
      <w:bookmarkStart w:id="393" w:name="_Toc16068"/>
      <w:bookmarkStart w:id="394" w:name="_Toc1862"/>
      <w:bookmarkStart w:id="395" w:name="_Toc16960"/>
      <w:bookmarkStart w:id="396" w:name="_Toc20207"/>
      <w:bookmarkStart w:id="397" w:name="_Toc15957"/>
      <w:bookmarkStart w:id="398" w:name="_Toc26523"/>
      <w:bookmarkStart w:id="399" w:name="_Toc21475"/>
      <w:bookmarkStart w:id="400" w:name="_Toc31099"/>
      <w:bookmarkStart w:id="401" w:name="_Toc11181"/>
      <w:bookmarkStart w:id="402" w:name="_Toc8838"/>
      <w:bookmarkStart w:id="403" w:name="_Toc72507524"/>
      <w:r>
        <w:rPr>
          <w:rFonts w:hint="eastAsia" w:ascii="Times New Roman" w:hAnsi="Times New Roman" w:eastAsia="黑体" w:cs="黑体"/>
          <w:color w:val="auto"/>
          <w:kern w:val="0"/>
          <w:sz w:val="32"/>
          <w:szCs w:val="32"/>
          <w:highlight w:val="none"/>
          <w:lang w:val="en-US" w:eastAsia="zh-CN" w:bidi="ar-SA"/>
        </w:rPr>
        <w:t>第七章 应急消防一体化工作站建设工程</w:t>
      </w:r>
      <w:bookmarkEnd w:id="385"/>
      <w:bookmarkEnd w:id="386"/>
      <w:bookmarkEnd w:id="387"/>
      <w:bookmarkEnd w:id="388"/>
      <w:bookmarkEnd w:id="389"/>
      <w:bookmarkEnd w:id="390"/>
      <w:bookmarkEnd w:id="391"/>
    </w:p>
    <w:p w14:paraId="44AC52EA">
      <w:pPr>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通过分批、分期建设，力争实现朝阳区所有街乡建成以“应消一体、站队一体、防</w:t>
      </w:r>
      <w:r>
        <w:rPr>
          <w:rFonts w:hint="eastAsia" w:ascii="仿宋_GB2312" w:hAnsi="仿宋_GB2312" w:eastAsia="仿宋_GB2312" w:cs="仿宋_GB2312"/>
          <w:color w:val="auto"/>
          <w:sz w:val="32"/>
          <w:szCs w:val="32"/>
          <w:highlight w:val="none"/>
          <w:lang w:val="en-US" w:eastAsia="zh-CN"/>
        </w:rPr>
        <w:t>救</w:t>
      </w:r>
      <w:r>
        <w:rPr>
          <w:rFonts w:hint="eastAsia" w:ascii="仿宋_GB2312" w:hAnsi="仿宋_GB2312" w:eastAsia="仿宋_GB2312" w:cs="仿宋_GB2312"/>
          <w:color w:val="auto"/>
          <w:sz w:val="32"/>
          <w:szCs w:val="32"/>
          <w:highlight w:val="none"/>
        </w:rPr>
        <w:t>一体”为核心（即应急与消防职能融合、基层站点与救援队伍整合、防灾与救灾协同）的应消一体化工作站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探索构建应消一体综合救援模式，打破部门壁垒，整合基层应急管理和消防救援的职能、人员、装备等资源，统筹安全生产、消防安全、自然灾害防治、应急救援等，构建统一指挥体系，建立健全运行机制，切实打通基层应急管理的“最后一公里”，提高基层应对各类灾害事故的综合能力，夯实城市运行安全基础。</w:t>
      </w:r>
    </w:p>
    <w:p w14:paraId="1D3B53E6">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404" w:name="_Toc6831"/>
      <w:bookmarkStart w:id="405" w:name="_Toc32061"/>
      <w:bookmarkStart w:id="406" w:name="_Toc13789"/>
      <w:bookmarkStart w:id="407" w:name="_Toc24697"/>
      <w:bookmarkStart w:id="408" w:name="_Toc12233"/>
      <w:bookmarkStart w:id="409" w:name="_Toc14772"/>
      <w:bookmarkStart w:id="410" w:name="_Toc16750"/>
      <w:r>
        <w:rPr>
          <w:rFonts w:hint="eastAsia" w:ascii="Times New Roman" w:hAnsi="Times New Roman" w:eastAsia="黑体" w:cs="黑体"/>
          <w:color w:val="auto"/>
          <w:kern w:val="0"/>
          <w:sz w:val="32"/>
          <w:szCs w:val="32"/>
          <w:highlight w:val="none"/>
          <w:lang w:val="en-US" w:eastAsia="zh-CN" w:bidi="ar-SA"/>
        </w:rPr>
        <w:t>第八章 智慧应急能力提升工程</w:t>
      </w:r>
      <w:bookmarkEnd w:id="392"/>
      <w:bookmarkEnd w:id="393"/>
      <w:bookmarkEnd w:id="394"/>
      <w:bookmarkEnd w:id="395"/>
      <w:bookmarkEnd w:id="396"/>
      <w:bookmarkEnd w:id="397"/>
      <w:bookmarkEnd w:id="398"/>
      <w:bookmarkEnd w:id="399"/>
      <w:bookmarkEnd w:id="400"/>
      <w:bookmarkEnd w:id="401"/>
      <w:bookmarkEnd w:id="402"/>
      <w:bookmarkEnd w:id="404"/>
      <w:bookmarkEnd w:id="405"/>
      <w:bookmarkEnd w:id="406"/>
      <w:bookmarkEnd w:id="407"/>
      <w:bookmarkEnd w:id="408"/>
      <w:bookmarkEnd w:id="409"/>
      <w:bookmarkEnd w:id="410"/>
    </w:p>
    <w:p w14:paraId="1BFF148B">
      <w:pPr>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t>推进区应急指挥中心建设，升级城市公共安全应急指挥调度系统，收集各类应急基础数据，强化信息联动、预警发布和风险研判能力。以共建共用为基础，加强通知通告、应急值守、信息报送和预警信息发布功能。提升应急指挥部与相关行业主管部门、重点单位之间的实时联通能力，推动视频会商、数据共享、资源调度等关键要素深度融合与安全高效应用。确保应急指令可通过系统推送、电话通知等多种方式，及时、准确、完整传达至街乡一线，同步畅通基层突发事件信息上报渠道，实现信息双向速递、上下联动，全面保障应急指挥实战需求。</w:t>
      </w:r>
    </w:p>
    <w:bookmarkEnd w:id="403"/>
    <w:p w14:paraId="1E12A10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411" w:name="_Toc17696"/>
      <w:bookmarkStart w:id="412" w:name="_Toc23760"/>
      <w:bookmarkStart w:id="413" w:name="_Toc19847"/>
      <w:bookmarkStart w:id="414" w:name="_Toc17315"/>
      <w:bookmarkStart w:id="415" w:name="_Toc13533"/>
      <w:bookmarkStart w:id="416" w:name="_Toc17723"/>
      <w:bookmarkStart w:id="417" w:name="_Toc16295"/>
      <w:bookmarkStart w:id="418" w:name="_Toc29525"/>
      <w:bookmarkStart w:id="419" w:name="_Toc25480"/>
      <w:r>
        <w:rPr>
          <w:rFonts w:hint="eastAsia" w:ascii="Times New Roman" w:hAnsi="Times New Roman" w:eastAsia="黑体" w:cs="黑体"/>
          <w:color w:val="auto"/>
          <w:kern w:val="0"/>
          <w:sz w:val="32"/>
          <w:szCs w:val="32"/>
          <w:highlight w:val="none"/>
          <w:lang w:val="en-US" w:eastAsia="zh-CN" w:bidi="ar-SA"/>
        </w:rPr>
        <w:t>第九章 基层应急能力提升工程</w:t>
      </w:r>
      <w:bookmarkEnd w:id="411"/>
      <w:bookmarkEnd w:id="412"/>
      <w:bookmarkEnd w:id="413"/>
      <w:bookmarkEnd w:id="414"/>
    </w:p>
    <w:p w14:paraId="0E5333C4">
      <w:pPr>
        <w:keepLines w:val="0"/>
        <w:pageBreakBefore w:val="0"/>
        <w:kinsoku/>
        <w:wordWrap/>
        <w:overflowPunct/>
        <w:topLinePunct w:val="0"/>
        <w:autoSpaceDE/>
        <w:autoSpaceDN/>
        <w:bidi w:val="0"/>
        <w:spacing w:line="560" w:lineRule="exact"/>
        <w:ind w:firstLine="640" w:firstLineChars="200"/>
        <w:rPr>
          <w:rFonts w:ascii="Times New Roman" w:hAnsi="Times New Roman" w:eastAsia="仿宋_GB2312" w:cs="Times New Roman"/>
          <w:bCs/>
          <w:color w:val="auto"/>
          <w:sz w:val="32"/>
          <w:szCs w:val="28"/>
          <w:highlight w:val="none"/>
        </w:rPr>
      </w:pPr>
      <w:r>
        <w:rPr>
          <w:rFonts w:hint="eastAsia" w:ascii="仿宋_GB2312" w:hAnsi="仿宋_GB2312" w:eastAsia="仿宋_GB2312" w:cs="仿宋_GB2312"/>
          <w:bCs/>
          <w:color w:val="auto"/>
          <w:sz w:val="32"/>
          <w:szCs w:val="28"/>
          <w:highlight w:val="none"/>
        </w:rPr>
        <w:t>压实社区（村）、企业、学校、医院等信息报告主体责任，强化条块协同和接诉即办，破解应急管理重点难题。</w:t>
      </w:r>
      <w:r>
        <w:rPr>
          <w:rFonts w:hint="eastAsia" w:ascii="Times New Roman" w:hAnsi="Times New Roman" w:eastAsia="仿宋_GB2312" w:cs="Times New Roman"/>
          <w:bCs/>
          <w:color w:val="auto"/>
          <w:sz w:val="32"/>
          <w:szCs w:val="28"/>
          <w:highlight w:val="none"/>
        </w:rPr>
        <w:t>推进基层应急功能场所建设，</w:t>
      </w:r>
      <w:r>
        <w:rPr>
          <w:rFonts w:hint="eastAsia" w:ascii="Times New Roman" w:hAnsi="Times New Roman" w:eastAsia="仿宋_GB2312" w:cs="Times New Roman"/>
          <w:bCs/>
          <w:color w:val="auto"/>
          <w:sz w:val="32"/>
          <w:szCs w:val="28"/>
          <w:highlight w:val="none"/>
          <w:lang w:val="en-US" w:eastAsia="zh-CN"/>
        </w:rPr>
        <w:t>推进</w:t>
      </w:r>
      <w:r>
        <w:rPr>
          <w:rFonts w:hint="eastAsia" w:ascii="Times New Roman" w:hAnsi="Times New Roman" w:eastAsia="仿宋_GB2312" w:cs="Times New Roman"/>
          <w:bCs/>
          <w:color w:val="auto"/>
          <w:sz w:val="32"/>
          <w:szCs w:val="28"/>
          <w:highlight w:val="none"/>
        </w:rPr>
        <w:t>党群服务中心等</w:t>
      </w:r>
      <w:r>
        <w:rPr>
          <w:rFonts w:hint="eastAsia" w:ascii="Times New Roman" w:hAnsi="Times New Roman" w:eastAsia="仿宋_GB2312" w:cs="Times New Roman"/>
          <w:bCs/>
          <w:color w:val="auto"/>
          <w:sz w:val="32"/>
          <w:szCs w:val="28"/>
          <w:highlight w:val="none"/>
          <w:lang w:val="en-US" w:eastAsia="zh-CN"/>
        </w:rPr>
        <w:t>场所应急功能改造</w:t>
      </w:r>
      <w:r>
        <w:rPr>
          <w:rFonts w:hint="eastAsia" w:ascii="Times New Roman" w:hAnsi="Times New Roman" w:eastAsia="仿宋_GB2312" w:cs="Times New Roman"/>
          <w:bCs/>
          <w:color w:val="auto"/>
          <w:sz w:val="32"/>
          <w:szCs w:val="28"/>
          <w:highlight w:val="none"/>
        </w:rPr>
        <w:t>，不断完善物资储备、转移安置、宣传教育等功能，完善区域应急阵地体系。定期组织研究应急管理工作，总结突发事件和预警应对情况。加大基层应急响应人才培养，实施“千人培训计划”，每年培训社区应急骨干、微型消防站队员等1000人次，重点强化心肺复苏、AED使用、初期火灾扑救等技能。加强基层安全生产监管力量建设，积极推动街乡从事安全生产检查的人员考取执法证</w:t>
      </w:r>
      <w:r>
        <w:rPr>
          <w:rFonts w:hint="eastAsia" w:ascii="Times New Roman" w:hAnsi="Times New Roman" w:eastAsia="仿宋_GB2312" w:cs="Times New Roman"/>
          <w:bCs/>
          <w:color w:val="auto"/>
          <w:sz w:val="32"/>
          <w:szCs w:val="28"/>
          <w:highlight w:val="none"/>
          <w:lang w:eastAsia="zh-CN"/>
        </w:rPr>
        <w:t>，每个街乡不少于</w:t>
      </w:r>
      <w:r>
        <w:rPr>
          <w:rFonts w:hint="eastAsia" w:ascii="Times New Roman" w:hAnsi="Times New Roman" w:eastAsia="仿宋_GB2312" w:cs="Times New Roman"/>
          <w:bCs/>
          <w:color w:val="auto"/>
          <w:sz w:val="32"/>
          <w:szCs w:val="28"/>
          <w:highlight w:val="none"/>
          <w:lang w:val="en-US" w:eastAsia="zh-CN"/>
        </w:rPr>
        <w:t>10人</w:t>
      </w:r>
      <w:r>
        <w:rPr>
          <w:rFonts w:hint="eastAsia" w:ascii="Times New Roman" w:hAnsi="Times New Roman" w:eastAsia="仿宋_GB2312" w:cs="Times New Roman"/>
          <w:bCs/>
          <w:color w:val="auto"/>
          <w:sz w:val="32"/>
          <w:szCs w:val="28"/>
          <w:highlight w:val="none"/>
        </w:rPr>
        <w:t>。开展基层智能应急装备提升行动，制定基层应急装备选型目录，明确设备参数，避免重复采购与资源浪费，推进街道、社区</w:t>
      </w:r>
      <w:r>
        <w:rPr>
          <w:rFonts w:hint="eastAsia" w:ascii="Times New Roman" w:hAnsi="Times New Roman" w:eastAsia="仿宋_GB2312" w:cs="Times New Roman"/>
          <w:bCs/>
          <w:color w:val="auto"/>
          <w:sz w:val="32"/>
          <w:szCs w:val="28"/>
          <w:highlight w:val="none"/>
          <w:lang w:eastAsia="zh-CN"/>
        </w:rPr>
        <w:t>和重点社会单位</w:t>
      </w:r>
      <w:r>
        <w:rPr>
          <w:rFonts w:hint="eastAsia" w:ascii="Times New Roman" w:hAnsi="Times New Roman" w:eastAsia="仿宋_GB2312" w:cs="Times New Roman"/>
          <w:bCs/>
          <w:color w:val="auto"/>
          <w:sz w:val="32"/>
          <w:szCs w:val="28"/>
          <w:highlight w:val="none"/>
        </w:rPr>
        <w:t>应急装备分级分类配置，提升基层应急装备水平。</w:t>
      </w:r>
    </w:p>
    <w:p w14:paraId="24A14244">
      <w:pPr>
        <w:keepNext/>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420" w:name="_Toc7811"/>
      <w:bookmarkStart w:id="421" w:name="_Toc18966"/>
      <w:bookmarkStart w:id="422" w:name="_Toc691"/>
      <w:bookmarkStart w:id="423" w:name="_Toc6062"/>
      <w:r>
        <w:rPr>
          <w:rFonts w:hint="eastAsia" w:ascii="Times New Roman" w:hAnsi="Times New Roman" w:eastAsia="黑体" w:cs="黑体"/>
          <w:color w:val="auto"/>
          <w:kern w:val="0"/>
          <w:sz w:val="32"/>
          <w:szCs w:val="32"/>
          <w:highlight w:val="none"/>
          <w:lang w:val="en-US" w:eastAsia="zh-CN" w:bidi="ar-SA"/>
        </w:rPr>
        <w:t>第十章 全民安全素养提升工程</w:t>
      </w:r>
      <w:bookmarkEnd w:id="415"/>
      <w:bookmarkEnd w:id="416"/>
      <w:bookmarkEnd w:id="417"/>
      <w:bookmarkEnd w:id="418"/>
      <w:bookmarkEnd w:id="419"/>
      <w:bookmarkEnd w:id="420"/>
      <w:bookmarkEnd w:id="421"/>
      <w:bookmarkEnd w:id="422"/>
      <w:bookmarkEnd w:id="423"/>
    </w:p>
    <w:p w14:paraId="49528DA0">
      <w:pPr>
        <w:spacing w:line="560" w:lineRule="exact"/>
        <w:ind w:firstLine="640" w:firstLineChars="200"/>
        <w:rPr>
          <w:rFonts w:hint="eastAsia" w:ascii="仿宋_GB2312" w:hAnsi="仿宋_GB2312" w:eastAsia="仿宋_GB2312" w:cs="仿宋_GB2312"/>
          <w:bCs/>
          <w:color w:val="auto"/>
          <w:sz w:val="32"/>
          <w:szCs w:val="28"/>
          <w:highlight w:val="none"/>
        </w:rPr>
      </w:pPr>
      <w:r>
        <w:rPr>
          <w:rFonts w:hint="eastAsia" w:ascii="仿宋_GB2312" w:hAnsi="仿宋_GB2312" w:eastAsia="仿宋_GB2312" w:cs="仿宋_GB2312"/>
          <w:bCs/>
          <w:color w:val="auto"/>
          <w:sz w:val="32"/>
          <w:szCs w:val="28"/>
          <w:highlight w:val="none"/>
        </w:rPr>
        <w:t>推进应急安全全民体验馆建设，通过科技手段实现自然灾害、事故灾难和应急避险的沉浸式体验，打造全国一流的综合性应急科普教育实训基地。开展全民应急科普教育行动，积极开展应急避险、逃生自救、居家安全、防震减灾、公共安全、消防安全、重点行业领域安全等科普教育，通过大数据分析居民风险倾向和特点，推送定制化安全知识，提高企业、学校、社会人群防灾减灾救灾意识和应急避险能力。加强安全应急素质提升，通过线下集中培训等方式，持续推进党政领导干部、应急管理系统干部、应急救援员、灾害信息员、企业负责人等人员安全应急培训工作。持续开展公众安全应急宣传，</w:t>
      </w:r>
      <w:r>
        <w:rPr>
          <w:rFonts w:hint="eastAsia" w:ascii="仿宋_GB2312" w:hAnsi="仿宋_GB2312" w:eastAsia="仿宋_GB2312" w:cs="仿宋_GB2312"/>
          <w:bCs/>
          <w:color w:val="auto"/>
          <w:sz w:val="32"/>
          <w:szCs w:val="28"/>
          <w:highlight w:val="none"/>
          <w:lang w:val="en-US" w:eastAsia="zh-CN"/>
        </w:rPr>
        <w:t>通过成功经验和案例，</w:t>
      </w:r>
      <w:r>
        <w:rPr>
          <w:rFonts w:hint="eastAsia" w:ascii="仿宋_GB2312" w:hAnsi="仿宋_GB2312" w:eastAsia="仿宋_GB2312" w:cs="仿宋_GB2312"/>
          <w:bCs/>
          <w:color w:val="auto"/>
          <w:sz w:val="32"/>
          <w:szCs w:val="28"/>
          <w:highlight w:val="none"/>
        </w:rPr>
        <w:t>抓实安全宣传“五进”，结合法定职责与不同时期宣传重点，在防灾减灾周、安全生产月及消防宣传月等时间节点，面向社会公众广泛开展安全应急宣传，进一步提升公众安全应急素质。</w:t>
      </w:r>
      <w:r>
        <w:rPr>
          <w:rFonts w:hint="eastAsia" w:ascii="仿宋_GB2312" w:hAnsi="仿宋_GB2312" w:eastAsia="仿宋_GB2312" w:cs="仿宋_GB2312"/>
          <w:bCs/>
          <w:color w:val="auto"/>
          <w:sz w:val="32"/>
          <w:szCs w:val="28"/>
          <w:highlight w:val="none"/>
          <w:lang w:val="en-US" w:eastAsia="zh-CN"/>
        </w:rPr>
        <w:t>加强校园</w:t>
      </w:r>
      <w:r>
        <w:rPr>
          <w:rFonts w:hint="eastAsia" w:ascii="仿宋_GB2312" w:hAnsi="仿宋_GB2312" w:eastAsia="仿宋_GB2312" w:cs="仿宋_GB2312"/>
          <w:bCs/>
          <w:color w:val="auto"/>
          <w:sz w:val="32"/>
          <w:szCs w:val="28"/>
          <w:highlight w:val="none"/>
        </w:rPr>
        <w:t>安全教育，</w:t>
      </w:r>
      <w:r>
        <w:rPr>
          <w:rFonts w:hint="eastAsia" w:ascii="仿宋_GB2312" w:hAnsi="仿宋_GB2312" w:eastAsia="仿宋_GB2312" w:cs="仿宋_GB2312"/>
          <w:bCs/>
          <w:color w:val="auto"/>
          <w:sz w:val="32"/>
          <w:szCs w:val="28"/>
          <w:highlight w:val="none"/>
          <w:lang w:val="en-US" w:eastAsia="zh-CN"/>
        </w:rPr>
        <w:t>实现常态化教育，</w:t>
      </w:r>
      <w:r>
        <w:rPr>
          <w:rFonts w:hint="eastAsia" w:ascii="仿宋_GB2312" w:hAnsi="仿宋_GB2312" w:eastAsia="仿宋_GB2312" w:cs="仿宋_GB2312"/>
          <w:bCs/>
          <w:color w:val="auto"/>
          <w:sz w:val="32"/>
          <w:szCs w:val="28"/>
          <w:highlight w:val="none"/>
        </w:rPr>
        <w:t>打造朝阳区安全管理教育特色，强化全民安全防范意识和水平。</w:t>
      </w:r>
    </w:p>
    <w:p w14:paraId="286EA7D5">
      <w:pPr>
        <w:pStyle w:val="22"/>
        <w:rPr>
          <w:rFonts w:hint="eastAsia"/>
          <w:highlight w:val="none"/>
        </w:rPr>
      </w:pPr>
    </w:p>
    <w:p w14:paraId="2A306F4A">
      <w:pPr>
        <w:keepLines w:val="0"/>
        <w:pageBreakBefore w:val="0"/>
        <w:kinsoku/>
        <w:wordWrap/>
        <w:overflowPunct/>
        <w:topLinePunct w:val="0"/>
        <w:autoSpaceDE/>
        <w:autoSpaceDN/>
        <w:bidi w:val="0"/>
        <w:spacing w:line="560" w:lineRule="exact"/>
        <w:rPr>
          <w:rFonts w:hint="eastAsia" w:ascii="Times New Roman" w:hAnsi="Times New Roman" w:eastAsia="仿宋_GB2312" w:cs="Times New Roman"/>
          <w:bCs/>
          <w:color w:val="auto"/>
          <w:sz w:val="32"/>
          <w:szCs w:val="28"/>
          <w:highlight w:val="none"/>
        </w:rPr>
      </w:pPr>
      <w:r>
        <w:rPr>
          <w:rFonts w:hint="eastAsia" w:ascii="Times New Roman" w:hAnsi="Times New Roman" w:eastAsia="仿宋_GB2312" w:cs="Times New Roman"/>
          <w:bCs/>
          <w:color w:val="auto"/>
          <w:sz w:val="32"/>
          <w:szCs w:val="28"/>
          <w:highlight w:val="none"/>
        </w:rPr>
        <w:br w:type="page"/>
      </w:r>
    </w:p>
    <w:p w14:paraId="5512DF35">
      <w:pPr>
        <w:pStyle w:val="28"/>
        <w:keepLines w:val="0"/>
        <w:pageBreakBefore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lang w:val="en-US" w:eastAsia="zh-CN"/>
        </w:rPr>
      </w:pPr>
      <w:bookmarkStart w:id="424" w:name="_Toc19924"/>
      <w:bookmarkStart w:id="425" w:name="_Toc31159"/>
      <w:bookmarkStart w:id="426" w:name="_Toc5951"/>
      <w:bookmarkStart w:id="427" w:name="_Toc12479"/>
      <w:bookmarkStart w:id="428" w:name="_Toc1209"/>
      <w:bookmarkStart w:id="429" w:name="_Toc32036"/>
      <w:bookmarkStart w:id="430" w:name="_Toc21388"/>
      <w:bookmarkStart w:id="431" w:name="_Toc27183"/>
      <w:bookmarkStart w:id="432" w:name="_Toc15384"/>
      <w:bookmarkStart w:id="433" w:name="_Toc21548"/>
      <w:bookmarkStart w:id="434" w:name="_Toc20000"/>
      <w:bookmarkStart w:id="435" w:name="_Toc24325"/>
      <w:bookmarkStart w:id="436" w:name="_Toc24017"/>
      <w:bookmarkStart w:id="437" w:name="_Toc28932"/>
      <w:bookmarkStart w:id="438" w:name="_Toc21215"/>
      <w:bookmarkStart w:id="439" w:name="_Toc9048"/>
      <w:bookmarkStart w:id="440" w:name="_Toc16621"/>
      <w:r>
        <w:rPr>
          <w:rFonts w:hint="eastAsia" w:ascii="Times New Roman" w:hAnsi="Times New Roman" w:eastAsia="方正小标宋简体" w:cs="Times New Roman"/>
          <w:color w:val="auto"/>
          <w:kern w:val="44"/>
          <w:sz w:val="36"/>
          <w:szCs w:val="36"/>
          <w:highlight w:val="none"/>
          <w:lang w:val="en-US" w:eastAsia="zh-CN"/>
        </w:rPr>
        <w:t>第五篇 保障措施</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7E9065B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441" w:name="_Toc24134"/>
      <w:bookmarkStart w:id="442" w:name="_Toc19825"/>
      <w:bookmarkStart w:id="443" w:name="_Toc27716"/>
      <w:bookmarkStart w:id="444" w:name="_Toc4325"/>
      <w:bookmarkStart w:id="445" w:name="_Toc235"/>
      <w:bookmarkStart w:id="446" w:name="_Toc25228"/>
      <w:bookmarkStart w:id="447" w:name="_Toc28520"/>
      <w:bookmarkStart w:id="448" w:name="_Toc557"/>
      <w:bookmarkStart w:id="449" w:name="_Toc7389"/>
      <w:bookmarkStart w:id="450" w:name="_Toc24382"/>
      <w:bookmarkStart w:id="451" w:name="_Toc26275"/>
      <w:bookmarkStart w:id="452" w:name="_Toc21852"/>
      <w:bookmarkStart w:id="453" w:name="_Toc11135"/>
      <w:bookmarkStart w:id="454" w:name="_Toc72856713"/>
      <w:bookmarkStart w:id="455" w:name="_Toc107"/>
      <w:bookmarkStart w:id="456" w:name="_Toc9680"/>
      <w:bookmarkStart w:id="457" w:name="_Toc16091"/>
      <w:bookmarkStart w:id="458" w:name="_Toc4866_WPSOffice_Level2"/>
      <w:bookmarkStart w:id="459" w:name="_Toc25146"/>
      <w:r>
        <w:rPr>
          <w:rFonts w:hint="eastAsia" w:ascii="Times New Roman" w:hAnsi="Times New Roman" w:eastAsia="黑体" w:cs="黑体"/>
          <w:color w:val="auto"/>
          <w:kern w:val="0"/>
          <w:sz w:val="32"/>
          <w:szCs w:val="32"/>
          <w:highlight w:val="none"/>
          <w:lang w:val="en-US" w:eastAsia="zh-CN" w:bidi="ar-SA"/>
        </w:rPr>
        <w:t>第一章 加强组织领导</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14:paraId="5226BB24">
      <w:pPr>
        <w:keepLines w:val="0"/>
        <w:pageBreakBefore w:val="0"/>
        <w:kinsoku/>
        <w:wordWrap/>
        <w:overflowPunct/>
        <w:topLinePunct w:val="0"/>
        <w:autoSpaceDE/>
        <w:autoSpaceDN/>
        <w:bidi w:val="0"/>
        <w:spacing w:line="560" w:lineRule="exact"/>
        <w:ind w:firstLine="640" w:firstLineChars="200"/>
        <w:rPr>
          <w:rFonts w:ascii="Times New Roman" w:hAnsi="Times New Roman" w:eastAsia="仿宋_GB2312" w:cs="Times New Roman"/>
          <w:color w:val="auto"/>
          <w:sz w:val="32"/>
          <w:szCs w:val="20"/>
          <w:highlight w:val="none"/>
        </w:rPr>
      </w:pPr>
      <w:r>
        <w:rPr>
          <w:rFonts w:hint="eastAsia" w:ascii="Times New Roman" w:hAnsi="Times New Roman" w:eastAsia="仿宋_GB2312" w:cs="Times New Roman"/>
          <w:color w:val="auto"/>
          <w:sz w:val="32"/>
          <w:szCs w:val="20"/>
          <w:highlight w:val="none"/>
        </w:rPr>
        <w:t>坚持党对应急管理工作的全面领导，健全区级应急管理议事协调机制，加强统筹谋划和跨部门协同，建立规划目标责任制和任务清单管理制度。</w:t>
      </w:r>
      <w:r>
        <w:rPr>
          <w:rFonts w:hint="eastAsia" w:ascii="Times New Roman" w:hAnsi="Times New Roman" w:eastAsia="仿宋_GB2312" w:cs="Times New Roman"/>
          <w:color w:val="auto"/>
          <w:sz w:val="32"/>
          <w:szCs w:val="20"/>
          <w:highlight w:val="none"/>
          <w:lang w:val="en-US" w:eastAsia="zh-CN"/>
        </w:rPr>
        <w:t>强化战略思维和系统思维，</w:t>
      </w:r>
      <w:r>
        <w:rPr>
          <w:rFonts w:hint="eastAsia" w:ascii="Times New Roman" w:hAnsi="Times New Roman" w:eastAsia="仿宋_GB2312" w:cs="Times New Roman"/>
          <w:color w:val="auto"/>
          <w:sz w:val="32"/>
          <w:szCs w:val="20"/>
          <w:highlight w:val="none"/>
        </w:rPr>
        <w:t>将应急管理工作融入经济社会发展全局</w:t>
      </w:r>
      <w:r>
        <w:rPr>
          <w:rFonts w:hint="eastAsia" w:ascii="Times New Roman" w:hAnsi="Times New Roman" w:eastAsia="仿宋_GB2312" w:cs="Times New Roman"/>
          <w:color w:val="auto"/>
          <w:sz w:val="32"/>
          <w:szCs w:val="20"/>
          <w:highlight w:val="none"/>
          <w:lang w:eastAsia="zh-CN"/>
        </w:rPr>
        <w:t>，</w:t>
      </w:r>
      <w:r>
        <w:rPr>
          <w:rFonts w:hint="eastAsia" w:ascii="Times New Roman" w:hAnsi="Times New Roman" w:eastAsia="仿宋_GB2312" w:cs="Times New Roman"/>
          <w:color w:val="auto"/>
          <w:sz w:val="32"/>
          <w:szCs w:val="20"/>
          <w:highlight w:val="none"/>
        </w:rPr>
        <w:t>增强规划体系的整体性和协调性。持续加大对基层应急管理建设的政策与资源支持，推动管理重心下移、力量下沉、保障下倾，及时协调解决规划实施中的体制机制障碍和重点难点问题，为规划落地提供坚强组织保障。</w:t>
      </w:r>
    </w:p>
    <w:p w14:paraId="35D3E17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460" w:name="_Toc4647"/>
      <w:bookmarkStart w:id="461" w:name="_Toc32332"/>
      <w:bookmarkStart w:id="462" w:name="_Toc27302"/>
      <w:bookmarkStart w:id="463" w:name="_Toc28293"/>
      <w:bookmarkStart w:id="464" w:name="_Toc17356"/>
      <w:bookmarkStart w:id="465" w:name="_Toc24554"/>
      <w:bookmarkStart w:id="466" w:name="_Toc8790"/>
      <w:bookmarkStart w:id="467" w:name="_Toc345"/>
      <w:bookmarkStart w:id="468" w:name="_Toc22050"/>
      <w:bookmarkStart w:id="469" w:name="_Toc4230"/>
      <w:bookmarkStart w:id="470" w:name="_Toc28095"/>
      <w:bookmarkStart w:id="471" w:name="_Toc11582"/>
      <w:bookmarkStart w:id="472" w:name="_Toc4941"/>
      <w:bookmarkStart w:id="473" w:name="_Toc3268"/>
      <w:bookmarkStart w:id="474" w:name="_Toc18157"/>
      <w:bookmarkStart w:id="475" w:name="_Toc4215"/>
      <w:bookmarkStart w:id="476" w:name="_Toc31261"/>
      <w:r>
        <w:rPr>
          <w:rFonts w:hint="eastAsia" w:ascii="Times New Roman" w:hAnsi="Times New Roman" w:eastAsia="黑体" w:cs="黑体"/>
          <w:color w:val="auto"/>
          <w:kern w:val="0"/>
          <w:sz w:val="32"/>
          <w:szCs w:val="32"/>
          <w:highlight w:val="none"/>
          <w:lang w:val="en-US" w:eastAsia="zh-CN" w:bidi="ar-SA"/>
        </w:rPr>
        <w:t>第二章 强化要素保障</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1ACED87D">
      <w:pPr>
        <w:keepLines w:val="0"/>
        <w:pageBreakBefore w:val="0"/>
        <w:kinsoku/>
        <w:wordWrap/>
        <w:overflowPunct/>
        <w:topLinePunct w:val="0"/>
        <w:autoSpaceDE/>
        <w:autoSpaceDN/>
        <w:bidi w:val="0"/>
        <w:spacing w:line="560" w:lineRule="exact"/>
        <w:ind w:firstLine="640" w:firstLineChars="200"/>
        <w:rPr>
          <w:rFonts w:hint="eastAsia" w:ascii="Times New Roman" w:hAnsi="Times New Roman" w:eastAsia="仿宋_GB2312" w:cs="Times New Roman"/>
          <w:color w:val="auto"/>
          <w:sz w:val="32"/>
          <w:szCs w:val="20"/>
          <w:highlight w:val="none"/>
        </w:rPr>
      </w:pPr>
      <w:r>
        <w:rPr>
          <w:rFonts w:hint="eastAsia" w:ascii="Times New Roman" w:hAnsi="Times New Roman" w:eastAsia="仿宋_GB2312" w:cs="Times New Roman"/>
          <w:color w:val="auto"/>
          <w:sz w:val="32"/>
          <w:szCs w:val="20"/>
          <w:highlight w:val="none"/>
        </w:rPr>
        <w:t>加强制度供给</w:t>
      </w:r>
      <w:r>
        <w:rPr>
          <w:rFonts w:hint="eastAsia" w:ascii="Times New Roman" w:hAnsi="Times New Roman" w:eastAsia="仿宋_GB2312" w:cs="Times New Roman"/>
          <w:color w:val="auto"/>
          <w:sz w:val="32"/>
          <w:szCs w:val="20"/>
          <w:highlight w:val="none"/>
          <w:lang w:val="en-US" w:eastAsia="zh-CN"/>
        </w:rPr>
        <w:t>与政策创新</w:t>
      </w:r>
      <w:r>
        <w:rPr>
          <w:rFonts w:hint="eastAsia" w:ascii="Times New Roman" w:hAnsi="Times New Roman" w:eastAsia="仿宋_GB2312" w:cs="Times New Roman"/>
          <w:color w:val="auto"/>
          <w:sz w:val="32"/>
          <w:szCs w:val="20"/>
          <w:highlight w:val="none"/>
        </w:rPr>
        <w:t>，完善政府主导、社会参与、市场运作的多元投入机制，积极引导社会力量规范有序参与应急管理工作。建立健全稳定的应急管理财政投入保障机制，优化资金审批与使用流程，切实保障应急管理重点工程、信息化建设、装备配备和日常运维等经费需求。加强高层次、复合型应急管理人才引进和培养，深化与高校、科研机构及专业组织的合作，开展多层次、多形式的专业培训和实战演练，全面提升人才队伍的专业化水平和应急处置能力。</w:t>
      </w:r>
    </w:p>
    <w:p w14:paraId="5CBC06D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477" w:name="_Toc13786"/>
      <w:bookmarkStart w:id="478" w:name="_Toc11178"/>
      <w:bookmarkStart w:id="479" w:name="_Toc25176"/>
      <w:bookmarkStart w:id="480" w:name="_Toc17517"/>
      <w:bookmarkStart w:id="481" w:name="_Toc12597"/>
      <w:bookmarkStart w:id="482" w:name="_Toc12474"/>
      <w:bookmarkStart w:id="483" w:name="_Toc14492"/>
      <w:bookmarkStart w:id="484" w:name="_Toc26183"/>
      <w:bookmarkStart w:id="485" w:name="_Toc25165"/>
      <w:bookmarkStart w:id="486" w:name="_Toc21175"/>
      <w:bookmarkStart w:id="487" w:name="_Toc16254"/>
      <w:bookmarkStart w:id="488" w:name="_Toc15021"/>
      <w:bookmarkStart w:id="489" w:name="_Toc31799"/>
      <w:bookmarkStart w:id="490" w:name="_Toc8858"/>
      <w:bookmarkStart w:id="491" w:name="_Toc2097"/>
      <w:bookmarkStart w:id="492" w:name="_Toc5938"/>
      <w:bookmarkStart w:id="493" w:name="_Toc3870"/>
      <w:r>
        <w:rPr>
          <w:rFonts w:hint="eastAsia" w:ascii="Times New Roman" w:hAnsi="Times New Roman" w:eastAsia="黑体" w:cs="黑体"/>
          <w:color w:val="auto"/>
          <w:kern w:val="0"/>
          <w:sz w:val="32"/>
          <w:szCs w:val="32"/>
          <w:highlight w:val="none"/>
          <w:lang w:val="en-US" w:eastAsia="zh-CN" w:bidi="ar-SA"/>
        </w:rPr>
        <w:t>第三章 严格</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Fonts w:hint="eastAsia" w:ascii="Times New Roman" w:hAnsi="Times New Roman" w:eastAsia="黑体" w:cs="黑体"/>
          <w:color w:val="auto"/>
          <w:kern w:val="0"/>
          <w:sz w:val="32"/>
          <w:szCs w:val="32"/>
          <w:highlight w:val="none"/>
          <w:lang w:val="en-US" w:eastAsia="zh-CN" w:bidi="ar-SA"/>
        </w:rPr>
        <w:t>监测评估</w:t>
      </w:r>
    </w:p>
    <w:p w14:paraId="1D2D8E17">
      <w:pPr>
        <w:keepLines w:val="0"/>
        <w:pageBreakBefore w:val="0"/>
        <w:kinsoku/>
        <w:wordWrap/>
        <w:overflowPunct/>
        <w:topLinePunct w:val="0"/>
        <w:autoSpaceDE/>
        <w:autoSpaceDN/>
        <w:bidi w:val="0"/>
        <w:spacing w:line="560" w:lineRule="exact"/>
        <w:ind w:firstLine="640" w:firstLineChars="200"/>
        <w:jc w:val="left"/>
        <w:rPr>
          <w:rFonts w:hint="eastAsia" w:asciiTheme="minorHAnsi" w:hAnsiTheme="minorHAnsi" w:eastAsiaTheme="minorEastAsia" w:cstheme="minorBidi"/>
          <w:color w:val="auto"/>
          <w:kern w:val="2"/>
          <w:sz w:val="21"/>
          <w:szCs w:val="24"/>
          <w:highlight w:val="none"/>
          <w:lang w:val="en-US" w:eastAsia="zh-CN" w:bidi="ar-SA"/>
        </w:rPr>
      </w:pPr>
      <w:r>
        <w:rPr>
          <w:rFonts w:hint="eastAsia" w:ascii="Times New Roman" w:hAnsi="Times New Roman" w:eastAsia="仿宋_GB2312"/>
          <w:color w:val="auto"/>
          <w:sz w:val="32"/>
          <w:szCs w:val="32"/>
          <w:highlight w:val="none"/>
        </w:rPr>
        <w:t>依据权责一致原则，围绕本规划确定的主要目标、重点任务和重大工程项目，构建科学合理、分级分类的效能监测体系。建立健全规划实施监测评估机制，开展动态跟踪和定期分析，加强对各项任务进展情况的</w:t>
      </w:r>
      <w:r>
        <w:rPr>
          <w:rFonts w:hint="eastAsia" w:ascii="Times New Roman" w:hAnsi="Times New Roman" w:eastAsia="仿宋_GB2312"/>
          <w:color w:val="auto"/>
          <w:sz w:val="32"/>
          <w:szCs w:val="32"/>
          <w:highlight w:val="none"/>
          <w:lang w:eastAsia="zh-CN"/>
        </w:rPr>
        <w:t>跟踪评价</w:t>
      </w:r>
      <w:r>
        <w:rPr>
          <w:rFonts w:hint="eastAsia" w:ascii="Times New Roman" w:hAnsi="Times New Roman" w:eastAsia="仿宋_GB2312"/>
          <w:color w:val="auto"/>
          <w:sz w:val="32"/>
          <w:szCs w:val="32"/>
          <w:highlight w:val="none"/>
        </w:rPr>
        <w:t>。组织开展规划年度监测、中期评估和总结</w:t>
      </w:r>
      <w:r>
        <w:rPr>
          <w:rFonts w:hint="eastAsia" w:ascii="Times New Roman" w:hAnsi="Times New Roman" w:eastAsia="仿宋_GB2312"/>
          <w:color w:val="auto"/>
          <w:sz w:val="32"/>
          <w:szCs w:val="32"/>
          <w:highlight w:val="none"/>
          <w:lang w:val="en-US" w:eastAsia="zh-CN"/>
        </w:rPr>
        <w:t>评估</w:t>
      </w:r>
      <w:r>
        <w:rPr>
          <w:rFonts w:hint="eastAsia" w:ascii="Times New Roman" w:hAnsi="Times New Roman" w:eastAsia="仿宋_GB2312"/>
          <w:color w:val="auto"/>
          <w:sz w:val="32"/>
          <w:szCs w:val="32"/>
          <w:highlight w:val="none"/>
        </w:rPr>
        <w:t>，及时发现问题并优化调整实施策略。强化跨部门协同和信息共享，形成工作合力，确保规划确定</w:t>
      </w:r>
      <w:r>
        <w:rPr>
          <w:rFonts w:hint="eastAsia" w:ascii="Times New Roman" w:hAnsi="Times New Roman" w:eastAsia="仿宋_GB2312"/>
          <w:color w:val="auto"/>
          <w:sz w:val="32"/>
          <w:szCs w:val="32"/>
          <w:highlight w:val="none"/>
          <w:lang w:val="en-US" w:eastAsia="zh-CN"/>
        </w:rPr>
        <w:t>的</w:t>
      </w:r>
      <w:r>
        <w:rPr>
          <w:rFonts w:hint="eastAsia" w:ascii="Times New Roman" w:hAnsi="Times New Roman" w:eastAsia="仿宋_GB2312"/>
          <w:color w:val="auto"/>
          <w:sz w:val="32"/>
          <w:szCs w:val="32"/>
          <w:highlight w:val="none"/>
        </w:rPr>
        <w:t>各项任务高标准、高质量推进落实。</w:t>
      </w:r>
    </w:p>
    <w:sectPr>
      <w:footerReference r:id="rId5"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alibri Light">
    <w:altName w:val="Calibri"/>
    <w:panose1 w:val="020F0302020204030204"/>
    <w:charset w:val="00"/>
    <w:family w:val="auto"/>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BE68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15F4D">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5644C">
                          <w:pPr>
                            <w:pStyle w:val="11"/>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34</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005644C">
                    <w:pPr>
                      <w:pStyle w:val="11"/>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34</w:t>
                    </w:r>
                    <w:r>
                      <w:rPr>
                        <w:rFonts w:ascii="Times New Roman" w:hAnsi="Times New Roman" w:cs="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14:paraId="6FBBDE81">
      <w:pPr>
        <w:pStyle w:val="14"/>
        <w:snapToGrid w:val="0"/>
        <w:rPr>
          <w:rFonts w:hint="eastAsia" w:ascii="仿宋_GB2312" w:hAnsi="仿宋_GB2312" w:eastAsia="仿宋_GB2312" w:cs="仿宋_GB2312"/>
          <w:sz w:val="24"/>
          <w:szCs w:val="24"/>
          <w:lang w:eastAsia="zh-CN"/>
        </w:rPr>
      </w:pPr>
      <w:r>
        <w:rPr>
          <w:rStyle w:val="21"/>
          <w:rFonts w:hint="default" w:ascii="Times New Roman" w:hAnsi="Times New Roman" w:cs="Times New Roman"/>
          <w:sz w:val="24"/>
          <w:szCs w:val="24"/>
        </w:rPr>
        <w:footnoteRef/>
      </w:r>
      <w:r>
        <w:rPr>
          <w:sz w:val="24"/>
          <w:szCs w:val="24"/>
        </w:rPr>
        <w:t xml:space="preserve"> </w:t>
      </w:r>
      <w:r>
        <w:rPr>
          <w:rFonts w:hint="eastAsia" w:ascii="仿宋_GB2312" w:hAnsi="仿宋_GB2312" w:eastAsia="仿宋_GB2312" w:cs="仿宋_GB2312"/>
          <w:sz w:val="24"/>
          <w:szCs w:val="24"/>
          <w:lang w:eastAsia="zh-CN"/>
        </w:rPr>
        <w:t>“三办”：区委办、政府办、应急办；“五指”：区应急指挥中心、消防救援指挥中心、公安联勤指挥中心、交通管理指挥调度中心、紧急医疗救援指挥中心。</w:t>
      </w:r>
    </w:p>
  </w:footnote>
  <w:footnote w:id="1">
    <w:p w14:paraId="2202BA34">
      <w:pPr>
        <w:pStyle w:val="14"/>
        <w:snapToGrid w:val="0"/>
        <w:rPr>
          <w:rFonts w:hint="eastAsia" w:ascii="仿宋_GB2312" w:hAnsi="仿宋_GB2312" w:eastAsia="仿宋_GB2312" w:cs="仿宋_GB2312"/>
          <w:sz w:val="24"/>
          <w:szCs w:val="24"/>
          <w:lang w:eastAsia="zh-CN"/>
        </w:rPr>
      </w:pPr>
      <w:r>
        <w:rPr>
          <w:rStyle w:val="21"/>
          <w:rFonts w:hint="default" w:ascii="Times New Roman" w:hAnsi="Times New Roman" w:cs="Times New Roman"/>
          <w:sz w:val="24"/>
          <w:szCs w:val="24"/>
        </w:rPr>
        <w:footnoteRef/>
      </w:r>
      <w:r>
        <w:t xml:space="preserve"> </w:t>
      </w:r>
      <w:r>
        <w:rPr>
          <w:rFonts w:hint="eastAsia" w:ascii="仿宋_GB2312" w:hAnsi="仿宋_GB2312" w:eastAsia="仿宋_GB2312" w:cs="仿宋_GB2312"/>
          <w:sz w:val="24"/>
          <w:szCs w:val="24"/>
        </w:rPr>
        <w:t>“四联机制”</w:t>
      </w:r>
      <w:r>
        <w:rPr>
          <w:rFonts w:hint="eastAsia" w:ascii="仿宋_GB2312" w:hAnsi="仿宋_GB2312" w:eastAsia="仿宋_GB2312" w:cs="仿宋_GB2312"/>
          <w:sz w:val="24"/>
          <w:szCs w:val="24"/>
          <w:lang w:eastAsia="zh-CN"/>
        </w:rPr>
        <w:t>：指挥联系、会议联办、视频联通、信息联网。</w:t>
      </w:r>
    </w:p>
  </w:footnote>
  <w:footnote w:id="2">
    <w:p w14:paraId="209059A7">
      <w:pPr>
        <w:pStyle w:val="14"/>
        <w:snapToGrid w:val="0"/>
        <w:rPr>
          <w:rFonts w:hint="default" w:ascii="Times New Roman" w:hAnsi="Times New Roman" w:eastAsia="仿宋_GB2312" w:cs="Times New Roman"/>
          <w:sz w:val="24"/>
          <w:lang w:val="en-US" w:eastAsia="zh-CN"/>
        </w:rPr>
      </w:pPr>
      <w:r>
        <w:rPr>
          <w:rStyle w:val="21"/>
          <w:rFonts w:hint="default" w:ascii="Times New Roman" w:hAnsi="Times New Roman" w:eastAsia="仿宋_GB2312" w:cs="Times New Roman"/>
          <w:sz w:val="24"/>
        </w:rPr>
        <w:footnoteRef/>
      </w:r>
      <w:r>
        <w:rPr>
          <w:rFonts w:hint="default" w:ascii="Times New Roman" w:hAnsi="Times New Roman" w:eastAsia="仿宋_GB2312" w:cs="Times New Roman"/>
          <w:sz w:val="24"/>
        </w:rPr>
        <w:t xml:space="preserve"> </w:t>
      </w:r>
      <w:r>
        <w:rPr>
          <w:rFonts w:hint="default" w:ascii="Times New Roman" w:hAnsi="Times New Roman" w:eastAsia="仿宋_GB2312" w:cs="Times New Roman"/>
          <w:sz w:val="24"/>
          <w:lang w:eastAsia="zh-CN"/>
        </w:rPr>
        <w:t>“</w:t>
      </w:r>
      <w:r>
        <w:rPr>
          <w:rFonts w:hint="default" w:ascii="Times New Roman" w:hAnsi="Times New Roman" w:eastAsia="仿宋_GB2312" w:cs="Times New Roman"/>
          <w:sz w:val="24"/>
          <w:lang w:val="en-US" w:eastAsia="zh-CN"/>
        </w:rPr>
        <w:t>三同时</w:t>
      </w:r>
      <w:r>
        <w:rPr>
          <w:rFonts w:hint="default" w:ascii="Times New Roman" w:hAnsi="Times New Roman" w:eastAsia="仿宋_GB2312" w:cs="Times New Roman"/>
          <w:sz w:val="24"/>
          <w:lang w:eastAsia="zh-CN"/>
        </w:rPr>
        <w:t>”：</w:t>
      </w:r>
      <w:r>
        <w:rPr>
          <w:rFonts w:hint="default" w:ascii="Times New Roman" w:hAnsi="Times New Roman" w:eastAsia="仿宋_GB2312" w:cs="Times New Roman"/>
          <w:sz w:val="24"/>
          <w:lang w:val="en-US" w:eastAsia="zh-CN"/>
        </w:rPr>
        <w:t>安全设施与主体工程同时设计、同时施工、同时投入生产和使用。</w:t>
      </w:r>
    </w:p>
  </w:footnote>
  <w:footnote w:id="3">
    <w:p w14:paraId="2CFED86A">
      <w:pPr>
        <w:pStyle w:val="14"/>
        <w:spacing w:beforeLines="0" w:afterLines="0"/>
        <w:rPr>
          <w:rFonts w:hint="default"/>
          <w:sz w:val="18"/>
          <w:szCs w:val="24"/>
        </w:rPr>
      </w:pPr>
      <w:r>
        <w:rPr>
          <w:rStyle w:val="21"/>
          <w:rFonts w:hint="default" w:ascii="Times New Roman" w:hAnsi="Times New Roman" w:eastAsia="仿宋_GB2312"/>
          <w:sz w:val="24"/>
          <w:szCs w:val="24"/>
        </w:rPr>
        <w:footnoteRef/>
      </w:r>
      <w:r>
        <w:rPr>
          <w:rFonts w:hint="eastAsia" w:ascii="仿宋_GB2312" w:hAnsi="仿宋_GB2312" w:eastAsia="仿宋_GB2312" w:cs="仿宋_GB2312"/>
          <w:sz w:val="24"/>
          <w:szCs w:val="24"/>
        </w:rPr>
        <w:t xml:space="preserve"> “三更新”：更新改造建筑屋顶、更新改造可燃吊顶、更新增设公共厨房；“三加装”：加装火灾报警和安全疏散设施、加装自动灭火设施、加装电动自行车充电设施；“三清”：清理老旧电气线路、清理疏散通道、清理违法建设；“三有”：有消防安全管理组织、有消防安全管理制度、有自防自救力量应急。</w:t>
      </w:r>
    </w:p>
  </w:footnote>
  <w:footnote w:id="4">
    <w:p w14:paraId="77EF6AD3">
      <w:pPr>
        <w:pStyle w:val="14"/>
        <w:snapToGrid w:val="0"/>
        <w:rPr>
          <w:rFonts w:hint="eastAsia" w:ascii="仿宋_GB2312" w:hAnsi="仿宋_GB2312" w:eastAsia="仿宋_GB2312" w:cs="仿宋_GB2312"/>
          <w:sz w:val="24"/>
          <w:lang w:val="en-US" w:eastAsia="zh-CN"/>
        </w:rPr>
      </w:pPr>
      <w:r>
        <w:rPr>
          <w:rStyle w:val="21"/>
          <w:rFonts w:hint="default" w:ascii="Times New Roman" w:hAnsi="Times New Roman" w:eastAsia="宋体" w:cs="Times New Roman"/>
          <w:sz w:val="24"/>
        </w:rPr>
        <w:footnoteRef/>
      </w:r>
      <w:r>
        <w:rPr>
          <w:rStyle w:val="21"/>
          <w:rFonts w:hint="default" w:ascii="Times New Roman" w:hAnsi="Times New Roman" w:eastAsia="宋体" w:cs="Times New Roman"/>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四率</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消防设施检测率、</w:t>
      </w:r>
      <w:r>
        <w:rPr>
          <w:rFonts w:hint="eastAsia" w:ascii="仿宋_GB2312" w:hAnsi="仿宋_GB2312" w:eastAsia="仿宋_GB2312" w:cs="仿宋_GB2312"/>
          <w:sz w:val="24"/>
        </w:rPr>
        <w:t>消防设施检测合格率、维保合同签订率、消防控制室人员持证上岗率。</w:t>
      </w:r>
    </w:p>
  </w:footnote>
  <w:footnote w:id="5">
    <w:p w14:paraId="3C5BBF06">
      <w:pPr>
        <w:pStyle w:val="14"/>
        <w:snapToGrid w:val="0"/>
        <w:rPr>
          <w:rFonts w:hint="eastAsia" w:ascii="仿宋_GB2312" w:hAnsi="仿宋_GB2312" w:eastAsia="仿宋_GB2312" w:cs="仿宋_GB2312"/>
          <w:sz w:val="24"/>
          <w:lang w:val="en-US" w:eastAsia="zh-CN"/>
        </w:rPr>
      </w:pPr>
      <w:r>
        <w:rPr>
          <w:rStyle w:val="21"/>
          <w:rFonts w:ascii="Times New Roman" w:hAnsi="Times New Roman" w:cs="Times New Roman"/>
          <w:sz w:val="24"/>
        </w:rPr>
        <w:footnoteRef/>
      </w:r>
      <w:r>
        <w:rPr>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同类同管”：采用酒精炉、喷灯、砂轮、电钻等可能产生火花、火焰和炽热表面的临时作业，与电焊、气焊等危险作业一并纳入动火审批。</w:t>
      </w:r>
    </w:p>
  </w:footnote>
  <w:footnote w:id="6">
    <w:p w14:paraId="743942ED">
      <w:pPr>
        <w:pStyle w:val="14"/>
        <w:snapToGrid w:val="0"/>
        <w:rPr>
          <w:rFonts w:hint="default" w:ascii="Times New Roman" w:hAnsi="Times New Roman" w:eastAsia="仿宋_GB2312" w:cs="Times New Roman"/>
          <w:sz w:val="24"/>
          <w:lang w:val="en-US" w:eastAsia="zh-CN"/>
        </w:rPr>
      </w:pPr>
      <w:r>
        <w:rPr>
          <w:rStyle w:val="21"/>
          <w:rFonts w:hint="default" w:ascii="Times New Roman" w:hAnsi="Times New Roman" w:eastAsia="仿宋_GB2312" w:cs="Times New Roman"/>
          <w:sz w:val="24"/>
        </w:rPr>
        <w:footnoteRef/>
      </w:r>
      <w:r>
        <w:rPr>
          <w:rFonts w:hint="default" w:ascii="Times New Roman" w:hAnsi="Times New Roman" w:eastAsia="仿宋_GB2312" w:cs="Times New Roman"/>
          <w:sz w:val="24"/>
        </w:rPr>
        <w:t xml:space="preserve"> </w:t>
      </w:r>
      <w:r>
        <w:rPr>
          <w:rFonts w:hint="default" w:ascii="Times New Roman" w:hAnsi="Times New Roman" w:eastAsia="仿宋_GB2312" w:cs="Times New Roman"/>
          <w:sz w:val="24"/>
          <w:lang w:val="en-US" w:eastAsia="zh-CN"/>
        </w:rPr>
        <w:t>森林火灾受害率=受害森林面积（公顷）</w:t>
      </w:r>
      <w:r>
        <w:rPr>
          <w:rFonts w:hint="default" w:ascii="Times New Roman" w:hAnsi="Times New Roman" w:eastAsia="仿宋_GB2312" w:cs="Times New Roman"/>
          <w:sz w:val="24"/>
        </w:rPr>
        <w:t>÷森林总面积</w:t>
      </w:r>
      <w:r>
        <w:rPr>
          <w:rFonts w:hint="default" w:ascii="Times New Roman" w:hAnsi="Times New Roman" w:eastAsia="仿宋_GB2312" w:cs="Times New Roman"/>
          <w:sz w:val="24"/>
          <w:lang w:val="en-US" w:eastAsia="zh-CN"/>
        </w:rPr>
        <w:t>（公顷）</w:t>
      </w:r>
      <w:r>
        <w:rPr>
          <w:rFonts w:hint="default" w:ascii="Times New Roman" w:hAnsi="Times New Roman" w:eastAsia="仿宋_GB2312" w:cs="Times New Roman"/>
          <w:sz w:val="24"/>
        </w:rPr>
        <w:t>×1000‰。</w:t>
      </w:r>
    </w:p>
  </w:footnote>
  <w:footnote w:id="7">
    <w:p w14:paraId="4CFECDF9">
      <w:pPr>
        <w:pStyle w:val="14"/>
        <w:snapToGrid w:val="0"/>
        <w:rPr>
          <w:rFonts w:hint="default" w:ascii="Times New Roman" w:hAnsi="Times New Roman" w:eastAsia="仿宋_GB2312" w:cs="Times New Roman"/>
          <w:sz w:val="24"/>
          <w:lang w:val="en-US" w:eastAsia="zh-CN"/>
        </w:rPr>
      </w:pPr>
      <w:r>
        <w:rPr>
          <w:rStyle w:val="21"/>
          <w:rFonts w:hint="default" w:ascii="Times New Roman" w:hAnsi="Times New Roman" w:eastAsia="仿宋_GB2312" w:cs="Times New Roman"/>
          <w:sz w:val="24"/>
        </w:rPr>
        <w:footnoteRef/>
      </w:r>
      <w:r>
        <w:rPr>
          <w:rFonts w:hint="default" w:ascii="Times New Roman" w:hAnsi="Times New Roman" w:eastAsia="仿宋_GB2312" w:cs="Times New Roman"/>
          <w:sz w:val="24"/>
        </w:rPr>
        <w:t xml:space="preserve">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三断</w:t>
      </w:r>
      <w:r>
        <w:rPr>
          <w:rFonts w:hint="eastAsia" w:ascii="仿宋_GB2312" w:hAnsi="仿宋_GB2312" w:eastAsia="仿宋_GB2312" w:cs="仿宋_GB2312"/>
          <w:sz w:val="24"/>
          <w:lang w:eastAsia="zh-CN"/>
        </w:rPr>
        <w:t>”</w:t>
      </w:r>
      <w:r>
        <w:rPr>
          <w:rFonts w:hint="default" w:ascii="Times New Roman" w:hAnsi="Times New Roman" w:eastAsia="仿宋_GB2312" w:cs="Times New Roman"/>
          <w:sz w:val="24"/>
          <w:lang w:eastAsia="zh-CN"/>
        </w:rPr>
        <w:t>：</w:t>
      </w:r>
      <w:r>
        <w:rPr>
          <w:rFonts w:hint="default" w:ascii="Times New Roman" w:hAnsi="Times New Roman" w:eastAsia="仿宋_GB2312" w:cs="Times New Roman"/>
          <w:sz w:val="24"/>
          <w:lang w:val="en-US" w:eastAsia="zh-CN"/>
        </w:rPr>
        <w:t>断路、断网、断电。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6"/>
    <w:footnote w:id="1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6D5F"/>
    <w:rsid w:val="000959CB"/>
    <w:rsid w:val="000E7392"/>
    <w:rsid w:val="00105CA7"/>
    <w:rsid w:val="00166607"/>
    <w:rsid w:val="00170418"/>
    <w:rsid w:val="00197A7A"/>
    <w:rsid w:val="002D6721"/>
    <w:rsid w:val="00356B00"/>
    <w:rsid w:val="00361FD1"/>
    <w:rsid w:val="003778CE"/>
    <w:rsid w:val="0039366C"/>
    <w:rsid w:val="003E2FC6"/>
    <w:rsid w:val="003E6F2B"/>
    <w:rsid w:val="0042709F"/>
    <w:rsid w:val="00441793"/>
    <w:rsid w:val="00471B22"/>
    <w:rsid w:val="00473031"/>
    <w:rsid w:val="004A2D63"/>
    <w:rsid w:val="006219CA"/>
    <w:rsid w:val="00622351"/>
    <w:rsid w:val="00637052"/>
    <w:rsid w:val="00647957"/>
    <w:rsid w:val="00686B15"/>
    <w:rsid w:val="00732444"/>
    <w:rsid w:val="007B5457"/>
    <w:rsid w:val="007F0909"/>
    <w:rsid w:val="00883906"/>
    <w:rsid w:val="008A2484"/>
    <w:rsid w:val="008C0FB1"/>
    <w:rsid w:val="00901374"/>
    <w:rsid w:val="00902C2A"/>
    <w:rsid w:val="00934C67"/>
    <w:rsid w:val="009A4829"/>
    <w:rsid w:val="00A043DE"/>
    <w:rsid w:val="00A97EBA"/>
    <w:rsid w:val="00AB1874"/>
    <w:rsid w:val="00AD3C65"/>
    <w:rsid w:val="00AE20D7"/>
    <w:rsid w:val="00B41FA9"/>
    <w:rsid w:val="00B46918"/>
    <w:rsid w:val="00B61396"/>
    <w:rsid w:val="00BB7E02"/>
    <w:rsid w:val="00BC751D"/>
    <w:rsid w:val="00C35195"/>
    <w:rsid w:val="00C93251"/>
    <w:rsid w:val="00D27E91"/>
    <w:rsid w:val="00DD72CE"/>
    <w:rsid w:val="00E01AFB"/>
    <w:rsid w:val="00E06592"/>
    <w:rsid w:val="00E56417"/>
    <w:rsid w:val="00F028FF"/>
    <w:rsid w:val="00F140FE"/>
    <w:rsid w:val="00FB524D"/>
    <w:rsid w:val="00FC15C1"/>
    <w:rsid w:val="00FD25C9"/>
    <w:rsid w:val="00FD2713"/>
    <w:rsid w:val="00FF7E71"/>
    <w:rsid w:val="010E29B2"/>
    <w:rsid w:val="01160408"/>
    <w:rsid w:val="0123584C"/>
    <w:rsid w:val="01544AE6"/>
    <w:rsid w:val="016C265C"/>
    <w:rsid w:val="01877B89"/>
    <w:rsid w:val="01880038"/>
    <w:rsid w:val="018C1375"/>
    <w:rsid w:val="018C668C"/>
    <w:rsid w:val="01C07D5C"/>
    <w:rsid w:val="01E74ACC"/>
    <w:rsid w:val="01EE5E5A"/>
    <w:rsid w:val="01EF43BB"/>
    <w:rsid w:val="023D5149"/>
    <w:rsid w:val="023F0464"/>
    <w:rsid w:val="02513652"/>
    <w:rsid w:val="02706DD3"/>
    <w:rsid w:val="02761587"/>
    <w:rsid w:val="027B1069"/>
    <w:rsid w:val="02886DC8"/>
    <w:rsid w:val="02B35CE9"/>
    <w:rsid w:val="02C1767F"/>
    <w:rsid w:val="03253AFD"/>
    <w:rsid w:val="03305094"/>
    <w:rsid w:val="03451AAA"/>
    <w:rsid w:val="035606A5"/>
    <w:rsid w:val="036119A3"/>
    <w:rsid w:val="03777CBD"/>
    <w:rsid w:val="038D51FF"/>
    <w:rsid w:val="03914CEF"/>
    <w:rsid w:val="03920A67"/>
    <w:rsid w:val="039779CD"/>
    <w:rsid w:val="03A04F32"/>
    <w:rsid w:val="03AA7B5F"/>
    <w:rsid w:val="03D339AB"/>
    <w:rsid w:val="03EF18D8"/>
    <w:rsid w:val="03F702E2"/>
    <w:rsid w:val="04275653"/>
    <w:rsid w:val="042A47D4"/>
    <w:rsid w:val="042B4D34"/>
    <w:rsid w:val="043438CC"/>
    <w:rsid w:val="04410D32"/>
    <w:rsid w:val="044828BB"/>
    <w:rsid w:val="04783406"/>
    <w:rsid w:val="04821B5E"/>
    <w:rsid w:val="04AC0F3D"/>
    <w:rsid w:val="05121E5F"/>
    <w:rsid w:val="05123C0E"/>
    <w:rsid w:val="053F69CD"/>
    <w:rsid w:val="05427F7A"/>
    <w:rsid w:val="054F595E"/>
    <w:rsid w:val="05642FBC"/>
    <w:rsid w:val="05855D06"/>
    <w:rsid w:val="058E7DE3"/>
    <w:rsid w:val="0596483F"/>
    <w:rsid w:val="05A056BD"/>
    <w:rsid w:val="05A72471"/>
    <w:rsid w:val="05C51278"/>
    <w:rsid w:val="05DC24FD"/>
    <w:rsid w:val="05FA6BB2"/>
    <w:rsid w:val="060914B4"/>
    <w:rsid w:val="06207460"/>
    <w:rsid w:val="06431E80"/>
    <w:rsid w:val="06465A4B"/>
    <w:rsid w:val="065B5A88"/>
    <w:rsid w:val="06697610"/>
    <w:rsid w:val="066A1827"/>
    <w:rsid w:val="067508F8"/>
    <w:rsid w:val="067B060E"/>
    <w:rsid w:val="06C52EF1"/>
    <w:rsid w:val="06CB0397"/>
    <w:rsid w:val="06E75206"/>
    <w:rsid w:val="06F7130D"/>
    <w:rsid w:val="06F7755F"/>
    <w:rsid w:val="070659F4"/>
    <w:rsid w:val="07072628"/>
    <w:rsid w:val="070B4E75"/>
    <w:rsid w:val="07127218"/>
    <w:rsid w:val="071874D5"/>
    <w:rsid w:val="071B457E"/>
    <w:rsid w:val="073267E9"/>
    <w:rsid w:val="076D446E"/>
    <w:rsid w:val="078879BE"/>
    <w:rsid w:val="07C34A5B"/>
    <w:rsid w:val="07C8269E"/>
    <w:rsid w:val="08172AA9"/>
    <w:rsid w:val="081E6D6D"/>
    <w:rsid w:val="081F77E9"/>
    <w:rsid w:val="089B216C"/>
    <w:rsid w:val="089F4205"/>
    <w:rsid w:val="089F67C6"/>
    <w:rsid w:val="08A367A4"/>
    <w:rsid w:val="08E21B49"/>
    <w:rsid w:val="08FD4BD5"/>
    <w:rsid w:val="092C4B25"/>
    <w:rsid w:val="094B0928"/>
    <w:rsid w:val="09615D42"/>
    <w:rsid w:val="0979531F"/>
    <w:rsid w:val="0990031F"/>
    <w:rsid w:val="09B41D59"/>
    <w:rsid w:val="09C851E3"/>
    <w:rsid w:val="09CA0F24"/>
    <w:rsid w:val="09DB3168"/>
    <w:rsid w:val="09E044EE"/>
    <w:rsid w:val="09E32E5E"/>
    <w:rsid w:val="0A2A7C4B"/>
    <w:rsid w:val="0A4276EB"/>
    <w:rsid w:val="0A517ABC"/>
    <w:rsid w:val="0A6B5105"/>
    <w:rsid w:val="0AAB0D8C"/>
    <w:rsid w:val="0AB063A2"/>
    <w:rsid w:val="0AB3379D"/>
    <w:rsid w:val="0AC369C3"/>
    <w:rsid w:val="0B1243EE"/>
    <w:rsid w:val="0B2B4CE0"/>
    <w:rsid w:val="0B5036E2"/>
    <w:rsid w:val="0BAB2AA6"/>
    <w:rsid w:val="0BE73B95"/>
    <w:rsid w:val="0C013F89"/>
    <w:rsid w:val="0C256B59"/>
    <w:rsid w:val="0C45559A"/>
    <w:rsid w:val="0C5B728A"/>
    <w:rsid w:val="0C6B7B04"/>
    <w:rsid w:val="0C8278CB"/>
    <w:rsid w:val="0CB67574"/>
    <w:rsid w:val="0CE25D99"/>
    <w:rsid w:val="0CE620F7"/>
    <w:rsid w:val="0CF5087F"/>
    <w:rsid w:val="0CF54BA1"/>
    <w:rsid w:val="0D307327"/>
    <w:rsid w:val="0D350775"/>
    <w:rsid w:val="0D3A1F53"/>
    <w:rsid w:val="0DD405FA"/>
    <w:rsid w:val="0DD53C11"/>
    <w:rsid w:val="0DDA54E4"/>
    <w:rsid w:val="0DE46363"/>
    <w:rsid w:val="0DED1987"/>
    <w:rsid w:val="0E733F3E"/>
    <w:rsid w:val="0ECE2059"/>
    <w:rsid w:val="0F0B3C3B"/>
    <w:rsid w:val="0F10568E"/>
    <w:rsid w:val="0F3438DD"/>
    <w:rsid w:val="0F415A9C"/>
    <w:rsid w:val="0F767699"/>
    <w:rsid w:val="0F8E717E"/>
    <w:rsid w:val="0F9D1272"/>
    <w:rsid w:val="0FA311A2"/>
    <w:rsid w:val="0FAF51FB"/>
    <w:rsid w:val="0FB95A7D"/>
    <w:rsid w:val="0FBF555C"/>
    <w:rsid w:val="0FDF30F1"/>
    <w:rsid w:val="10203775"/>
    <w:rsid w:val="104650B3"/>
    <w:rsid w:val="104824BA"/>
    <w:rsid w:val="104B5196"/>
    <w:rsid w:val="10714381"/>
    <w:rsid w:val="108B33F0"/>
    <w:rsid w:val="10D33DA9"/>
    <w:rsid w:val="10D86454"/>
    <w:rsid w:val="110B432A"/>
    <w:rsid w:val="113E5D8A"/>
    <w:rsid w:val="11633299"/>
    <w:rsid w:val="11A46BC2"/>
    <w:rsid w:val="11C42660"/>
    <w:rsid w:val="11E83D62"/>
    <w:rsid w:val="11F970A4"/>
    <w:rsid w:val="12140EB6"/>
    <w:rsid w:val="121B783C"/>
    <w:rsid w:val="122D02D9"/>
    <w:rsid w:val="12511791"/>
    <w:rsid w:val="12522C9D"/>
    <w:rsid w:val="12555A81"/>
    <w:rsid w:val="12593E2D"/>
    <w:rsid w:val="12851EC3"/>
    <w:rsid w:val="12C51AE0"/>
    <w:rsid w:val="12C86253"/>
    <w:rsid w:val="12DE15D3"/>
    <w:rsid w:val="13310888"/>
    <w:rsid w:val="136C14FB"/>
    <w:rsid w:val="138E091C"/>
    <w:rsid w:val="13B64561"/>
    <w:rsid w:val="13BE2C3D"/>
    <w:rsid w:val="13EB21F9"/>
    <w:rsid w:val="140727F9"/>
    <w:rsid w:val="142B0848"/>
    <w:rsid w:val="1444190A"/>
    <w:rsid w:val="144E2788"/>
    <w:rsid w:val="145F2F8D"/>
    <w:rsid w:val="147C7AB5"/>
    <w:rsid w:val="14B24B51"/>
    <w:rsid w:val="14D110C6"/>
    <w:rsid w:val="14DA13B8"/>
    <w:rsid w:val="14E2514A"/>
    <w:rsid w:val="14E43365"/>
    <w:rsid w:val="14F710C3"/>
    <w:rsid w:val="151F20F9"/>
    <w:rsid w:val="15355F4B"/>
    <w:rsid w:val="154134E3"/>
    <w:rsid w:val="155142DE"/>
    <w:rsid w:val="15534575"/>
    <w:rsid w:val="157070E5"/>
    <w:rsid w:val="15916F81"/>
    <w:rsid w:val="15C86BA3"/>
    <w:rsid w:val="15D62485"/>
    <w:rsid w:val="161C1F83"/>
    <w:rsid w:val="1647748F"/>
    <w:rsid w:val="164E6A70"/>
    <w:rsid w:val="167264F7"/>
    <w:rsid w:val="16A97565"/>
    <w:rsid w:val="16BC60CF"/>
    <w:rsid w:val="16CC0064"/>
    <w:rsid w:val="16DF048E"/>
    <w:rsid w:val="16F7745D"/>
    <w:rsid w:val="1705535A"/>
    <w:rsid w:val="171B6B14"/>
    <w:rsid w:val="17261D73"/>
    <w:rsid w:val="173E0892"/>
    <w:rsid w:val="175F3D3C"/>
    <w:rsid w:val="1761089A"/>
    <w:rsid w:val="1767428D"/>
    <w:rsid w:val="17710C68"/>
    <w:rsid w:val="177153F8"/>
    <w:rsid w:val="17857095"/>
    <w:rsid w:val="17934158"/>
    <w:rsid w:val="17C20B86"/>
    <w:rsid w:val="181A2543"/>
    <w:rsid w:val="182377A6"/>
    <w:rsid w:val="18264AEF"/>
    <w:rsid w:val="184B770B"/>
    <w:rsid w:val="187439DD"/>
    <w:rsid w:val="18925671"/>
    <w:rsid w:val="190212E1"/>
    <w:rsid w:val="1926118B"/>
    <w:rsid w:val="197C7C95"/>
    <w:rsid w:val="19AC5402"/>
    <w:rsid w:val="19E27BFB"/>
    <w:rsid w:val="19F13B6A"/>
    <w:rsid w:val="1A1E278E"/>
    <w:rsid w:val="1A1F4FD6"/>
    <w:rsid w:val="1A2F6BB8"/>
    <w:rsid w:val="1A687E74"/>
    <w:rsid w:val="1A7C004F"/>
    <w:rsid w:val="1A840B87"/>
    <w:rsid w:val="1A8B1FA6"/>
    <w:rsid w:val="1AF92D73"/>
    <w:rsid w:val="1AFC408C"/>
    <w:rsid w:val="1B47527C"/>
    <w:rsid w:val="1B7A1D3C"/>
    <w:rsid w:val="1B9A64C6"/>
    <w:rsid w:val="1B9F478E"/>
    <w:rsid w:val="1BC53233"/>
    <w:rsid w:val="1C3123B9"/>
    <w:rsid w:val="1C3A2505"/>
    <w:rsid w:val="1C3D4A7C"/>
    <w:rsid w:val="1C60574F"/>
    <w:rsid w:val="1C991319"/>
    <w:rsid w:val="1CAA5C0C"/>
    <w:rsid w:val="1CAC629E"/>
    <w:rsid w:val="1CD64150"/>
    <w:rsid w:val="1CFC2C95"/>
    <w:rsid w:val="1D061E52"/>
    <w:rsid w:val="1D130FEE"/>
    <w:rsid w:val="1D220B9C"/>
    <w:rsid w:val="1D306ECF"/>
    <w:rsid w:val="1D3228E4"/>
    <w:rsid w:val="1D344293"/>
    <w:rsid w:val="1D5A2FA9"/>
    <w:rsid w:val="1D5B56E6"/>
    <w:rsid w:val="1D8069EA"/>
    <w:rsid w:val="1D8F0099"/>
    <w:rsid w:val="1D912F21"/>
    <w:rsid w:val="1DB56EB0"/>
    <w:rsid w:val="1DCD471E"/>
    <w:rsid w:val="1E240912"/>
    <w:rsid w:val="1E274043"/>
    <w:rsid w:val="1E3B7F84"/>
    <w:rsid w:val="1E447DED"/>
    <w:rsid w:val="1E567AD8"/>
    <w:rsid w:val="1E5F6569"/>
    <w:rsid w:val="1E6270B9"/>
    <w:rsid w:val="1E925673"/>
    <w:rsid w:val="1EA74C53"/>
    <w:rsid w:val="1EAE43DA"/>
    <w:rsid w:val="1ED57D2E"/>
    <w:rsid w:val="1ED75AA2"/>
    <w:rsid w:val="1EDE3A6B"/>
    <w:rsid w:val="1EEA69A7"/>
    <w:rsid w:val="1EF5445A"/>
    <w:rsid w:val="1EF60F8E"/>
    <w:rsid w:val="1F02211F"/>
    <w:rsid w:val="1F0423C1"/>
    <w:rsid w:val="1F1620F4"/>
    <w:rsid w:val="1F4E7AE0"/>
    <w:rsid w:val="1F5374CA"/>
    <w:rsid w:val="1F5570C1"/>
    <w:rsid w:val="1F877108"/>
    <w:rsid w:val="1FE121E6"/>
    <w:rsid w:val="20364116"/>
    <w:rsid w:val="204F3B10"/>
    <w:rsid w:val="20890681"/>
    <w:rsid w:val="208F6602"/>
    <w:rsid w:val="20992FDD"/>
    <w:rsid w:val="209D219C"/>
    <w:rsid w:val="20A26336"/>
    <w:rsid w:val="20A83C78"/>
    <w:rsid w:val="20AB1ECB"/>
    <w:rsid w:val="20BA367F"/>
    <w:rsid w:val="20C7635E"/>
    <w:rsid w:val="2129610F"/>
    <w:rsid w:val="21C95C34"/>
    <w:rsid w:val="21DC5877"/>
    <w:rsid w:val="21EA52B6"/>
    <w:rsid w:val="21F7445F"/>
    <w:rsid w:val="21FD4727"/>
    <w:rsid w:val="22196E42"/>
    <w:rsid w:val="222462F5"/>
    <w:rsid w:val="22734E83"/>
    <w:rsid w:val="22A46C8B"/>
    <w:rsid w:val="22B67B11"/>
    <w:rsid w:val="231D1AE7"/>
    <w:rsid w:val="2322375E"/>
    <w:rsid w:val="23272CFE"/>
    <w:rsid w:val="236F7F4F"/>
    <w:rsid w:val="23865A57"/>
    <w:rsid w:val="238B4E5F"/>
    <w:rsid w:val="23940D62"/>
    <w:rsid w:val="23AD694B"/>
    <w:rsid w:val="23B70F45"/>
    <w:rsid w:val="23D12B21"/>
    <w:rsid w:val="24200ECE"/>
    <w:rsid w:val="24223DB5"/>
    <w:rsid w:val="242A3715"/>
    <w:rsid w:val="24424F22"/>
    <w:rsid w:val="244731BA"/>
    <w:rsid w:val="24586428"/>
    <w:rsid w:val="245C0859"/>
    <w:rsid w:val="2471674B"/>
    <w:rsid w:val="24985702"/>
    <w:rsid w:val="24A74545"/>
    <w:rsid w:val="24D000C3"/>
    <w:rsid w:val="24EB6FFC"/>
    <w:rsid w:val="25166013"/>
    <w:rsid w:val="251D41DD"/>
    <w:rsid w:val="254526AD"/>
    <w:rsid w:val="258D51EC"/>
    <w:rsid w:val="25924EC3"/>
    <w:rsid w:val="25B94BCE"/>
    <w:rsid w:val="25C53767"/>
    <w:rsid w:val="25CC647F"/>
    <w:rsid w:val="25FD5DBC"/>
    <w:rsid w:val="260D0470"/>
    <w:rsid w:val="262B0B7B"/>
    <w:rsid w:val="262D044F"/>
    <w:rsid w:val="262D500C"/>
    <w:rsid w:val="263537A8"/>
    <w:rsid w:val="26422BD4"/>
    <w:rsid w:val="265A320F"/>
    <w:rsid w:val="2662481A"/>
    <w:rsid w:val="268169ED"/>
    <w:rsid w:val="26890BB6"/>
    <w:rsid w:val="26AF4526"/>
    <w:rsid w:val="26BD7E16"/>
    <w:rsid w:val="26C77082"/>
    <w:rsid w:val="26D3600A"/>
    <w:rsid w:val="26EE05EC"/>
    <w:rsid w:val="27007912"/>
    <w:rsid w:val="275D777F"/>
    <w:rsid w:val="27A07FD1"/>
    <w:rsid w:val="27BD734E"/>
    <w:rsid w:val="27F43225"/>
    <w:rsid w:val="27F85B38"/>
    <w:rsid w:val="284A5E8E"/>
    <w:rsid w:val="28893672"/>
    <w:rsid w:val="28E15B6E"/>
    <w:rsid w:val="28E76FDC"/>
    <w:rsid w:val="28F52C4A"/>
    <w:rsid w:val="28FC7B6A"/>
    <w:rsid w:val="29032C29"/>
    <w:rsid w:val="29216D32"/>
    <w:rsid w:val="2940493E"/>
    <w:rsid w:val="296B6CBA"/>
    <w:rsid w:val="29F82743"/>
    <w:rsid w:val="2A1862C4"/>
    <w:rsid w:val="2A345A90"/>
    <w:rsid w:val="2A3518AB"/>
    <w:rsid w:val="2A677CA8"/>
    <w:rsid w:val="2A8012D2"/>
    <w:rsid w:val="2AC62728"/>
    <w:rsid w:val="2B03342D"/>
    <w:rsid w:val="2B0400B6"/>
    <w:rsid w:val="2B2411F7"/>
    <w:rsid w:val="2B411285"/>
    <w:rsid w:val="2B457FE9"/>
    <w:rsid w:val="2B4E564F"/>
    <w:rsid w:val="2B551AD3"/>
    <w:rsid w:val="2B582AAE"/>
    <w:rsid w:val="2B8054C5"/>
    <w:rsid w:val="2BAC62BA"/>
    <w:rsid w:val="2BB92E39"/>
    <w:rsid w:val="2BC77803"/>
    <w:rsid w:val="2BE53BC7"/>
    <w:rsid w:val="2BFB7C5B"/>
    <w:rsid w:val="2C0A641B"/>
    <w:rsid w:val="2C0E0D23"/>
    <w:rsid w:val="2C260F85"/>
    <w:rsid w:val="2C620381"/>
    <w:rsid w:val="2C7C157F"/>
    <w:rsid w:val="2CBD20E6"/>
    <w:rsid w:val="2CC24F80"/>
    <w:rsid w:val="2CCA2E9C"/>
    <w:rsid w:val="2CD30ABF"/>
    <w:rsid w:val="2D144117"/>
    <w:rsid w:val="2D447D98"/>
    <w:rsid w:val="2D4A7FD3"/>
    <w:rsid w:val="2D7562BD"/>
    <w:rsid w:val="2DC773DC"/>
    <w:rsid w:val="2E0272CB"/>
    <w:rsid w:val="2E2C723F"/>
    <w:rsid w:val="2E564462"/>
    <w:rsid w:val="2E9D6DCF"/>
    <w:rsid w:val="2EAE6729"/>
    <w:rsid w:val="2EDE70B2"/>
    <w:rsid w:val="2EFF4953"/>
    <w:rsid w:val="2F0F103A"/>
    <w:rsid w:val="2F1B241C"/>
    <w:rsid w:val="2F4921D6"/>
    <w:rsid w:val="2F4C5AD9"/>
    <w:rsid w:val="2F9E5DD1"/>
    <w:rsid w:val="2FB4479F"/>
    <w:rsid w:val="2FD656B4"/>
    <w:rsid w:val="2FE37DD1"/>
    <w:rsid w:val="2FE603CD"/>
    <w:rsid w:val="2FEB71BF"/>
    <w:rsid w:val="301023BC"/>
    <w:rsid w:val="302D52BC"/>
    <w:rsid w:val="303E14AB"/>
    <w:rsid w:val="30442F65"/>
    <w:rsid w:val="304765B2"/>
    <w:rsid w:val="305104CE"/>
    <w:rsid w:val="305F7D9F"/>
    <w:rsid w:val="3082464B"/>
    <w:rsid w:val="30B579BF"/>
    <w:rsid w:val="30BB2AFC"/>
    <w:rsid w:val="30DC35F1"/>
    <w:rsid w:val="312718DE"/>
    <w:rsid w:val="319620D2"/>
    <w:rsid w:val="31A2333A"/>
    <w:rsid w:val="31C61758"/>
    <w:rsid w:val="31E32566"/>
    <w:rsid w:val="322B7276"/>
    <w:rsid w:val="32405C87"/>
    <w:rsid w:val="3248449E"/>
    <w:rsid w:val="32686B23"/>
    <w:rsid w:val="3279084E"/>
    <w:rsid w:val="32852B7B"/>
    <w:rsid w:val="329F0C98"/>
    <w:rsid w:val="32AF660F"/>
    <w:rsid w:val="32BF106C"/>
    <w:rsid w:val="32C170D0"/>
    <w:rsid w:val="32E40DC1"/>
    <w:rsid w:val="33010C9A"/>
    <w:rsid w:val="33072028"/>
    <w:rsid w:val="331035D3"/>
    <w:rsid w:val="333622C2"/>
    <w:rsid w:val="3371448D"/>
    <w:rsid w:val="339269F6"/>
    <w:rsid w:val="33D60378"/>
    <w:rsid w:val="346270D0"/>
    <w:rsid w:val="3493552C"/>
    <w:rsid w:val="34A54214"/>
    <w:rsid w:val="34B41D3C"/>
    <w:rsid w:val="34B44240"/>
    <w:rsid w:val="34B47F8E"/>
    <w:rsid w:val="34B55B38"/>
    <w:rsid w:val="34BB2DCB"/>
    <w:rsid w:val="34F07C25"/>
    <w:rsid w:val="350F735E"/>
    <w:rsid w:val="352B5CB5"/>
    <w:rsid w:val="353A78DB"/>
    <w:rsid w:val="354C7397"/>
    <w:rsid w:val="35613C72"/>
    <w:rsid w:val="356745E5"/>
    <w:rsid w:val="35B45CE6"/>
    <w:rsid w:val="35B81BDF"/>
    <w:rsid w:val="35BA60CE"/>
    <w:rsid w:val="35C4548A"/>
    <w:rsid w:val="35DF0F0B"/>
    <w:rsid w:val="35E22510"/>
    <w:rsid w:val="3619753B"/>
    <w:rsid w:val="3633054A"/>
    <w:rsid w:val="364339F5"/>
    <w:rsid w:val="36513CE6"/>
    <w:rsid w:val="36600B03"/>
    <w:rsid w:val="36A368D7"/>
    <w:rsid w:val="36BB5B33"/>
    <w:rsid w:val="37064381"/>
    <w:rsid w:val="370A7B68"/>
    <w:rsid w:val="373777C2"/>
    <w:rsid w:val="37A7595E"/>
    <w:rsid w:val="37A97B24"/>
    <w:rsid w:val="37BB130F"/>
    <w:rsid w:val="37BC487C"/>
    <w:rsid w:val="37C87977"/>
    <w:rsid w:val="37CB5D1A"/>
    <w:rsid w:val="37DB03F9"/>
    <w:rsid w:val="37DF17C6"/>
    <w:rsid w:val="37E64902"/>
    <w:rsid w:val="37E8067A"/>
    <w:rsid w:val="38042FDA"/>
    <w:rsid w:val="380950B7"/>
    <w:rsid w:val="382611A3"/>
    <w:rsid w:val="382D0783"/>
    <w:rsid w:val="382F62A9"/>
    <w:rsid w:val="384C2775"/>
    <w:rsid w:val="38547ABE"/>
    <w:rsid w:val="38635F53"/>
    <w:rsid w:val="386C41A1"/>
    <w:rsid w:val="388365F5"/>
    <w:rsid w:val="388471E0"/>
    <w:rsid w:val="388529BE"/>
    <w:rsid w:val="389E7953"/>
    <w:rsid w:val="38B14F10"/>
    <w:rsid w:val="38B64023"/>
    <w:rsid w:val="394C69E7"/>
    <w:rsid w:val="3951224F"/>
    <w:rsid w:val="39985CCD"/>
    <w:rsid w:val="39A8522D"/>
    <w:rsid w:val="39E6508D"/>
    <w:rsid w:val="39EF3F42"/>
    <w:rsid w:val="3A0345F4"/>
    <w:rsid w:val="3A4B3142"/>
    <w:rsid w:val="3A4E12FE"/>
    <w:rsid w:val="3A52627F"/>
    <w:rsid w:val="3A634DD8"/>
    <w:rsid w:val="3A6A7A6C"/>
    <w:rsid w:val="3A9D6EEA"/>
    <w:rsid w:val="3ADB1A4B"/>
    <w:rsid w:val="3AEC63AA"/>
    <w:rsid w:val="3B0F5217"/>
    <w:rsid w:val="3B2616CC"/>
    <w:rsid w:val="3B48048C"/>
    <w:rsid w:val="3B687AC5"/>
    <w:rsid w:val="3B7C5899"/>
    <w:rsid w:val="3BA66882"/>
    <w:rsid w:val="3BA743A8"/>
    <w:rsid w:val="3BC62A80"/>
    <w:rsid w:val="3BC92571"/>
    <w:rsid w:val="3C017566"/>
    <w:rsid w:val="3C1820B7"/>
    <w:rsid w:val="3C205217"/>
    <w:rsid w:val="3C29727C"/>
    <w:rsid w:val="3C885F88"/>
    <w:rsid w:val="3CBB66DE"/>
    <w:rsid w:val="3CD85C21"/>
    <w:rsid w:val="3CDA7DA7"/>
    <w:rsid w:val="3CEA241E"/>
    <w:rsid w:val="3D0F483D"/>
    <w:rsid w:val="3D204412"/>
    <w:rsid w:val="3D46730A"/>
    <w:rsid w:val="3D581DB8"/>
    <w:rsid w:val="3D707720"/>
    <w:rsid w:val="3D715C79"/>
    <w:rsid w:val="3D854C41"/>
    <w:rsid w:val="3DAB63D2"/>
    <w:rsid w:val="3DD21746"/>
    <w:rsid w:val="3E367FE5"/>
    <w:rsid w:val="3E3F5320"/>
    <w:rsid w:val="3E603AAF"/>
    <w:rsid w:val="3E6B5753"/>
    <w:rsid w:val="3E6D3687"/>
    <w:rsid w:val="3E970704"/>
    <w:rsid w:val="3E9A2D10"/>
    <w:rsid w:val="3EAD502B"/>
    <w:rsid w:val="3EBF11A6"/>
    <w:rsid w:val="3ECE32F4"/>
    <w:rsid w:val="3F1D6580"/>
    <w:rsid w:val="3F2A7441"/>
    <w:rsid w:val="3F7153F9"/>
    <w:rsid w:val="3F806E82"/>
    <w:rsid w:val="3F863274"/>
    <w:rsid w:val="3FAB3396"/>
    <w:rsid w:val="3FB452E6"/>
    <w:rsid w:val="3FC03C8B"/>
    <w:rsid w:val="3FC4377B"/>
    <w:rsid w:val="3FC714BD"/>
    <w:rsid w:val="3FD37E62"/>
    <w:rsid w:val="40180C52"/>
    <w:rsid w:val="40226291"/>
    <w:rsid w:val="40287958"/>
    <w:rsid w:val="4033495A"/>
    <w:rsid w:val="406B1E48"/>
    <w:rsid w:val="40BA2902"/>
    <w:rsid w:val="40BF569B"/>
    <w:rsid w:val="40CE2B32"/>
    <w:rsid w:val="41055DF9"/>
    <w:rsid w:val="41240C6E"/>
    <w:rsid w:val="414B6176"/>
    <w:rsid w:val="415F743E"/>
    <w:rsid w:val="41611680"/>
    <w:rsid w:val="41635215"/>
    <w:rsid w:val="41801585"/>
    <w:rsid w:val="41AA571A"/>
    <w:rsid w:val="4214717C"/>
    <w:rsid w:val="42342208"/>
    <w:rsid w:val="42372910"/>
    <w:rsid w:val="4286740D"/>
    <w:rsid w:val="42AE2959"/>
    <w:rsid w:val="42B850ED"/>
    <w:rsid w:val="42CA1781"/>
    <w:rsid w:val="43165FFE"/>
    <w:rsid w:val="43183AB3"/>
    <w:rsid w:val="43472087"/>
    <w:rsid w:val="437A0121"/>
    <w:rsid w:val="43872E0A"/>
    <w:rsid w:val="438951AC"/>
    <w:rsid w:val="43A1053B"/>
    <w:rsid w:val="43C024AB"/>
    <w:rsid w:val="4416656F"/>
    <w:rsid w:val="441B0DDD"/>
    <w:rsid w:val="445138C5"/>
    <w:rsid w:val="44586B88"/>
    <w:rsid w:val="445C221E"/>
    <w:rsid w:val="447339C1"/>
    <w:rsid w:val="448731EA"/>
    <w:rsid w:val="44902A68"/>
    <w:rsid w:val="44936155"/>
    <w:rsid w:val="44B74255"/>
    <w:rsid w:val="44ED5522"/>
    <w:rsid w:val="44ED6D45"/>
    <w:rsid w:val="44EE129A"/>
    <w:rsid w:val="44F372BD"/>
    <w:rsid w:val="45244CBC"/>
    <w:rsid w:val="452A1956"/>
    <w:rsid w:val="45392515"/>
    <w:rsid w:val="45483411"/>
    <w:rsid w:val="454D073F"/>
    <w:rsid w:val="45863281"/>
    <w:rsid w:val="458639F0"/>
    <w:rsid w:val="4595778D"/>
    <w:rsid w:val="45EF7D5C"/>
    <w:rsid w:val="461846C4"/>
    <w:rsid w:val="4622455E"/>
    <w:rsid w:val="4642038C"/>
    <w:rsid w:val="465C1AA2"/>
    <w:rsid w:val="468C3579"/>
    <w:rsid w:val="46B63049"/>
    <w:rsid w:val="46B63FA6"/>
    <w:rsid w:val="46BD220C"/>
    <w:rsid w:val="46BF6A4A"/>
    <w:rsid w:val="46EF4B54"/>
    <w:rsid w:val="46FE553F"/>
    <w:rsid w:val="4705220F"/>
    <w:rsid w:val="47145BC5"/>
    <w:rsid w:val="471B4742"/>
    <w:rsid w:val="473541E2"/>
    <w:rsid w:val="475E44B5"/>
    <w:rsid w:val="476E2D53"/>
    <w:rsid w:val="47C026E7"/>
    <w:rsid w:val="47DA6A4A"/>
    <w:rsid w:val="47F170D7"/>
    <w:rsid w:val="47F324B4"/>
    <w:rsid w:val="48233C62"/>
    <w:rsid w:val="48413A07"/>
    <w:rsid w:val="484864B1"/>
    <w:rsid w:val="48620BC3"/>
    <w:rsid w:val="489B5295"/>
    <w:rsid w:val="48BF5C24"/>
    <w:rsid w:val="48DA400F"/>
    <w:rsid w:val="48FB5161"/>
    <w:rsid w:val="490A4E1E"/>
    <w:rsid w:val="49241AB8"/>
    <w:rsid w:val="49270A0E"/>
    <w:rsid w:val="49307303"/>
    <w:rsid w:val="497D61A5"/>
    <w:rsid w:val="498836BE"/>
    <w:rsid w:val="499A12A3"/>
    <w:rsid w:val="499C6FE6"/>
    <w:rsid w:val="49A70A85"/>
    <w:rsid w:val="49BF3909"/>
    <w:rsid w:val="49CA5E32"/>
    <w:rsid w:val="49E62038"/>
    <w:rsid w:val="49EF4CB2"/>
    <w:rsid w:val="49FD2121"/>
    <w:rsid w:val="4A0444C5"/>
    <w:rsid w:val="4A1C41B3"/>
    <w:rsid w:val="4A282B58"/>
    <w:rsid w:val="4A4831FA"/>
    <w:rsid w:val="4A953621"/>
    <w:rsid w:val="4ACD1FCC"/>
    <w:rsid w:val="4AEF3D32"/>
    <w:rsid w:val="4AFA44F5"/>
    <w:rsid w:val="4AFF3E7B"/>
    <w:rsid w:val="4B294DDA"/>
    <w:rsid w:val="4B501473"/>
    <w:rsid w:val="4B5610FA"/>
    <w:rsid w:val="4B683A07"/>
    <w:rsid w:val="4B6F3205"/>
    <w:rsid w:val="4BB70638"/>
    <w:rsid w:val="4BC44A9F"/>
    <w:rsid w:val="4BD7375D"/>
    <w:rsid w:val="4BE64A79"/>
    <w:rsid w:val="4C080E93"/>
    <w:rsid w:val="4C184A68"/>
    <w:rsid w:val="4C5A4BAB"/>
    <w:rsid w:val="4C746529"/>
    <w:rsid w:val="4C7A0B36"/>
    <w:rsid w:val="4C833181"/>
    <w:rsid w:val="4C83676C"/>
    <w:rsid w:val="4CA505B5"/>
    <w:rsid w:val="4D341814"/>
    <w:rsid w:val="4D44414D"/>
    <w:rsid w:val="4D502014"/>
    <w:rsid w:val="4D5817FD"/>
    <w:rsid w:val="4D6D6092"/>
    <w:rsid w:val="4D7E3E1C"/>
    <w:rsid w:val="4D8A0839"/>
    <w:rsid w:val="4D912D0E"/>
    <w:rsid w:val="4DB358F6"/>
    <w:rsid w:val="4DEA4CF4"/>
    <w:rsid w:val="4DFA0F23"/>
    <w:rsid w:val="4E451F2B"/>
    <w:rsid w:val="4E4F5175"/>
    <w:rsid w:val="4E5A3AE9"/>
    <w:rsid w:val="4E676345"/>
    <w:rsid w:val="4EB946C7"/>
    <w:rsid w:val="4ED92533"/>
    <w:rsid w:val="4F015240"/>
    <w:rsid w:val="4F201AB9"/>
    <w:rsid w:val="4F3062A5"/>
    <w:rsid w:val="4F31425D"/>
    <w:rsid w:val="4F4B22BE"/>
    <w:rsid w:val="4F4F0B87"/>
    <w:rsid w:val="4F7A3E56"/>
    <w:rsid w:val="4F7A7E83"/>
    <w:rsid w:val="4F7B0D92"/>
    <w:rsid w:val="4FA64C4B"/>
    <w:rsid w:val="4FAC203A"/>
    <w:rsid w:val="4FBA40E5"/>
    <w:rsid w:val="4FBC350B"/>
    <w:rsid w:val="4FFE4AA2"/>
    <w:rsid w:val="500F06E5"/>
    <w:rsid w:val="501F2C4C"/>
    <w:rsid w:val="502B33A2"/>
    <w:rsid w:val="503C735D"/>
    <w:rsid w:val="50597F0F"/>
    <w:rsid w:val="50626EC5"/>
    <w:rsid w:val="506822A4"/>
    <w:rsid w:val="50A20D78"/>
    <w:rsid w:val="50A80FEA"/>
    <w:rsid w:val="50D8127C"/>
    <w:rsid w:val="50E900A0"/>
    <w:rsid w:val="50F62C62"/>
    <w:rsid w:val="50FC442C"/>
    <w:rsid w:val="51065647"/>
    <w:rsid w:val="5108391E"/>
    <w:rsid w:val="51195436"/>
    <w:rsid w:val="511F7076"/>
    <w:rsid w:val="51283AF8"/>
    <w:rsid w:val="51513922"/>
    <w:rsid w:val="516A7ACC"/>
    <w:rsid w:val="516C37A9"/>
    <w:rsid w:val="516F1791"/>
    <w:rsid w:val="517A638F"/>
    <w:rsid w:val="517C47A5"/>
    <w:rsid w:val="51D6105F"/>
    <w:rsid w:val="5218341D"/>
    <w:rsid w:val="52223AC1"/>
    <w:rsid w:val="52317228"/>
    <w:rsid w:val="52377DDC"/>
    <w:rsid w:val="523C2B78"/>
    <w:rsid w:val="5245699D"/>
    <w:rsid w:val="5253098E"/>
    <w:rsid w:val="527B192B"/>
    <w:rsid w:val="528154FB"/>
    <w:rsid w:val="528C5001"/>
    <w:rsid w:val="529414C0"/>
    <w:rsid w:val="529B424D"/>
    <w:rsid w:val="52C06024"/>
    <w:rsid w:val="52D41FF2"/>
    <w:rsid w:val="52F061DD"/>
    <w:rsid w:val="52F43F1F"/>
    <w:rsid w:val="53310CD0"/>
    <w:rsid w:val="533267F6"/>
    <w:rsid w:val="5339643A"/>
    <w:rsid w:val="533D6114"/>
    <w:rsid w:val="533E1A01"/>
    <w:rsid w:val="535B753F"/>
    <w:rsid w:val="53B85768"/>
    <w:rsid w:val="53CA5A38"/>
    <w:rsid w:val="53DC3B3C"/>
    <w:rsid w:val="53DD34F6"/>
    <w:rsid w:val="53FE57C6"/>
    <w:rsid w:val="5427764E"/>
    <w:rsid w:val="5438608E"/>
    <w:rsid w:val="54660E4D"/>
    <w:rsid w:val="546C2887"/>
    <w:rsid w:val="547B5D8F"/>
    <w:rsid w:val="54B64E0D"/>
    <w:rsid w:val="54C87750"/>
    <w:rsid w:val="553B3FF0"/>
    <w:rsid w:val="554F5FE2"/>
    <w:rsid w:val="556A0EE1"/>
    <w:rsid w:val="55CE2D4E"/>
    <w:rsid w:val="55DB0405"/>
    <w:rsid w:val="55E0078B"/>
    <w:rsid w:val="55FB7B9D"/>
    <w:rsid w:val="561C15D1"/>
    <w:rsid w:val="56220DA3"/>
    <w:rsid w:val="56221A76"/>
    <w:rsid w:val="562B5EAA"/>
    <w:rsid w:val="564E25D3"/>
    <w:rsid w:val="565A22EB"/>
    <w:rsid w:val="56B639B2"/>
    <w:rsid w:val="574F6C80"/>
    <w:rsid w:val="576918FA"/>
    <w:rsid w:val="579065FE"/>
    <w:rsid w:val="57C00874"/>
    <w:rsid w:val="57D305A7"/>
    <w:rsid w:val="57E75E01"/>
    <w:rsid w:val="57EE11DD"/>
    <w:rsid w:val="57F2715C"/>
    <w:rsid w:val="57FF56B0"/>
    <w:rsid w:val="580469B3"/>
    <w:rsid w:val="58090E03"/>
    <w:rsid w:val="58207565"/>
    <w:rsid w:val="588418A2"/>
    <w:rsid w:val="58BD5D3C"/>
    <w:rsid w:val="58D56831"/>
    <w:rsid w:val="58DC3643"/>
    <w:rsid w:val="58DD228D"/>
    <w:rsid w:val="58F06F37"/>
    <w:rsid w:val="590062C7"/>
    <w:rsid w:val="597B1ABE"/>
    <w:rsid w:val="59A354CC"/>
    <w:rsid w:val="59AD4E28"/>
    <w:rsid w:val="59C7413C"/>
    <w:rsid w:val="59CF4D9E"/>
    <w:rsid w:val="5A2F34E3"/>
    <w:rsid w:val="5A624B5D"/>
    <w:rsid w:val="5A6920B4"/>
    <w:rsid w:val="5A7140A7"/>
    <w:rsid w:val="5B18702C"/>
    <w:rsid w:val="5B465534"/>
    <w:rsid w:val="5B693109"/>
    <w:rsid w:val="5B93148B"/>
    <w:rsid w:val="5BA159E3"/>
    <w:rsid w:val="5BAC3023"/>
    <w:rsid w:val="5BDB6621"/>
    <w:rsid w:val="5BF52211"/>
    <w:rsid w:val="5C221AFD"/>
    <w:rsid w:val="5C223977"/>
    <w:rsid w:val="5C2308DE"/>
    <w:rsid w:val="5C412E25"/>
    <w:rsid w:val="5C5E240A"/>
    <w:rsid w:val="5C8A5879"/>
    <w:rsid w:val="5CBC7B63"/>
    <w:rsid w:val="5CC04E72"/>
    <w:rsid w:val="5CC42BB4"/>
    <w:rsid w:val="5CCD6DE8"/>
    <w:rsid w:val="5CE2616A"/>
    <w:rsid w:val="5CF60894"/>
    <w:rsid w:val="5D137698"/>
    <w:rsid w:val="5D323FC2"/>
    <w:rsid w:val="5D762196"/>
    <w:rsid w:val="5D7719D5"/>
    <w:rsid w:val="5D7A1E2A"/>
    <w:rsid w:val="5DA00A10"/>
    <w:rsid w:val="5DAA3B58"/>
    <w:rsid w:val="5DC920A3"/>
    <w:rsid w:val="5DD961EC"/>
    <w:rsid w:val="5DEB4D77"/>
    <w:rsid w:val="5E2C0996"/>
    <w:rsid w:val="5E341674"/>
    <w:rsid w:val="5E4C4C10"/>
    <w:rsid w:val="5E565A8E"/>
    <w:rsid w:val="5E7D301B"/>
    <w:rsid w:val="5E835151"/>
    <w:rsid w:val="5E940365"/>
    <w:rsid w:val="5EB85BA0"/>
    <w:rsid w:val="5EDA4B68"/>
    <w:rsid w:val="5F033926"/>
    <w:rsid w:val="5F084DB3"/>
    <w:rsid w:val="5F3B0DEA"/>
    <w:rsid w:val="5FCA16E8"/>
    <w:rsid w:val="5FD54F80"/>
    <w:rsid w:val="5FD72BFF"/>
    <w:rsid w:val="5FEA30B3"/>
    <w:rsid w:val="600576F7"/>
    <w:rsid w:val="600D0496"/>
    <w:rsid w:val="601A6E74"/>
    <w:rsid w:val="604069F6"/>
    <w:rsid w:val="606D70BF"/>
    <w:rsid w:val="60835B2E"/>
    <w:rsid w:val="60852906"/>
    <w:rsid w:val="60911000"/>
    <w:rsid w:val="609F49D9"/>
    <w:rsid w:val="60AA0313"/>
    <w:rsid w:val="60B23FEB"/>
    <w:rsid w:val="60B726C8"/>
    <w:rsid w:val="60D15A09"/>
    <w:rsid w:val="60D847A8"/>
    <w:rsid w:val="60EB4BB4"/>
    <w:rsid w:val="6104312D"/>
    <w:rsid w:val="611C0988"/>
    <w:rsid w:val="611D6D37"/>
    <w:rsid w:val="61220B30"/>
    <w:rsid w:val="612B7B33"/>
    <w:rsid w:val="612D3D58"/>
    <w:rsid w:val="6174522D"/>
    <w:rsid w:val="617526CF"/>
    <w:rsid w:val="61841E25"/>
    <w:rsid w:val="61967195"/>
    <w:rsid w:val="61EC6729"/>
    <w:rsid w:val="61F82C39"/>
    <w:rsid w:val="626B0515"/>
    <w:rsid w:val="62710D8F"/>
    <w:rsid w:val="628751B1"/>
    <w:rsid w:val="62B40FD5"/>
    <w:rsid w:val="62D6719E"/>
    <w:rsid w:val="62DB5B77"/>
    <w:rsid w:val="62E331E7"/>
    <w:rsid w:val="62E86A90"/>
    <w:rsid w:val="6353259C"/>
    <w:rsid w:val="6368350B"/>
    <w:rsid w:val="637341FF"/>
    <w:rsid w:val="63EA18D6"/>
    <w:rsid w:val="63FA18E4"/>
    <w:rsid w:val="640448F1"/>
    <w:rsid w:val="64192066"/>
    <w:rsid w:val="646B0741"/>
    <w:rsid w:val="646C590B"/>
    <w:rsid w:val="648A0240"/>
    <w:rsid w:val="64BD69C9"/>
    <w:rsid w:val="64C51A97"/>
    <w:rsid w:val="64EA6A8F"/>
    <w:rsid w:val="64F7741A"/>
    <w:rsid w:val="650E6430"/>
    <w:rsid w:val="6511270F"/>
    <w:rsid w:val="651E005F"/>
    <w:rsid w:val="653A1A83"/>
    <w:rsid w:val="654C4DC2"/>
    <w:rsid w:val="6558033E"/>
    <w:rsid w:val="65646F17"/>
    <w:rsid w:val="658B7446"/>
    <w:rsid w:val="659F41BF"/>
    <w:rsid w:val="65AB6D28"/>
    <w:rsid w:val="65B35D20"/>
    <w:rsid w:val="65B368D6"/>
    <w:rsid w:val="65C77C23"/>
    <w:rsid w:val="65F362B8"/>
    <w:rsid w:val="66064C0F"/>
    <w:rsid w:val="661A3845"/>
    <w:rsid w:val="661F70AE"/>
    <w:rsid w:val="66320B8F"/>
    <w:rsid w:val="66376A2A"/>
    <w:rsid w:val="664E35FF"/>
    <w:rsid w:val="66576847"/>
    <w:rsid w:val="666A438F"/>
    <w:rsid w:val="668702F9"/>
    <w:rsid w:val="66A15098"/>
    <w:rsid w:val="66B47B91"/>
    <w:rsid w:val="66BB0B84"/>
    <w:rsid w:val="66CA0DC7"/>
    <w:rsid w:val="66DD4F9F"/>
    <w:rsid w:val="670D0B3F"/>
    <w:rsid w:val="67455539"/>
    <w:rsid w:val="67507334"/>
    <w:rsid w:val="679118E5"/>
    <w:rsid w:val="67A47D96"/>
    <w:rsid w:val="67BB1A14"/>
    <w:rsid w:val="67C0111D"/>
    <w:rsid w:val="67C267A7"/>
    <w:rsid w:val="67E160C5"/>
    <w:rsid w:val="687E0A4A"/>
    <w:rsid w:val="68B43ADD"/>
    <w:rsid w:val="68C36416"/>
    <w:rsid w:val="69096BAF"/>
    <w:rsid w:val="694755C9"/>
    <w:rsid w:val="694A4441"/>
    <w:rsid w:val="697A2F79"/>
    <w:rsid w:val="69A578CA"/>
    <w:rsid w:val="69E0011F"/>
    <w:rsid w:val="69EF02B7"/>
    <w:rsid w:val="69F501C3"/>
    <w:rsid w:val="6A0E7E33"/>
    <w:rsid w:val="6A207A55"/>
    <w:rsid w:val="6A497EA3"/>
    <w:rsid w:val="6A5D11DA"/>
    <w:rsid w:val="6A731E9C"/>
    <w:rsid w:val="6A906D98"/>
    <w:rsid w:val="6A9242F2"/>
    <w:rsid w:val="6A975464"/>
    <w:rsid w:val="6AC00E5F"/>
    <w:rsid w:val="6B054AC4"/>
    <w:rsid w:val="6B1010C6"/>
    <w:rsid w:val="6B261DD2"/>
    <w:rsid w:val="6B296B03"/>
    <w:rsid w:val="6B2F1B41"/>
    <w:rsid w:val="6B3929BF"/>
    <w:rsid w:val="6B5B234A"/>
    <w:rsid w:val="6B6E08BB"/>
    <w:rsid w:val="6BD96794"/>
    <w:rsid w:val="6BFF7765"/>
    <w:rsid w:val="6C0E79A8"/>
    <w:rsid w:val="6C28360B"/>
    <w:rsid w:val="6C360CAD"/>
    <w:rsid w:val="6C417D7E"/>
    <w:rsid w:val="6C6C46CF"/>
    <w:rsid w:val="6C8F74BC"/>
    <w:rsid w:val="6CB06CB1"/>
    <w:rsid w:val="6CB20CA7"/>
    <w:rsid w:val="6CB26586"/>
    <w:rsid w:val="6CC4450B"/>
    <w:rsid w:val="6CCB1952"/>
    <w:rsid w:val="6CD75FEC"/>
    <w:rsid w:val="6CDE381E"/>
    <w:rsid w:val="6CF576C7"/>
    <w:rsid w:val="6CF70FC1"/>
    <w:rsid w:val="6D5F5C93"/>
    <w:rsid w:val="6D624DC9"/>
    <w:rsid w:val="6D6A3304"/>
    <w:rsid w:val="6D7221B9"/>
    <w:rsid w:val="6D7E4E85"/>
    <w:rsid w:val="6D8141AA"/>
    <w:rsid w:val="6D8F68C7"/>
    <w:rsid w:val="6DC41A7E"/>
    <w:rsid w:val="6DCC09F8"/>
    <w:rsid w:val="6E0F7A08"/>
    <w:rsid w:val="6E1141A4"/>
    <w:rsid w:val="6E1E7C0B"/>
    <w:rsid w:val="6E2A416E"/>
    <w:rsid w:val="6E410900"/>
    <w:rsid w:val="6E533D98"/>
    <w:rsid w:val="6ED81442"/>
    <w:rsid w:val="6EDF5172"/>
    <w:rsid w:val="6EE36ECA"/>
    <w:rsid w:val="6F1277AF"/>
    <w:rsid w:val="6F2315A0"/>
    <w:rsid w:val="6F5A6ACD"/>
    <w:rsid w:val="6F60051B"/>
    <w:rsid w:val="6F970A65"/>
    <w:rsid w:val="6FDB4045"/>
    <w:rsid w:val="6FE80510"/>
    <w:rsid w:val="70036F13"/>
    <w:rsid w:val="70167D70"/>
    <w:rsid w:val="703674CE"/>
    <w:rsid w:val="707029DF"/>
    <w:rsid w:val="70714CC9"/>
    <w:rsid w:val="7098441D"/>
    <w:rsid w:val="709B234C"/>
    <w:rsid w:val="70D867D7"/>
    <w:rsid w:val="70E67CDC"/>
    <w:rsid w:val="71573B9F"/>
    <w:rsid w:val="716F155B"/>
    <w:rsid w:val="717C5785"/>
    <w:rsid w:val="71963D51"/>
    <w:rsid w:val="71CD20B4"/>
    <w:rsid w:val="71D8665A"/>
    <w:rsid w:val="71E66EC2"/>
    <w:rsid w:val="71F37CEB"/>
    <w:rsid w:val="71FD69D0"/>
    <w:rsid w:val="720D7917"/>
    <w:rsid w:val="721101F2"/>
    <w:rsid w:val="72224D05"/>
    <w:rsid w:val="72587BCF"/>
    <w:rsid w:val="727334FF"/>
    <w:rsid w:val="727A7B45"/>
    <w:rsid w:val="728564EA"/>
    <w:rsid w:val="72A1438D"/>
    <w:rsid w:val="72B41295"/>
    <w:rsid w:val="72C46191"/>
    <w:rsid w:val="72CC71DB"/>
    <w:rsid w:val="7306587D"/>
    <w:rsid w:val="73122550"/>
    <w:rsid w:val="73202D8A"/>
    <w:rsid w:val="73406A1D"/>
    <w:rsid w:val="73585516"/>
    <w:rsid w:val="73742537"/>
    <w:rsid w:val="738B1D63"/>
    <w:rsid w:val="738D0E15"/>
    <w:rsid w:val="738D3530"/>
    <w:rsid w:val="73A910D6"/>
    <w:rsid w:val="73B36F5F"/>
    <w:rsid w:val="73C11621"/>
    <w:rsid w:val="7406527E"/>
    <w:rsid w:val="7419513C"/>
    <w:rsid w:val="742A42C9"/>
    <w:rsid w:val="74383E34"/>
    <w:rsid w:val="744D0E5D"/>
    <w:rsid w:val="74C96B62"/>
    <w:rsid w:val="74CC0400"/>
    <w:rsid w:val="74FA31C0"/>
    <w:rsid w:val="75175B20"/>
    <w:rsid w:val="75264270"/>
    <w:rsid w:val="75285377"/>
    <w:rsid w:val="753A4DCA"/>
    <w:rsid w:val="75410DEE"/>
    <w:rsid w:val="7544268D"/>
    <w:rsid w:val="7583381D"/>
    <w:rsid w:val="759C6025"/>
    <w:rsid w:val="75BE243F"/>
    <w:rsid w:val="75CA1915"/>
    <w:rsid w:val="75CA4875"/>
    <w:rsid w:val="75DF0D15"/>
    <w:rsid w:val="75F42C7C"/>
    <w:rsid w:val="761400FE"/>
    <w:rsid w:val="76217EB9"/>
    <w:rsid w:val="7623146F"/>
    <w:rsid w:val="765D4412"/>
    <w:rsid w:val="768C598A"/>
    <w:rsid w:val="769D69BF"/>
    <w:rsid w:val="76CA658E"/>
    <w:rsid w:val="76DB0BEA"/>
    <w:rsid w:val="76FB5AB5"/>
    <w:rsid w:val="774E12F5"/>
    <w:rsid w:val="776B2A53"/>
    <w:rsid w:val="777731E3"/>
    <w:rsid w:val="77BD2282"/>
    <w:rsid w:val="77E83C53"/>
    <w:rsid w:val="77F8058D"/>
    <w:rsid w:val="781520BE"/>
    <w:rsid w:val="784F5146"/>
    <w:rsid w:val="78994A9D"/>
    <w:rsid w:val="7899546B"/>
    <w:rsid w:val="78A76BCB"/>
    <w:rsid w:val="78A8281A"/>
    <w:rsid w:val="78C11E16"/>
    <w:rsid w:val="78C37D6C"/>
    <w:rsid w:val="78DB6F4C"/>
    <w:rsid w:val="78E77D85"/>
    <w:rsid w:val="78EF063E"/>
    <w:rsid w:val="79695271"/>
    <w:rsid w:val="79731144"/>
    <w:rsid w:val="798017B9"/>
    <w:rsid w:val="7994331A"/>
    <w:rsid w:val="799A6D1F"/>
    <w:rsid w:val="799C6A9E"/>
    <w:rsid w:val="79D33FDF"/>
    <w:rsid w:val="79DF7C6D"/>
    <w:rsid w:val="79EF1E37"/>
    <w:rsid w:val="79F65252"/>
    <w:rsid w:val="7A1940E8"/>
    <w:rsid w:val="7A1C5986"/>
    <w:rsid w:val="7A375C78"/>
    <w:rsid w:val="7A905C5B"/>
    <w:rsid w:val="7AB77409"/>
    <w:rsid w:val="7AB91427"/>
    <w:rsid w:val="7AE75F94"/>
    <w:rsid w:val="7B0C4A40"/>
    <w:rsid w:val="7B0F7299"/>
    <w:rsid w:val="7B187EFC"/>
    <w:rsid w:val="7B2A5E81"/>
    <w:rsid w:val="7B33304D"/>
    <w:rsid w:val="7B400342"/>
    <w:rsid w:val="7B4C5B44"/>
    <w:rsid w:val="7B6374C1"/>
    <w:rsid w:val="7B844BCE"/>
    <w:rsid w:val="7BCC12B5"/>
    <w:rsid w:val="7BD56616"/>
    <w:rsid w:val="7BF1074D"/>
    <w:rsid w:val="7C0D44AB"/>
    <w:rsid w:val="7C211BE0"/>
    <w:rsid w:val="7C464B2A"/>
    <w:rsid w:val="7C4C5404"/>
    <w:rsid w:val="7C5E704E"/>
    <w:rsid w:val="7C642553"/>
    <w:rsid w:val="7C6B49A3"/>
    <w:rsid w:val="7CAD0AEA"/>
    <w:rsid w:val="7CAF42C2"/>
    <w:rsid w:val="7CB579CC"/>
    <w:rsid w:val="7CD662C0"/>
    <w:rsid w:val="7CD97919"/>
    <w:rsid w:val="7CDB0C43"/>
    <w:rsid w:val="7CE56503"/>
    <w:rsid w:val="7D220D3A"/>
    <w:rsid w:val="7D2A75E5"/>
    <w:rsid w:val="7D502F20"/>
    <w:rsid w:val="7D541253"/>
    <w:rsid w:val="7D7013D2"/>
    <w:rsid w:val="7D851A94"/>
    <w:rsid w:val="7DB06117"/>
    <w:rsid w:val="7DB8164E"/>
    <w:rsid w:val="7DC641AE"/>
    <w:rsid w:val="7DEF3DB4"/>
    <w:rsid w:val="7E5C27F5"/>
    <w:rsid w:val="7E71154E"/>
    <w:rsid w:val="7E875152"/>
    <w:rsid w:val="7E971C67"/>
    <w:rsid w:val="7E9D2DFB"/>
    <w:rsid w:val="7EB02430"/>
    <w:rsid w:val="7ED23BDD"/>
    <w:rsid w:val="7EDA2345"/>
    <w:rsid w:val="7EE527EB"/>
    <w:rsid w:val="7EE6460E"/>
    <w:rsid w:val="7F231565"/>
    <w:rsid w:val="7F25708B"/>
    <w:rsid w:val="7F390D5A"/>
    <w:rsid w:val="7F3C6183"/>
    <w:rsid w:val="7F493C80"/>
    <w:rsid w:val="7F4F5EB6"/>
    <w:rsid w:val="7F71090C"/>
    <w:rsid w:val="7FA05258"/>
    <w:rsid w:val="7FAA57E2"/>
    <w:rsid w:val="7FCF360F"/>
    <w:rsid w:val="7FDA60C7"/>
    <w:rsid w:val="7FED1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semiHidden/>
    <w:unhideWhenUsed/>
    <w:qFormat/>
    <w:uiPriority w:val="0"/>
    <w:pPr>
      <w:keepNext/>
      <w:keepLines/>
      <w:spacing w:line="580" w:lineRule="exact"/>
      <w:outlineLvl w:val="1"/>
    </w:pPr>
    <w:rPr>
      <w:rFonts w:ascii="Times New Roman" w:hAnsi="Times New Roman" w:eastAsia="楷体_GB2312"/>
      <w:b/>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Calibri" w:hAnsi="Calibri" w:eastAsia="宋体" w:cs="宋体"/>
    </w:rPr>
  </w:style>
  <w:style w:type="paragraph" w:styleId="6">
    <w:name w:val="table of authorities"/>
    <w:basedOn w:val="1"/>
    <w:next w:val="1"/>
    <w:qFormat/>
    <w:uiPriority w:val="99"/>
    <w:pPr>
      <w:ind w:left="420" w:leftChars="200"/>
    </w:pPr>
    <w:rPr>
      <w:rFonts w:ascii="Times New Roman" w:hAnsi="Times New Roman" w:eastAsia="宋体" w:cs="Times New Roman"/>
      <w:szCs w:val="20"/>
    </w:rPr>
  </w:style>
  <w:style w:type="paragraph" w:styleId="7">
    <w:name w:val="Normal Indent"/>
    <w:basedOn w:val="1"/>
    <w:next w:val="1"/>
    <w:qFormat/>
    <w:uiPriority w:val="0"/>
    <w:pPr>
      <w:ind w:firstLine="420" w:firstLineChars="200"/>
    </w:pPr>
    <w:rPr>
      <w:rFonts w:ascii="Calibri" w:hAnsi="Calibri" w:eastAsia="仿宋"/>
      <w:sz w:val="32"/>
    </w:rPr>
  </w:style>
  <w:style w:type="paragraph" w:styleId="8">
    <w:name w:val="annotation text"/>
    <w:basedOn w:val="1"/>
    <w:qFormat/>
    <w:uiPriority w:val="0"/>
    <w:pPr>
      <w:jc w:val="left"/>
    </w:pPr>
  </w:style>
  <w:style w:type="paragraph" w:styleId="9">
    <w:name w:val="Plain Text"/>
    <w:basedOn w:val="1"/>
    <w:next w:val="1"/>
    <w:qFormat/>
    <w:uiPriority w:val="0"/>
    <w:rPr>
      <w:rFonts w:ascii="宋体" w:hAnsi="宋体" w:eastAsia="宋体"/>
      <w:color w:val="000000"/>
      <w:kern w:val="0"/>
      <w:sz w:val="20"/>
      <w:szCs w:val="21"/>
    </w:rPr>
  </w:style>
  <w:style w:type="paragraph" w:styleId="10">
    <w:name w:val="Balloon Text"/>
    <w:basedOn w:val="1"/>
    <w:link w:val="29"/>
    <w:qFormat/>
    <w:uiPriority w:val="0"/>
    <w:rPr>
      <w:sz w:val="18"/>
      <w:szCs w:val="18"/>
    </w:rPr>
  </w:style>
  <w:style w:type="paragraph" w:styleId="11">
    <w:name w:val="footer"/>
    <w:basedOn w:val="1"/>
    <w:next w:val="1"/>
    <w:unhideWhenUsed/>
    <w:qFormat/>
    <w:uiPriority w:val="99"/>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footnote text"/>
    <w:basedOn w:val="1"/>
    <w:qFormat/>
    <w:uiPriority w:val="0"/>
    <w:pPr>
      <w:snapToGrid w:val="0"/>
      <w:jc w:val="left"/>
    </w:pPr>
    <w:rPr>
      <w:sz w:val="18"/>
    </w:rPr>
  </w:style>
  <w:style w:type="paragraph" w:styleId="15">
    <w:name w:val="toc 2"/>
    <w:basedOn w:val="1"/>
    <w:next w:val="1"/>
    <w:qFormat/>
    <w:uiPriority w:val="0"/>
    <w:pPr>
      <w:ind w:left="42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Title"/>
    <w:basedOn w:val="1"/>
    <w:qFormat/>
    <w:uiPriority w:val="0"/>
    <w:pPr>
      <w:spacing w:beforeLines="0" w:beforeAutospacing="0" w:afterLines="0" w:afterAutospacing="0" w:line="240" w:lineRule="auto"/>
      <w:jc w:val="center"/>
      <w:outlineLvl w:val="0"/>
    </w:pPr>
    <w:rPr>
      <w:rFonts w:ascii="方正小标宋简体" w:hAnsi="方正小标宋简体" w:eastAsia="方正小标宋简体" w:cs="方正小标宋简体"/>
      <w:sz w:val="44"/>
      <w:szCs w:val="44"/>
    </w:rPr>
  </w:style>
  <w:style w:type="character" w:styleId="20">
    <w:name w:val="Strong"/>
    <w:basedOn w:val="19"/>
    <w:qFormat/>
    <w:uiPriority w:val="0"/>
    <w:rPr>
      <w:b/>
    </w:rPr>
  </w:style>
  <w:style w:type="character" w:styleId="21">
    <w:name w:val="footnote reference"/>
    <w:basedOn w:val="19"/>
    <w:qFormat/>
    <w:uiPriority w:val="0"/>
    <w:rPr>
      <w:vertAlign w:val="superscript"/>
    </w:rPr>
  </w:style>
  <w:style w:type="paragraph" w:customStyle="1" w:styleId="22">
    <w:name w:val="toc 11"/>
    <w:next w:val="1"/>
    <w:unhideWhenUsed/>
    <w:qFormat/>
    <w:uiPriority w:val="0"/>
    <w:pPr>
      <w:wordWrap w:val="0"/>
      <w:spacing w:beforeLines="0" w:afterLines="0"/>
      <w:jc w:val="both"/>
    </w:pPr>
    <w:rPr>
      <w:rFonts w:hint="default" w:ascii="Times New Roman" w:hAnsi="Times New Roman" w:eastAsia="宋体" w:cs="Times New Roman"/>
      <w:sz w:val="21"/>
      <w:szCs w:val="22"/>
      <w:lang w:val="en-US" w:eastAsia="zh-CN" w:bidi="ar-SA"/>
    </w:rPr>
  </w:style>
  <w:style w:type="paragraph" w:customStyle="1" w:styleId="23">
    <w:name w:val="目录 11"/>
    <w:next w:val="1"/>
    <w:qFormat/>
    <w:uiPriority w:val="0"/>
    <w:pPr>
      <w:wordWrap w:val="0"/>
      <w:jc w:val="both"/>
    </w:pPr>
    <w:rPr>
      <w:rFonts w:ascii="Calibri" w:hAnsi="Calibri" w:eastAsia="宋体" w:cs="Times New Roman"/>
      <w:sz w:val="21"/>
      <w:szCs w:val="22"/>
      <w:lang w:val="en-US" w:eastAsia="zh-CN" w:bidi="ar-SA"/>
    </w:rPr>
  </w:style>
  <w:style w:type="paragraph" w:customStyle="1" w:styleId="24">
    <w:name w:val="BodyText1I2"/>
    <w:basedOn w:val="25"/>
    <w:next w:val="27"/>
    <w:qFormat/>
    <w:uiPriority w:val="99"/>
    <w:pPr>
      <w:ind w:firstLine="420"/>
    </w:pPr>
  </w:style>
  <w:style w:type="paragraph" w:customStyle="1" w:styleId="25">
    <w:name w:val="BodyTextIndent"/>
    <w:basedOn w:val="1"/>
    <w:next w:val="26"/>
    <w:qFormat/>
    <w:uiPriority w:val="99"/>
    <w:pPr>
      <w:ind w:left="420" w:leftChars="200"/>
    </w:pPr>
  </w:style>
  <w:style w:type="paragraph" w:customStyle="1" w:styleId="26">
    <w:name w:val="NormalIndent"/>
    <w:basedOn w:val="1"/>
    <w:qFormat/>
    <w:uiPriority w:val="99"/>
    <w:pPr>
      <w:ind w:firstLine="420"/>
    </w:pPr>
  </w:style>
  <w:style w:type="paragraph" w:customStyle="1" w:styleId="27">
    <w:name w:val="BodyText1I"/>
    <w:basedOn w:val="28"/>
    <w:qFormat/>
    <w:uiPriority w:val="99"/>
    <w:pPr>
      <w:ind w:firstLine="420" w:firstLineChars="100"/>
    </w:pPr>
  </w:style>
  <w:style w:type="paragraph" w:customStyle="1" w:styleId="28">
    <w:name w:val="BodyText"/>
    <w:basedOn w:val="1"/>
    <w:qFormat/>
    <w:uiPriority w:val="99"/>
    <w:pPr>
      <w:spacing w:after="120"/>
      <w:textAlignment w:val="baseline"/>
    </w:pPr>
  </w:style>
  <w:style w:type="character" w:customStyle="1" w:styleId="29">
    <w:name w:val="批注框文本 字符"/>
    <w:basedOn w:val="19"/>
    <w:link w:val="10"/>
    <w:qFormat/>
    <w:uiPriority w:val="0"/>
    <w:rPr>
      <w:rFonts w:asciiTheme="minorHAnsi" w:hAnsiTheme="minorHAnsi" w:eastAsiaTheme="minorEastAsia" w:cstheme="minorBidi"/>
      <w:kern w:val="2"/>
      <w:sz w:val="18"/>
      <w:szCs w:val="18"/>
    </w:rPr>
  </w:style>
  <w:style w:type="character" w:customStyle="1" w:styleId="30">
    <w:name w:val="NormalCharacter"/>
    <w:link w:val="31"/>
    <w:qFormat/>
    <w:uiPriority w:val="0"/>
    <w:rPr>
      <w:rFonts w:ascii="宋体" w:hAnsi="宋体" w:eastAsia="等线"/>
      <w:sz w:val="32"/>
      <w:szCs w:val="32"/>
    </w:rPr>
  </w:style>
  <w:style w:type="paragraph" w:customStyle="1" w:styleId="31">
    <w:name w:val="UserStyle_3"/>
    <w:basedOn w:val="1"/>
    <w:link w:val="30"/>
    <w:qFormat/>
    <w:uiPriority w:val="0"/>
    <w:pPr>
      <w:widowControl/>
      <w:textAlignment w:val="baseline"/>
    </w:pPr>
    <w:rPr>
      <w:rFonts w:ascii="宋体" w:hAnsi="宋体" w:eastAsia="等线"/>
      <w:sz w:val="32"/>
      <w:szCs w:val="32"/>
    </w:rPr>
  </w:style>
  <w:style w:type="paragraph" w:customStyle="1" w:styleId="32">
    <w:name w:val="TOC 标题3"/>
    <w:basedOn w:val="3"/>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color w:val="2E54A1"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24CCDF-B244-473A-ADC5-BC4D7B360ED7}">
  <ds:schemaRefs/>
</ds:datastoreItem>
</file>

<file path=docProps/app.xml><?xml version="1.0" encoding="utf-8"?>
<Properties xmlns="http://schemas.openxmlformats.org/officeDocument/2006/extended-properties" xmlns:vt="http://schemas.openxmlformats.org/officeDocument/2006/docPropsVTypes">
  <Template>Normal.dotm</Template>
  <Pages>47</Pages>
  <Words>21764</Words>
  <Characters>21859</Characters>
  <Lines>206</Lines>
  <Paragraphs>58</Paragraphs>
  <TotalTime>0</TotalTime>
  <ScaleCrop>false</ScaleCrop>
  <LinksUpToDate>false</LinksUpToDate>
  <CharactersWithSpaces>22025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2025-06-19T03:42:00Z</dcterms:created>
  <dc:creator>lszh</dc:creator>
  <cp:lastModifiedBy>Administrator</cp:lastModifiedBy>
  <cp:lastPrinted>2026-10-14T02:52:00Z</cp:lastPrinted>
  <dcterms:modified xsi:type="dcterms:W3CDTF">2026-10-21T01:41:47Z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eyJoZGlkIjoiNDRhMDJjMWVlNzJkYWIyMGNkMzY2OWU4ZjNiMGIyYmYifQ==</vt:lpwstr>
  </property>
  <property fmtid="{D5CDD505-2E9C-101B-9397-08002B2CF9AE}" pid="4" name="ICV">
    <vt:lpwstr>CA523B66A9914420939C5A45C30B5F59_13</vt:lpwstr>
  </property>
</Properties>
</file>