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44"/>
          <w:szCs w:val="44"/>
        </w:rPr>
        <w:t>年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1-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月</w:t>
      </w:r>
      <w:r>
        <w:rPr>
          <w:rFonts w:hint="eastAsia" w:ascii="宋体" w:hAnsi="宋体" w:eastAsia="宋体" w:cs="宋体"/>
          <w:b/>
          <w:sz w:val="44"/>
          <w:szCs w:val="44"/>
        </w:rPr>
        <w:t>朝阳区主要经济指标数据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1．工业生产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1-2月</w:t>
      </w:r>
      <w:r>
        <w:rPr>
          <w:rFonts w:hint="eastAsia" w:ascii="宋体" w:hAnsi="宋体" w:eastAsia="宋体" w:cs="宋体"/>
          <w:sz w:val="28"/>
          <w:szCs w:val="28"/>
        </w:rPr>
        <w:t>，朝阳区实现规模以上工业总产值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147.2</w:t>
      </w:r>
      <w:r>
        <w:rPr>
          <w:rFonts w:hint="eastAsia" w:ascii="宋体" w:hAnsi="宋体" w:eastAsia="宋体" w:cs="宋体"/>
          <w:sz w:val="28"/>
          <w:szCs w:val="28"/>
        </w:rPr>
        <w:t>亿元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，同比增长15.3%。分行业看，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1-2月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，在25个工业大类行业中，22个行业产值同比增长，3个行业同比下降。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w w:val="90"/>
          <w:sz w:val="28"/>
          <w:szCs w:val="28"/>
        </w:rPr>
      </w:pPr>
      <w:r>
        <w:rPr>
          <w:rFonts w:hint="eastAsia" w:ascii="宋体" w:hAnsi="宋体" w:eastAsia="宋体" w:cs="宋体"/>
          <w:b/>
          <w:w w:val="90"/>
          <w:sz w:val="28"/>
          <w:szCs w:val="28"/>
        </w:rPr>
        <w:t>图1  20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w w:val="90"/>
          <w:sz w:val="28"/>
          <w:szCs w:val="28"/>
        </w:rPr>
        <w:t>年2月</w:t>
      </w:r>
      <w:r>
        <w:rPr>
          <w:rFonts w:hint="eastAsia" w:ascii="宋体" w:hAnsi="宋体" w:cs="宋体"/>
          <w:b/>
          <w:w w:val="90"/>
          <w:sz w:val="28"/>
          <w:szCs w:val="28"/>
          <w:lang w:eastAsia="zh-CN"/>
        </w:rPr>
        <w:t>至今</w:t>
      </w:r>
      <w:r>
        <w:rPr>
          <w:rFonts w:hint="eastAsia" w:ascii="宋体" w:hAnsi="宋体" w:eastAsia="宋体" w:cs="宋体"/>
          <w:b/>
          <w:w w:val="90"/>
          <w:sz w:val="28"/>
          <w:szCs w:val="28"/>
        </w:rPr>
        <w:t>规模以上工业总产值累计增速（%）</w:t>
      </w:r>
    </w:p>
    <w:p>
      <w:pPr>
        <w:spacing w:line="480" w:lineRule="auto"/>
        <w:jc w:val="center"/>
        <w:rPr>
          <w:rFonts w:eastAsia="仿宋_GB2312"/>
          <w:b/>
          <w:w w:val="90"/>
          <w:sz w:val="28"/>
          <w:szCs w:val="28"/>
        </w:rPr>
      </w:pPr>
      <w:r>
        <w:drawing>
          <wp:inline distT="0" distB="0" distL="114300" distR="114300">
            <wp:extent cx="5273040" cy="4260215"/>
            <wp:effectExtent l="0" t="0" r="0" b="698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2．固定资产投资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1-2月</w:t>
      </w:r>
      <w:r>
        <w:rPr>
          <w:rFonts w:hint="eastAsia" w:ascii="宋体" w:hAnsi="宋体" w:eastAsia="宋体" w:cs="宋体"/>
          <w:sz w:val="28"/>
          <w:szCs w:val="28"/>
        </w:rPr>
        <w:t>，朝阳区固定资产投资（不含农户）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同比增长11.4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其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中，房地产开发投资同比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增长15.8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%。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图2  20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sz w:val="28"/>
          <w:szCs w:val="28"/>
        </w:rPr>
        <w:t>年2月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至今</w:t>
      </w:r>
      <w:r>
        <w:rPr>
          <w:rFonts w:hint="eastAsia" w:ascii="宋体" w:hAnsi="宋体" w:eastAsia="宋体" w:cs="宋体"/>
          <w:b/>
          <w:sz w:val="28"/>
          <w:szCs w:val="28"/>
        </w:rPr>
        <w:t>固定资产投资（不含农户）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累计增速（%）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drawing>
          <wp:inline distT="0" distB="0" distL="114300" distR="114300">
            <wp:extent cx="5269230" cy="4053205"/>
            <wp:effectExtent l="0" t="0" r="3810" b="63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3．消费品市场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1-2月</w:t>
      </w:r>
      <w:r>
        <w:rPr>
          <w:rFonts w:hint="eastAsia" w:ascii="宋体" w:hAnsi="宋体" w:eastAsia="宋体" w:cs="宋体"/>
          <w:sz w:val="28"/>
          <w:szCs w:val="28"/>
        </w:rPr>
        <w:t>，朝阳区实现社会消费品零售额588.1亿元，同比增长34.9%。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图3  20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sz w:val="28"/>
          <w:szCs w:val="28"/>
        </w:rPr>
        <w:t>年2月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至今</w:t>
      </w:r>
      <w:r>
        <w:rPr>
          <w:rFonts w:hint="eastAsia" w:ascii="宋体" w:hAnsi="宋体" w:eastAsia="宋体" w:cs="宋体"/>
          <w:b/>
          <w:sz w:val="28"/>
          <w:szCs w:val="28"/>
        </w:rPr>
        <w:t>社会消费品零售额累计增速（%）</w:t>
      </w:r>
    </w:p>
    <w:p>
      <w:pPr>
        <w:spacing w:line="480" w:lineRule="auto"/>
        <w:jc w:val="center"/>
        <w:rPr>
          <w:rFonts w:hint="eastAsia"/>
        </w:rPr>
      </w:pPr>
      <w:r>
        <w:drawing>
          <wp:inline distT="0" distB="0" distL="114300" distR="114300">
            <wp:extent cx="5317490" cy="3776345"/>
            <wp:effectExtent l="0" t="0" r="1270" b="3175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00" w:usb3="00000000" w:csb0="00000000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51E5"/>
    <w:rsid w:val="00007353"/>
    <w:rsid w:val="000243C9"/>
    <w:rsid w:val="00050BFE"/>
    <w:rsid w:val="00082B00"/>
    <w:rsid w:val="000906E9"/>
    <w:rsid w:val="000A3C19"/>
    <w:rsid w:val="000C07D5"/>
    <w:rsid w:val="000D4083"/>
    <w:rsid w:val="000F2A72"/>
    <w:rsid w:val="001110A1"/>
    <w:rsid w:val="0014294D"/>
    <w:rsid w:val="001651E5"/>
    <w:rsid w:val="00166B17"/>
    <w:rsid w:val="00171FF5"/>
    <w:rsid w:val="00173FF1"/>
    <w:rsid w:val="001A2CAD"/>
    <w:rsid w:val="001F1861"/>
    <w:rsid w:val="00204E88"/>
    <w:rsid w:val="00234A41"/>
    <w:rsid w:val="00252BDF"/>
    <w:rsid w:val="002668C1"/>
    <w:rsid w:val="00282FED"/>
    <w:rsid w:val="00287C6F"/>
    <w:rsid w:val="002A1893"/>
    <w:rsid w:val="002B7FBA"/>
    <w:rsid w:val="002C7417"/>
    <w:rsid w:val="002E1BD9"/>
    <w:rsid w:val="002F011B"/>
    <w:rsid w:val="00313402"/>
    <w:rsid w:val="00313EF2"/>
    <w:rsid w:val="00315527"/>
    <w:rsid w:val="0034079B"/>
    <w:rsid w:val="003415F7"/>
    <w:rsid w:val="00350B0C"/>
    <w:rsid w:val="00387D81"/>
    <w:rsid w:val="00396857"/>
    <w:rsid w:val="003B7401"/>
    <w:rsid w:val="003E7FE2"/>
    <w:rsid w:val="00414248"/>
    <w:rsid w:val="00476212"/>
    <w:rsid w:val="004A5B2D"/>
    <w:rsid w:val="004D4457"/>
    <w:rsid w:val="004E63F0"/>
    <w:rsid w:val="00504E29"/>
    <w:rsid w:val="00506056"/>
    <w:rsid w:val="00513146"/>
    <w:rsid w:val="005A5A04"/>
    <w:rsid w:val="005B0CC7"/>
    <w:rsid w:val="005D4ACA"/>
    <w:rsid w:val="005E2D49"/>
    <w:rsid w:val="005F1B70"/>
    <w:rsid w:val="00603CAD"/>
    <w:rsid w:val="006812BB"/>
    <w:rsid w:val="00686AAD"/>
    <w:rsid w:val="006B7F69"/>
    <w:rsid w:val="006C07C9"/>
    <w:rsid w:val="006D6919"/>
    <w:rsid w:val="006E3080"/>
    <w:rsid w:val="006F0B88"/>
    <w:rsid w:val="006F1078"/>
    <w:rsid w:val="006F5391"/>
    <w:rsid w:val="00700E51"/>
    <w:rsid w:val="0070407B"/>
    <w:rsid w:val="0073426D"/>
    <w:rsid w:val="00775F28"/>
    <w:rsid w:val="007760B2"/>
    <w:rsid w:val="00790652"/>
    <w:rsid w:val="007A7FA7"/>
    <w:rsid w:val="007B5378"/>
    <w:rsid w:val="007C2230"/>
    <w:rsid w:val="007D261D"/>
    <w:rsid w:val="008178CD"/>
    <w:rsid w:val="0083577C"/>
    <w:rsid w:val="0083665C"/>
    <w:rsid w:val="00860649"/>
    <w:rsid w:val="008A360B"/>
    <w:rsid w:val="008C54DD"/>
    <w:rsid w:val="008E1A7E"/>
    <w:rsid w:val="00901126"/>
    <w:rsid w:val="00903824"/>
    <w:rsid w:val="009415C3"/>
    <w:rsid w:val="00951E9F"/>
    <w:rsid w:val="00954469"/>
    <w:rsid w:val="00974BC9"/>
    <w:rsid w:val="00984BE8"/>
    <w:rsid w:val="009A7B0C"/>
    <w:rsid w:val="009D2207"/>
    <w:rsid w:val="00A32187"/>
    <w:rsid w:val="00A4702D"/>
    <w:rsid w:val="00A506E1"/>
    <w:rsid w:val="00A62620"/>
    <w:rsid w:val="00A73BA4"/>
    <w:rsid w:val="00A852A8"/>
    <w:rsid w:val="00AC6201"/>
    <w:rsid w:val="00AE055E"/>
    <w:rsid w:val="00AF4DF7"/>
    <w:rsid w:val="00AF7AE8"/>
    <w:rsid w:val="00B0507F"/>
    <w:rsid w:val="00B07926"/>
    <w:rsid w:val="00B17347"/>
    <w:rsid w:val="00B32EE7"/>
    <w:rsid w:val="00B4295D"/>
    <w:rsid w:val="00B93D8D"/>
    <w:rsid w:val="00B95F67"/>
    <w:rsid w:val="00BE29F5"/>
    <w:rsid w:val="00BF6415"/>
    <w:rsid w:val="00C21C9F"/>
    <w:rsid w:val="00C2780C"/>
    <w:rsid w:val="00C307FA"/>
    <w:rsid w:val="00C5150E"/>
    <w:rsid w:val="00C668AA"/>
    <w:rsid w:val="00C87CFF"/>
    <w:rsid w:val="00CA0F2A"/>
    <w:rsid w:val="00CA57E3"/>
    <w:rsid w:val="00CC498C"/>
    <w:rsid w:val="00D168DA"/>
    <w:rsid w:val="00D3467D"/>
    <w:rsid w:val="00D61D76"/>
    <w:rsid w:val="00D828D2"/>
    <w:rsid w:val="00D945BD"/>
    <w:rsid w:val="00DA66A2"/>
    <w:rsid w:val="00DA7AEA"/>
    <w:rsid w:val="00DB44A5"/>
    <w:rsid w:val="00DC407B"/>
    <w:rsid w:val="00DD556C"/>
    <w:rsid w:val="00E27B7F"/>
    <w:rsid w:val="00E31FC2"/>
    <w:rsid w:val="00E61DF0"/>
    <w:rsid w:val="00E63694"/>
    <w:rsid w:val="00E63D44"/>
    <w:rsid w:val="00E7033D"/>
    <w:rsid w:val="00F20415"/>
    <w:rsid w:val="00F453DA"/>
    <w:rsid w:val="00F46B15"/>
    <w:rsid w:val="00F57CA3"/>
    <w:rsid w:val="00FA3E35"/>
    <w:rsid w:val="00FC0729"/>
    <w:rsid w:val="00FC4B2A"/>
    <w:rsid w:val="00FC63D3"/>
    <w:rsid w:val="00FD2E5E"/>
    <w:rsid w:val="00FE3B32"/>
    <w:rsid w:val="00FE75BD"/>
    <w:rsid w:val="00FF266F"/>
    <w:rsid w:val="040E7118"/>
    <w:rsid w:val="04A518BA"/>
    <w:rsid w:val="06D206FE"/>
    <w:rsid w:val="156C4552"/>
    <w:rsid w:val="1F136385"/>
    <w:rsid w:val="20BC6E7B"/>
    <w:rsid w:val="22CA17D0"/>
    <w:rsid w:val="2540269A"/>
    <w:rsid w:val="3C242497"/>
    <w:rsid w:val="3CBF1BA4"/>
    <w:rsid w:val="4CA2427C"/>
    <w:rsid w:val="567C5CAC"/>
    <w:rsid w:val="59A50155"/>
    <w:rsid w:val="5C2A2F81"/>
    <w:rsid w:val="5D3C397F"/>
    <w:rsid w:val="5E2451F4"/>
    <w:rsid w:val="64A55139"/>
    <w:rsid w:val="664C647F"/>
    <w:rsid w:val="75601036"/>
    <w:rsid w:val="75C7123D"/>
    <w:rsid w:val="7718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21&#24180;&#20449;&#24687;\&#22806;&#32593;&#20449;&#24687;\&#22806;&#32593;&#20449;&#24687;&#22270;%20-%20&#21103;&#26412;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21&#24180;&#20449;&#24687;\&#22806;&#32593;&#20449;&#24687;\&#22806;&#32593;&#20449;&#24687;&#22270;%20-%20&#21103;&#26412;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21&#24180;&#20449;&#24687;\&#22806;&#32593;&#20449;&#24687;\&#22806;&#32593;&#20449;&#24687;&#22270;%20-%20&#21103;&#26412;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12563402262973"/>
          <c:y val="0.0724300406923877"/>
          <c:w val="0.900507218103785"/>
          <c:h val="0.759698133192109"/>
        </c:manualLayout>
      </c:layout>
      <c:lineChart>
        <c:grouping val="standard"/>
        <c:varyColors val="0"/>
        <c:ser>
          <c:idx val="0"/>
          <c:order val="0"/>
          <c:tx>
            <c:strRef>
              <c:f>'[外网信息图 - 副本n.xlsx]工业'!$C$1</c:f>
              <c:strCache>
                <c:ptCount val="1"/>
                <c:pt idx="0">
                  <c:v>规模以上现价工业总产值增速</c:v>
                </c:pt>
              </c:strCache>
            </c:strRef>
          </c:tx>
          <c:spPr>
            <a:ln w="28575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chemeClr val="tx1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chemeClr val="tx1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12700" cap="rnd" cmpd="sng" algn="ctr">
                <a:solidFill>
                  <a:schemeClr val="tx1"/>
                </a:solidFill>
                <a:prstDash val="sysDot"/>
                <a:round/>
              </a:ln>
            </c:spPr>
          </c:dPt>
          <c:dLbls>
            <c:delete val="1"/>
          </c:dLbls>
          <c:cat>
            <c:multiLvlStrRef>
              <c:f>'[外网信息图 - 副本n.xlsx]工业'!$A$68:$B$79</c:f>
              <c:multiLvlStrCache>
                <c:ptCount val="12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</c:lvl>
                <c:lvl>
                  <c:pt idx="0">
                    <c:v>2020年</c:v>
                  </c:pt>
                  <c:pt idx="11">
                    <c:v>2021年</c:v>
                  </c:pt>
                </c:lvl>
              </c:multiLvlStrCache>
            </c:multiLvlStrRef>
          </c:cat>
          <c:val>
            <c:numRef>
              <c:f>'[外网信息图 - 副本n.xlsx]工业'!$C$68:$C$79</c:f>
              <c:numCache>
                <c:formatCode>0.0_ </c:formatCode>
                <c:ptCount val="12"/>
                <c:pt idx="0">
                  <c:v>-12.5</c:v>
                </c:pt>
                <c:pt idx="1">
                  <c:v>-11</c:v>
                </c:pt>
                <c:pt idx="2">
                  <c:v>-7.6</c:v>
                </c:pt>
                <c:pt idx="3">
                  <c:v>-7.7</c:v>
                </c:pt>
                <c:pt idx="4">
                  <c:v>-6.2</c:v>
                </c:pt>
                <c:pt idx="5">
                  <c:v>-6.3</c:v>
                </c:pt>
                <c:pt idx="6">
                  <c:v>-6.1</c:v>
                </c:pt>
                <c:pt idx="7">
                  <c:v>-6.4</c:v>
                </c:pt>
                <c:pt idx="8">
                  <c:v>-3</c:v>
                </c:pt>
                <c:pt idx="9">
                  <c:v>-1.6</c:v>
                </c:pt>
                <c:pt idx="10">
                  <c:v>-1.3</c:v>
                </c:pt>
                <c:pt idx="11">
                  <c:v>15.3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876096"/>
        <c:axId val="104407424"/>
      </c:lineChart>
      <c:catAx>
        <c:axId val="103876096"/>
        <c:scaling>
          <c:orientation val="minMax"/>
        </c:scaling>
        <c:delete val="0"/>
        <c:axPos val="b"/>
        <c:numFmt formatCode="#,##0.00_);\(#,##0.00\)" sourceLinked="0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04407424"/>
        <c:crossesAt val="0"/>
        <c:auto val="1"/>
        <c:lblAlgn val="ctr"/>
        <c:lblOffset val="100"/>
        <c:tickLblSkip val="1"/>
        <c:noMultiLvlLbl val="0"/>
      </c:catAx>
      <c:valAx>
        <c:axId val="104407424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03876096"/>
        <c:crosses val="autoZero"/>
        <c:crossBetween val="midCat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83573366729284"/>
          <c:y val="0.0387895460797799"/>
          <c:w val="0.902525568774786"/>
          <c:h val="0.709821182943604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prstClr val="black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</c:spPr>
          </c:marker>
          <c:dPt>
            <c:idx val="11"/>
            <c:marker>
              <c:spPr>
                <a:solidFill>
                  <a:sysClr val="windowText" lastClr="000000"/>
                </a:solidFill>
              </c:spPr>
            </c:marker>
            <c:bubble3D val="0"/>
            <c:spPr>
              <a:ln w="12700" cap="rnd" cmpd="sng" algn="ctr">
                <a:solidFill>
                  <a:schemeClr val="tx1"/>
                </a:solidFill>
                <a:prstDash val="sysDot"/>
                <a:round/>
              </a:ln>
            </c:spPr>
          </c:dPt>
          <c:dLbls>
            <c:delete val="1"/>
          </c:dLbls>
          <c:cat>
            <c:multiLvlStrRef>
              <c:f>'[外网信息图 - 副本n.xlsx]投资'!$A$68:$B$79</c:f>
              <c:multiLvlStrCache>
                <c:ptCount val="12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</c:lvl>
                <c:lvl>
                  <c:pt idx="0">
                    <c:v>2020年</c:v>
                  </c:pt>
                  <c:pt idx="11">
                    <c:v>2021年</c:v>
                  </c:pt>
                </c:lvl>
              </c:multiLvlStrCache>
            </c:multiLvlStrRef>
          </c:cat>
          <c:val>
            <c:numRef>
              <c:f>'[外网信息图 - 副本n.xlsx]投资'!$C$68:$C$79</c:f>
              <c:numCache>
                <c:formatCode>0.0_ </c:formatCode>
                <c:ptCount val="12"/>
                <c:pt idx="0">
                  <c:v>-23.4</c:v>
                </c:pt>
                <c:pt idx="1" c:formatCode="General">
                  <c:v>-16.6</c:v>
                </c:pt>
                <c:pt idx="2">
                  <c:v>-15</c:v>
                </c:pt>
                <c:pt idx="3" c:formatCode="General">
                  <c:v>-25.5</c:v>
                </c:pt>
                <c:pt idx="4" c:formatCode="General">
                  <c:v>-10.4</c:v>
                </c:pt>
                <c:pt idx="5" c:formatCode="General">
                  <c:v>-16.7</c:v>
                </c:pt>
                <c:pt idx="6" c:formatCode="General">
                  <c:v>-18.1</c:v>
                </c:pt>
                <c:pt idx="7" c:formatCode="General">
                  <c:v>-16.5</c:v>
                </c:pt>
                <c:pt idx="8" c:formatCode="General">
                  <c:v>-16.7</c:v>
                </c:pt>
                <c:pt idx="9" c:formatCode="General">
                  <c:v>-20.9</c:v>
                </c:pt>
                <c:pt idx="10" c:formatCode="General">
                  <c:v>-18.3</c:v>
                </c:pt>
                <c:pt idx="11" c:formatCode="General">
                  <c:v>11.4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4001664"/>
        <c:axId val="144007936"/>
      </c:lineChart>
      <c:catAx>
        <c:axId val="144001664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44007936"/>
        <c:crosses val="autoZero"/>
        <c:auto val="1"/>
        <c:lblAlgn val="ctr"/>
        <c:lblOffset val="100"/>
        <c:noMultiLvlLbl val="0"/>
      </c:catAx>
      <c:valAx>
        <c:axId val="14400793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4400166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32229314705528"/>
          <c:y val="0.0586872586872587"/>
          <c:w val="0.875707575575093"/>
          <c:h val="0.705019305019305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prstClr val="black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12700" cap="rnd" cmpd="sng" algn="ctr">
                <a:solidFill>
                  <a:schemeClr val="tx1"/>
                </a:solidFill>
                <a:prstDash val="sysDot"/>
                <a:round/>
              </a:ln>
            </c:spPr>
          </c:dPt>
          <c:dLbls>
            <c:delete val="1"/>
          </c:dLbls>
          <c:cat>
            <c:multiLvlStrRef>
              <c:f>'[外网信息图 - 副本n.xlsx]零售额'!$A$68:$B$79</c:f>
              <c:multiLvlStrCache>
                <c:ptCount val="12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</c:lvl>
                <c:lvl>
                  <c:pt idx="0">
                    <c:v>2020年</c:v>
                  </c:pt>
                  <c:pt idx="11">
                    <c:v>2021年</c:v>
                  </c:pt>
                </c:lvl>
              </c:multiLvlStrCache>
            </c:multiLvlStrRef>
          </c:cat>
          <c:val>
            <c:numRef>
              <c:f>'[外网信息图 - 副本n.xlsx]零售额'!$C$68:$C$79</c:f>
              <c:numCache>
                <c:formatCode>0.0_ </c:formatCode>
                <c:ptCount val="12"/>
                <c:pt idx="0">
                  <c:v>-18.8</c:v>
                </c:pt>
                <c:pt idx="1">
                  <c:v>-22.9</c:v>
                </c:pt>
                <c:pt idx="2">
                  <c:v>-21.6</c:v>
                </c:pt>
                <c:pt idx="3">
                  <c:v>-18.6</c:v>
                </c:pt>
                <c:pt idx="4">
                  <c:v>-16.6</c:v>
                </c:pt>
                <c:pt idx="5">
                  <c:v>-15.7</c:v>
                </c:pt>
                <c:pt idx="6">
                  <c:v>-13.8</c:v>
                </c:pt>
                <c:pt idx="7">
                  <c:v>-12.5</c:v>
                </c:pt>
                <c:pt idx="8">
                  <c:v>-11.3</c:v>
                </c:pt>
                <c:pt idx="9">
                  <c:v>-9.3</c:v>
                </c:pt>
                <c:pt idx="10">
                  <c:v>-8.6</c:v>
                </c:pt>
                <c:pt idx="11">
                  <c:v>34.9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5145728"/>
        <c:axId val="117674752"/>
      </c:lineChart>
      <c:catAx>
        <c:axId val="11514572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7674752"/>
        <c:crosses val="autoZero"/>
        <c:auto val="1"/>
        <c:lblAlgn val="ctr"/>
        <c:lblOffset val="100"/>
        <c:noMultiLvlLbl val="0"/>
      </c:catAx>
      <c:valAx>
        <c:axId val="117674752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514572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72AB3-0B5A-4D70-915A-69439C02F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52</Words>
  <Characters>298</Characters>
  <Lines>2</Lines>
  <Paragraphs>1</Paragraphs>
  <ScaleCrop>false</ScaleCrop>
  <LinksUpToDate>false</LinksUpToDate>
  <CharactersWithSpaces>349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2014-03-17T02:07:00Z</dcterms:created>
  <dc:creator>黄桂俊</dc:creator>
  <cp:lastModifiedBy>赵雪岑</cp:lastModifiedBy>
  <cp:lastPrinted>2018-03-16T09:02:00Z</cp:lastPrinted>
  <dcterms:modified xsi:type="dcterms:W3CDTF">2021-03-18T03:26:42Z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