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63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 xml:space="preserve">1 </w:t>
      </w:r>
      <w:r>
        <w:rPr>
          <w:rFonts w:hint="eastAsia" w:ascii="方正小标宋简体" w:eastAsia="方正小标宋简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类别与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支持</w:t>
      </w:r>
      <w:r>
        <w:rPr>
          <w:rFonts w:hint="eastAsia" w:ascii="黑体" w:hAnsi="黑体" w:eastAsia="黑体" w:cs="黑体"/>
          <w:sz w:val="32"/>
          <w:szCs w:val="32"/>
        </w:rPr>
        <w:t>标准</w:t>
      </w:r>
    </w:p>
    <w:p w14:paraId="71158762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02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7" w:firstLineChars="196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本次申报类别</w:t>
      </w:r>
      <w:r>
        <w:rPr>
          <w:rFonts w:eastAsia="仿宋_GB2312"/>
          <w:sz w:val="32"/>
          <w:szCs w:val="32"/>
        </w:rPr>
        <w:t>分为</w:t>
      </w:r>
      <w:r>
        <w:rPr>
          <w:rFonts w:hint="eastAsia" w:eastAsia="仿宋_GB2312"/>
          <w:sz w:val="32"/>
          <w:szCs w:val="32"/>
        </w:rPr>
        <w:t>支持</w:t>
      </w:r>
      <w:r>
        <w:rPr>
          <w:rFonts w:hint="eastAsia" w:eastAsia="仿宋_GB2312"/>
          <w:sz w:val="32"/>
          <w:szCs w:val="32"/>
          <w:lang w:eastAsia="zh-CN"/>
        </w:rPr>
        <w:t>文体娱企业做大做强、支持培育文化新质生产力、支持文化消费产品供给、支持游戏电竞产业发展、支持影视产业发展、支持文化产业园区提质升级</w:t>
      </w:r>
      <w:r>
        <w:rPr>
          <w:rFonts w:hint="eastAsia" w:eastAsia="仿宋_GB2312"/>
          <w:sz w:val="32"/>
          <w:szCs w:val="32"/>
        </w:rPr>
        <w:t>共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个</w:t>
      </w:r>
      <w:r>
        <w:rPr>
          <w:rFonts w:eastAsia="仿宋_GB2312"/>
          <w:sz w:val="32"/>
          <w:szCs w:val="32"/>
        </w:rPr>
        <w:t>类别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具体</w:t>
      </w:r>
      <w:r>
        <w:rPr>
          <w:rFonts w:hint="eastAsia" w:eastAsia="仿宋_GB2312"/>
          <w:sz w:val="32"/>
          <w:szCs w:val="32"/>
          <w:lang w:eastAsia="zh-CN"/>
        </w:rPr>
        <w:t>支持</w:t>
      </w:r>
      <w:bookmarkStart w:id="0" w:name="_GoBack"/>
      <w:bookmarkEnd w:id="0"/>
      <w:r>
        <w:rPr>
          <w:rFonts w:eastAsia="仿宋_GB2312"/>
          <w:sz w:val="32"/>
          <w:szCs w:val="32"/>
        </w:rPr>
        <w:t>标准如下：</w:t>
      </w:r>
    </w:p>
    <w:p w14:paraId="1FEF6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  <w:lang w:val="en"/>
        </w:rPr>
      </w:pPr>
      <w:r>
        <w:rPr>
          <w:rFonts w:ascii="黑体" w:hAnsi="黑体" w:eastAsia="黑体" w:cs="黑体"/>
          <w:bCs/>
          <w:color w:val="000000"/>
          <w:sz w:val="32"/>
          <w:szCs w:val="32"/>
          <w:lang w:val="en"/>
        </w:rPr>
        <w:t>一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" w:eastAsia="zh-CN"/>
        </w:rPr>
        <w:t>、</w:t>
      </w:r>
      <w:r>
        <w:rPr>
          <w:rFonts w:ascii="黑体" w:hAnsi="黑体" w:eastAsia="黑体" w:cs="黑体"/>
          <w:bCs/>
          <w:color w:val="000000"/>
          <w:sz w:val="32"/>
          <w:szCs w:val="32"/>
          <w:lang w:val="en"/>
        </w:rPr>
        <w:t>支持文体娱企业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"/>
        </w:rPr>
        <w:t>做大做强</w:t>
      </w:r>
    </w:p>
    <w:p w14:paraId="6AD38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支持文体娱企业能级提升。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营业收入达到1亿元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同比增速超过10%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，且营业收入增量不低于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5000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万元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的文体娱企业，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按照营业收入增量部分的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1.5%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，给予最高不超过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300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万元的资金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支持。</w:t>
      </w:r>
    </w:p>
    <w:p w14:paraId="3DCF1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支持文体娱企业达规增产。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达规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纳统且当年营业收入增量超过1000万元、</w:t>
      </w:r>
      <w:r>
        <w:rPr>
          <w:rFonts w:ascii="Times New Roman" w:hAnsi="Times New Roman" w:eastAsia="仿宋_GB2312"/>
          <w:color w:val="000000"/>
          <w:sz w:val="32"/>
          <w:szCs w:val="32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000万元、</w:t>
      </w:r>
      <w:r>
        <w:rPr>
          <w:rFonts w:ascii="Times New Roman" w:hAnsi="Times New Roman" w:eastAsia="仿宋_GB2312"/>
          <w:color w:val="000000"/>
          <w:sz w:val="32"/>
          <w:szCs w:val="32"/>
        </w:rPr>
        <w:t>1亿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元的文体娱企业，分别给予10万元、</w:t>
      </w:r>
      <w:r>
        <w:rPr>
          <w:rFonts w:ascii="Times New Roman" w:hAnsi="Times New Roman" w:eastAsia="仿宋_GB2312"/>
          <w:color w:val="000000"/>
          <w:sz w:val="32"/>
          <w:szCs w:val="32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0万元、</w:t>
      </w:r>
      <w:r>
        <w:rPr>
          <w:rFonts w:ascii="Times New Roman" w:hAnsi="Times New Roman" w:eastAsia="仿宋_GB2312"/>
          <w:color w:val="000000"/>
          <w:sz w:val="32"/>
          <w:szCs w:val="32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0万元的一次性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资金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支持。</w:t>
      </w:r>
    </w:p>
    <w:p w14:paraId="3E31A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" w:eastAsia="zh-CN"/>
        </w:rPr>
        <w:t>二、</w:t>
      </w:r>
      <w:r>
        <w:rPr>
          <w:rFonts w:ascii="黑体" w:hAnsi="黑体" w:eastAsia="黑体" w:cs="黑体"/>
          <w:bCs/>
          <w:color w:val="000000"/>
          <w:sz w:val="32"/>
          <w:szCs w:val="32"/>
          <w:lang w:val="en"/>
        </w:rPr>
        <w:t>支持培育文化新质生产力</w:t>
      </w:r>
    </w:p>
    <w:p w14:paraId="46A5E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鼓励文化科技领域应用创新。</w:t>
      </w:r>
      <w:r>
        <w:rPr>
          <w:rFonts w:hint="eastAsia" w:ascii="Times New Roman" w:hAnsi="Times New Roman" w:eastAsia="仿宋_GB2312"/>
          <w:bCs/>
          <w:sz w:val="32"/>
          <w:szCs w:val="32"/>
        </w:rPr>
        <w:t>支持区块链、大数据、数字孪生、智能交互、超高清视听、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VR/AR/XR</w:t>
      </w:r>
      <w:r>
        <w:rPr>
          <w:rFonts w:hint="eastAsia" w:ascii="Times New Roman" w:hAnsi="Times New Roman" w:eastAsia="仿宋_GB2312"/>
          <w:bCs/>
          <w:sz w:val="32"/>
          <w:szCs w:val="32"/>
        </w:rPr>
        <w:t>等新技术在文化领域创新应用，对文化企业在</w:t>
      </w:r>
      <w:r>
        <w:rPr>
          <w:rFonts w:hint="eastAsia" w:eastAsia="仿宋_GB2312"/>
          <w:bCs/>
          <w:sz w:val="32"/>
          <w:szCs w:val="32"/>
          <w:lang w:eastAsia="zh-CN"/>
        </w:rPr>
        <w:t>数字</w:t>
      </w:r>
      <w:r>
        <w:rPr>
          <w:rFonts w:hint="eastAsia" w:ascii="Times New Roman" w:hAnsi="Times New Roman" w:eastAsia="仿宋_GB2312"/>
          <w:bCs/>
          <w:sz w:val="32"/>
          <w:szCs w:val="32"/>
        </w:rPr>
        <w:t>视听、游戏电竞、动漫影视、创意设计等数字文化领域开展的应用创新项目，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按照项目实际投资额的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30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％，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给予实施主体最高不超过3</w:t>
      </w:r>
      <w:r>
        <w:rPr>
          <w:rFonts w:ascii="Times New Roman" w:hAnsi="Times New Roman" w:eastAsia="仿宋_GB2312"/>
          <w:color w:val="000000"/>
          <w:sz w:val="32"/>
          <w:szCs w:val="32"/>
        </w:rPr>
        <w:t>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万元的一次性资金支持。</w:t>
      </w:r>
    </w:p>
    <w:p w14:paraId="7BB34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</w:pPr>
      <w:r>
        <w:rPr>
          <w:rFonts w:hint="eastAsia" w:eastAsia="仿宋_GB2312"/>
          <w:color w:val="000000"/>
          <w:sz w:val="32"/>
          <w:szCs w:val="32"/>
          <w:lang w:val="en" w:eastAsia="zh-CN"/>
        </w:rPr>
        <w:t>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条款</w:t>
      </w:r>
      <w:r>
        <w:rPr>
          <w:rFonts w:hint="eastAsia" w:eastAsia="仿宋_GB2312"/>
          <w:color w:val="000000"/>
          <w:sz w:val="32"/>
          <w:szCs w:val="32"/>
          <w:lang w:val="en" w:eastAsia="zh-CN"/>
        </w:rPr>
        <w:t>支持对象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2025年已纳入朝阳区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文化科技领域创新型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项目库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（详见附表1）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并于2026年3月31日前完成的项目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。</w:t>
      </w:r>
    </w:p>
    <w:p w14:paraId="4B3DF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/>
        <w:textAlignment w:val="auto"/>
        <w:rPr>
          <w:rFonts w:hint="eastAsia" w:ascii="Times New Roman" w:hAnsi="Times New Roman" w:eastAsia="仿宋_GB2312"/>
          <w:bCs/>
          <w:sz w:val="32"/>
          <w:szCs w:val="32"/>
          <w:lang w:val="en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支持人工智能技术赋能产业发展。</w:t>
      </w:r>
      <w:r>
        <w:rPr>
          <w:rFonts w:hint="eastAsia" w:ascii="Times New Roman" w:hAnsi="Times New Roman" w:eastAsia="仿宋_GB2312"/>
          <w:bCs/>
          <w:sz w:val="32"/>
          <w:szCs w:val="32"/>
          <w:lang w:val="en"/>
        </w:rPr>
        <w:t>支持文化企业加大人工智能技术应用，</w:t>
      </w:r>
      <w:r>
        <w:rPr>
          <w:rFonts w:ascii="Times New Roman" w:hAnsi="Times New Roman" w:eastAsia="仿宋_GB2312"/>
          <w:bCs/>
          <w:sz w:val="32"/>
          <w:szCs w:val="32"/>
          <w:lang w:val="en"/>
        </w:rPr>
        <w:t>对</w:t>
      </w:r>
      <w:r>
        <w:rPr>
          <w:rFonts w:hint="eastAsia" w:eastAsia="仿宋_GB2312"/>
          <w:bCs/>
          <w:sz w:val="32"/>
          <w:szCs w:val="32"/>
          <w:lang w:val="en" w:eastAsia="zh-CN"/>
        </w:rPr>
        <w:t>在</w:t>
      </w:r>
      <w:r>
        <w:rPr>
          <w:rFonts w:hint="eastAsia" w:eastAsia="仿宋_GB2312"/>
          <w:bCs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仿宋_GB2312"/>
          <w:bCs/>
          <w:sz w:val="32"/>
          <w:szCs w:val="32"/>
          <w:lang w:val="en"/>
        </w:rPr>
        <w:t>使用</w:t>
      </w:r>
      <w:r>
        <w:rPr>
          <w:rFonts w:hint="eastAsia" w:eastAsia="仿宋_GB2312"/>
          <w:bCs/>
          <w:sz w:val="32"/>
          <w:szCs w:val="32"/>
          <w:lang w:val="en-US" w:eastAsia="zh-CN"/>
        </w:rPr>
        <w:t>朝阳区文化领域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AIGC公共技术服务平台</w:t>
      </w:r>
      <w:r>
        <w:rPr>
          <w:rFonts w:hint="eastAsia" w:eastAsia="仿宋_GB2312"/>
          <w:bCs/>
          <w:sz w:val="32"/>
          <w:szCs w:val="32"/>
          <w:lang w:val="en-US" w:eastAsia="zh-CN"/>
        </w:rPr>
        <w:t>伙伴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（详见附表2）</w:t>
      </w:r>
      <w:r>
        <w:rPr>
          <w:rFonts w:ascii="Times New Roman" w:hAnsi="Times New Roman" w:eastAsia="仿宋_GB2312"/>
          <w:bCs/>
          <w:sz w:val="32"/>
          <w:szCs w:val="32"/>
          <w:lang w:val="en"/>
        </w:rPr>
        <w:t>提供的人工智能技术或服务，</w:t>
      </w:r>
      <w:r>
        <w:rPr>
          <w:rFonts w:hint="eastAsia" w:ascii="Times New Roman" w:hAnsi="Times New Roman" w:eastAsia="仿宋_GB2312"/>
          <w:bCs/>
          <w:sz w:val="32"/>
          <w:szCs w:val="32"/>
          <w:lang w:val="en"/>
        </w:rPr>
        <w:t>推出面向市场</w:t>
      </w:r>
      <w:r>
        <w:rPr>
          <w:rFonts w:hint="eastAsia" w:eastAsia="仿宋_GB2312"/>
          <w:bCs/>
          <w:sz w:val="32"/>
          <w:szCs w:val="32"/>
          <w:lang w:val="en" w:eastAsia="zh-CN"/>
        </w:rPr>
        <w:t>的</w:t>
      </w:r>
      <w:r>
        <w:rPr>
          <w:rFonts w:hint="eastAsia" w:ascii="Times New Roman" w:hAnsi="Times New Roman" w:eastAsia="仿宋_GB2312"/>
          <w:bCs/>
          <w:sz w:val="32"/>
          <w:szCs w:val="32"/>
          <w:lang w:val="en"/>
        </w:rPr>
        <w:t>文化产品</w:t>
      </w:r>
      <w:r>
        <w:rPr>
          <w:rFonts w:hint="eastAsia" w:eastAsia="仿宋_GB2312"/>
          <w:bCs/>
          <w:sz w:val="32"/>
          <w:szCs w:val="32"/>
          <w:lang w:val="en" w:eastAsia="zh-CN"/>
        </w:rPr>
        <w:t>且</w:t>
      </w:r>
      <w:r>
        <w:rPr>
          <w:rFonts w:hint="eastAsia" w:ascii="Times New Roman" w:hAnsi="Times New Roman" w:eastAsia="仿宋_GB2312"/>
          <w:bCs/>
          <w:sz w:val="32"/>
          <w:szCs w:val="32"/>
          <w:lang w:val="en"/>
        </w:rPr>
        <w:t>效益突出的，按照企业实际购买技术或服务费用的30%，给予最高不超过200万元资金支持。</w:t>
      </w:r>
    </w:p>
    <w:p w14:paraId="67136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.支持文化科技领域重点实验室建设。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鼓励建设</w:t>
      </w:r>
      <w:r>
        <w:rPr>
          <w:rFonts w:hint="eastAsia" w:eastAsia="仿宋_GB2312"/>
          <w:bCs/>
          <w:color w:val="000000"/>
          <w:sz w:val="32"/>
          <w:szCs w:val="32"/>
          <w:lang w:val="en" w:eastAsia="zh-CN"/>
        </w:rPr>
        <w:t>数字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视听、游戏电竞、数字出版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、创意设计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等文化科技融合领域重点实验室，对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设立的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国家级（部级）重点实验室，给予最高不超过500万元的</w:t>
      </w:r>
      <w:r>
        <w:rPr>
          <w:rFonts w:ascii="Times New Roman" w:hAnsi="Times New Roman" w:eastAsia="仿宋_GB2312"/>
          <w:color w:val="000000"/>
          <w:sz w:val="32"/>
          <w:szCs w:val="32"/>
        </w:rPr>
        <w:t>一次性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资金支持。</w:t>
      </w:r>
    </w:p>
    <w:p w14:paraId="15724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" w:eastAsia="zh-CN"/>
        </w:rPr>
        <w:t>三、</w:t>
      </w:r>
      <w:r>
        <w:rPr>
          <w:rFonts w:ascii="黑体" w:hAnsi="黑体" w:eastAsia="黑体" w:cs="黑体"/>
          <w:bCs/>
          <w:color w:val="000000"/>
          <w:sz w:val="32"/>
          <w:szCs w:val="32"/>
          <w:lang w:val="en"/>
        </w:rPr>
        <w:t>支持文化消费产品供给</w:t>
      </w:r>
    </w:p>
    <w:p w14:paraId="08A75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支持创新型应用场景建设。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鼓励建设虚拟电影院、沉浸式文旅体验空间（如光影艺术展、XR历史重现等）、裸眼3D与全息剧场、数字音乐剧场、数字展馆等创新场景。对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2025年度在朝阳区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新建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的总投资不低于1000万元的创新型场景项目，按照项目实际投资额的20%，给予实施主体最高不超过300万元的一次性资金支持。</w:t>
      </w:r>
    </w:p>
    <w:p w14:paraId="01825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 w:firstLineChars="196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7.支持培育数字文化新业态。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持培育数字音乐、线上演出、艺术直播、数字影视、云展览等文化新业态，鼓励运用虚拟现实、光影艺术、元宇宙等新技术，丰富数字文化新体验，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度开展的数字文化新业态项目，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按照项目实际投资额的20%，给予实施主体最高不超过200万元的一次性资金支持。</w:t>
      </w:r>
    </w:p>
    <w:p w14:paraId="68BAD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 w:firstLineChars="196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鼓励创制优质文化消费产品。</w:t>
      </w:r>
      <w:r>
        <w:rPr>
          <w:rFonts w:ascii="Times New Roman" w:hAnsi="Times New Roman" w:eastAsia="仿宋_GB2312"/>
          <w:color w:val="000000"/>
          <w:sz w:val="32"/>
          <w:szCs w:val="32"/>
        </w:rPr>
        <w:t>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</w:t>
      </w:r>
      <w:r>
        <w:rPr>
          <w:rFonts w:ascii="Times New Roman" w:hAnsi="Times New Roman" w:eastAsia="仿宋_GB2312"/>
          <w:color w:val="000000"/>
          <w:sz w:val="32"/>
          <w:szCs w:val="32"/>
        </w:rPr>
        <w:t>度企业自主生产创作完成的优质影片、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电视节目、</w:t>
      </w:r>
      <w:r>
        <w:rPr>
          <w:rFonts w:ascii="Times New Roman" w:hAnsi="Times New Roman" w:eastAsia="仿宋_GB2312"/>
          <w:color w:val="000000"/>
          <w:sz w:val="32"/>
          <w:szCs w:val="32"/>
        </w:rPr>
        <w:t>网络视听节目、特色文创产品等文化消费产品，给予最高不超过200万元的一次性资金支持。</w:t>
      </w:r>
    </w:p>
    <w:p w14:paraId="72F41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区内影视文化企业作为主投主控方出品的电影，首次在全国院线公映，累计票房达5亿元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，给予100万元的一次性资金支持，累计票房达10亿元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，给予200万元的一次性资金支持；</w:t>
      </w:r>
    </w:p>
    <w:p w14:paraId="6FB6E9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区内影视文化企业作为主投主控方出品的电视剧、纪录片、综艺节目等电视节目，在中央电视台黄金时段首次播出的，给予每集5万元、每部最高不超过200万元的一次性资金支持；</w:t>
      </w:r>
    </w:p>
    <w:p w14:paraId="0D1EA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区内影视文化企业作为主投主控方出品的，首次在头部网络平台播映的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网络微短剧、网络电影、网络动画片等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网络视听节目，分账金额达到1000万元的，给予分账金额1.5%、最高不超过200万元的一次性资金支持；</w:t>
      </w:r>
    </w:p>
    <w:p w14:paraId="0D000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highlight w:val="yellow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区内文化企业出品的特色文创产品累计销售额达到5000万元，按照销售额的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1%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，给予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最高不超过200万元的一次性资金支持。</w:t>
      </w:r>
    </w:p>
    <w:p w14:paraId="00EE2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" w:eastAsia="zh-CN"/>
        </w:rPr>
        <w:t>四、</w:t>
      </w:r>
      <w:r>
        <w:rPr>
          <w:rFonts w:ascii="黑体" w:hAnsi="黑体" w:eastAsia="黑体" w:cs="黑体"/>
          <w:bCs/>
          <w:color w:val="000000"/>
          <w:sz w:val="32"/>
          <w:szCs w:val="32"/>
          <w:lang w:val="en"/>
        </w:rPr>
        <w:t>支持游戏电竞产业发展</w:t>
      </w:r>
    </w:p>
    <w:p w14:paraId="0CD95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 w:firstLineChars="196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鼓励原创精品游戏研发。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对经国家主管部门批准，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正式上线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运营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满1年但不满3年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的原创精品游戏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（研发投入不低于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1000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万元，发行首年游戏收入不低于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3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亿元）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按照游戏研发投入的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0%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，给予游戏研发企业最高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10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0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0万元的一次性资金支持。</w:t>
      </w:r>
    </w:p>
    <w:p w14:paraId="3599A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 w:firstLineChars="196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.支持电竞场馆建设。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对近三年内新建或改建的建筑规模不低于3000平方米的电竞场馆，按照实际投资额的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30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%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，给予项目投资方最高不超过1000万元的</w:t>
      </w:r>
      <w:r>
        <w:rPr>
          <w:rFonts w:ascii="Times New Roman" w:hAnsi="Times New Roman" w:eastAsia="仿宋_GB2312"/>
          <w:color w:val="000000"/>
          <w:sz w:val="32"/>
          <w:szCs w:val="32"/>
        </w:rPr>
        <w:t>一次性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资金支持。</w:t>
      </w:r>
    </w:p>
    <w:p w14:paraId="439AA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 w:firstLineChars="196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.支持电竞俱乐部发展壮大。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对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曾获得国际、全国知名电竞赛事前三名的电竞俱乐部</w:t>
      </w:r>
      <w:r>
        <w:rPr>
          <w:rFonts w:hint="eastAsia" w:eastAsia="仿宋_GB2312"/>
          <w:bCs/>
          <w:color w:val="000000"/>
          <w:sz w:val="32"/>
          <w:szCs w:val="32"/>
          <w:highlight w:val="none"/>
          <w:lang w:val="en" w:eastAsia="zh-CN"/>
        </w:rPr>
        <w:t>2025年度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 w:eastAsia="zh-CN"/>
        </w:rPr>
        <w:t>在朝阳区新设立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主场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 w:eastAsia="zh-CN"/>
        </w:rPr>
        <w:t>的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，经评定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给予最高不超过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1000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万元的一次性资金支持。对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参加国际、全国职业电竞赛事的电竞俱乐部，按照其综合运营投入的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50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%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，给予最高不超过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200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万元的资金支持。对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国际知名电竞赛事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中取得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八强及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以上成绩的，给予最高不超过300万元的资金支持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，对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全国知名电竞赛事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中取得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四强及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以上成绩的，给予最高不超过150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万元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的资金支持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"/>
        </w:rPr>
        <w:t>，每年度单个俱乐部可获得国际、全国电竞赛事支持各一次</w:t>
      </w:r>
      <w:r>
        <w:rPr>
          <w:rFonts w:ascii="Times New Roman" w:hAnsi="Times New Roman" w:eastAsia="仿宋_GB2312"/>
          <w:bCs/>
          <w:color w:val="000000"/>
          <w:sz w:val="32"/>
          <w:szCs w:val="32"/>
          <w:lang w:val="en"/>
        </w:rPr>
        <w:t>。</w:t>
      </w:r>
    </w:p>
    <w:p w14:paraId="678DC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" w:eastAsia="zh-CN"/>
        </w:rPr>
        <w:t>五、</w:t>
      </w:r>
      <w:r>
        <w:rPr>
          <w:rFonts w:ascii="黑体" w:hAnsi="黑体" w:eastAsia="黑体" w:cs="黑体"/>
          <w:bCs/>
          <w:color w:val="000000"/>
          <w:sz w:val="32"/>
          <w:szCs w:val="32"/>
          <w:lang w:val="en"/>
        </w:rPr>
        <w:t>支持影视产业发展</w:t>
      </w:r>
    </w:p>
    <w:p w14:paraId="16FBC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12.支持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虚拟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现实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电影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发展。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鼓励电影产业与虚拟现实技术融合创新，对由朝阳区企业作为主要出品方申报的虚拟现实电影，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通过国家电影局备案立项的，按照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实际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投资额的30%，给予最高不超过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00万元的一次性资金支持。</w:t>
      </w:r>
    </w:p>
    <w:p w14:paraId="56E06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支持影视数智化平台建设。</w:t>
      </w:r>
      <w:r>
        <w:rPr>
          <w:rFonts w:ascii="Times New Roman" w:hAnsi="Times New Roman" w:eastAsia="仿宋_GB2312"/>
          <w:sz w:val="32"/>
          <w:szCs w:val="32"/>
          <w:lang w:val="en"/>
        </w:rPr>
        <w:t>鼓励</w:t>
      </w:r>
      <w:r>
        <w:rPr>
          <w:rFonts w:ascii="Times New Roman" w:hAnsi="Times New Roman" w:eastAsia="仿宋_GB2312"/>
          <w:sz w:val="32"/>
          <w:szCs w:val="32"/>
        </w:rPr>
        <w:t>AIGC</w:t>
      </w:r>
      <w:r>
        <w:rPr>
          <w:rFonts w:ascii="Times New Roman" w:hAnsi="Times New Roman" w:eastAsia="仿宋_GB2312"/>
          <w:sz w:val="32"/>
          <w:szCs w:val="32"/>
          <w:lang w:val="en"/>
        </w:rPr>
        <w:t>前沿技术在影视领域的集成应用，对</w:t>
      </w:r>
      <w:r>
        <w:rPr>
          <w:rFonts w:ascii="Times New Roman" w:hAnsi="Times New Roman" w:eastAsia="仿宋_GB2312"/>
          <w:sz w:val="32"/>
          <w:szCs w:val="32"/>
        </w:rPr>
        <w:t>应用云渲染、虚拟制作、虚拟拍摄、数字交互、</w:t>
      </w:r>
      <w:r>
        <w:rPr>
          <w:rFonts w:ascii="Times New Roman" w:hAnsi="Times New Roman" w:eastAsia="仿宋_GB2312"/>
          <w:sz w:val="32"/>
          <w:szCs w:val="32"/>
          <w:lang w:val="en"/>
        </w:rPr>
        <w:t>AI生成</w:t>
      </w:r>
      <w:r>
        <w:rPr>
          <w:rFonts w:ascii="Times New Roman" w:hAnsi="Times New Roman" w:eastAsia="仿宋_GB2312"/>
          <w:sz w:val="32"/>
          <w:szCs w:val="32"/>
        </w:rPr>
        <w:t>等关键技术</w:t>
      </w:r>
      <w:r>
        <w:rPr>
          <w:rFonts w:hint="eastAsia" w:ascii="Times New Roman" w:hAnsi="Times New Roman" w:eastAsia="仿宋_GB2312"/>
          <w:sz w:val="32"/>
          <w:szCs w:val="32"/>
        </w:rPr>
        <w:t>或集成影视垂类大模型能力，服务影视行业发展的影视数智化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sz w:val="32"/>
          <w:szCs w:val="32"/>
        </w:rPr>
        <w:t>项目，按照项目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实际</w:t>
      </w:r>
      <w:r>
        <w:rPr>
          <w:rFonts w:hint="eastAsia" w:ascii="Times New Roman" w:hAnsi="Times New Roman" w:eastAsia="仿宋_GB2312"/>
          <w:sz w:val="32"/>
          <w:szCs w:val="32"/>
        </w:rPr>
        <w:t>投资额的</w:t>
      </w:r>
      <w:r>
        <w:rPr>
          <w:rFonts w:ascii="Times New Roman" w:hAnsi="Times New Roman" w:eastAsia="仿宋_GB2312"/>
          <w:sz w:val="32"/>
          <w:szCs w:val="32"/>
          <w:lang w:val="en"/>
        </w:rPr>
        <w:t>30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%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给予实施主体最高不超过</w:t>
      </w:r>
      <w:r>
        <w:rPr>
          <w:rFonts w:ascii="Times New Roman" w:hAnsi="Times New Roman" w:eastAsia="仿宋_GB2312"/>
          <w:sz w:val="32"/>
          <w:szCs w:val="32"/>
          <w:lang w:val="en"/>
        </w:rPr>
        <w:t>500</w:t>
      </w:r>
      <w:r>
        <w:rPr>
          <w:rFonts w:ascii="Times New Roman" w:hAnsi="Times New Roman" w:eastAsia="仿宋_GB2312"/>
          <w:sz w:val="32"/>
          <w:szCs w:val="32"/>
        </w:rPr>
        <w:t>万元的一次性资金支持。</w:t>
      </w:r>
    </w:p>
    <w:p w14:paraId="0AFC0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</w:pPr>
      <w:r>
        <w:rPr>
          <w:rFonts w:hint="eastAsia" w:eastAsia="仿宋_GB2312"/>
          <w:color w:val="000000"/>
          <w:sz w:val="32"/>
          <w:szCs w:val="32"/>
          <w:lang w:val="en" w:eastAsia="zh-CN"/>
        </w:rPr>
        <w:t>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条款</w:t>
      </w:r>
      <w:r>
        <w:rPr>
          <w:rFonts w:hint="eastAsia" w:eastAsia="仿宋_GB2312"/>
          <w:color w:val="000000"/>
          <w:sz w:val="32"/>
          <w:szCs w:val="32"/>
          <w:lang w:val="en" w:eastAsia="zh-CN"/>
        </w:rPr>
        <w:t>支持对象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2025年已纳入朝阳区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文化科技领域创新型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项目库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（详见附表1）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并于2026年3月31日前完成的项目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。</w:t>
      </w:r>
    </w:p>
    <w:p w14:paraId="1189E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支持影视数智化平台开源开放。</w:t>
      </w:r>
      <w:r>
        <w:rPr>
          <w:rFonts w:ascii="Times New Roman" w:hAnsi="Times New Roman" w:eastAsia="仿宋_GB2312"/>
          <w:sz w:val="32"/>
          <w:szCs w:val="32"/>
          <w:lang w:val="en"/>
        </w:rPr>
        <w:t>鼓励</w:t>
      </w:r>
      <w:r>
        <w:rPr>
          <w:rFonts w:ascii="Times New Roman" w:hAnsi="Times New Roman" w:eastAsia="仿宋_GB2312"/>
          <w:sz w:val="32"/>
          <w:szCs w:val="32"/>
        </w:rPr>
        <w:t>AIGC</w:t>
      </w:r>
      <w:r>
        <w:rPr>
          <w:rFonts w:ascii="Times New Roman" w:hAnsi="Times New Roman" w:eastAsia="仿宋_GB2312"/>
          <w:sz w:val="32"/>
          <w:szCs w:val="32"/>
          <w:lang w:val="en"/>
        </w:rPr>
        <w:t>前沿技术在影视领域的集成应用，</w:t>
      </w:r>
      <w:r>
        <w:rPr>
          <w:rFonts w:hint="eastAsia" w:eastAsia="仿宋_GB2312"/>
          <w:sz w:val="32"/>
          <w:szCs w:val="32"/>
          <w:lang w:val="en" w:eastAsia="zh-CN"/>
        </w:rPr>
        <w:t>支持打造</w:t>
      </w:r>
      <w:r>
        <w:rPr>
          <w:rFonts w:ascii="Times New Roman" w:hAnsi="Times New Roman" w:eastAsia="仿宋_GB2312"/>
          <w:sz w:val="32"/>
          <w:szCs w:val="32"/>
        </w:rPr>
        <w:t>云渲染、虚拟制作、虚拟拍摄、数字交互、</w:t>
      </w:r>
      <w:r>
        <w:rPr>
          <w:rFonts w:ascii="Times New Roman" w:hAnsi="Times New Roman" w:eastAsia="仿宋_GB2312"/>
          <w:sz w:val="32"/>
          <w:szCs w:val="32"/>
          <w:lang w:val="en"/>
        </w:rPr>
        <w:t>AI生成</w:t>
      </w:r>
      <w:r>
        <w:rPr>
          <w:rFonts w:ascii="Times New Roman" w:hAnsi="Times New Roman" w:eastAsia="仿宋_GB2312"/>
          <w:sz w:val="32"/>
          <w:szCs w:val="32"/>
        </w:rPr>
        <w:t>等关键技术</w:t>
      </w:r>
      <w:r>
        <w:rPr>
          <w:rFonts w:hint="eastAsia" w:ascii="Times New Roman" w:hAnsi="Times New Roman" w:eastAsia="仿宋_GB2312"/>
          <w:sz w:val="32"/>
          <w:szCs w:val="32"/>
        </w:rPr>
        <w:t>或集成影视垂类大模型能力</w:t>
      </w:r>
      <w:r>
        <w:rPr>
          <w:rFonts w:hint="eastAsia" w:eastAsia="仿宋_GB2312"/>
          <w:sz w:val="32"/>
          <w:szCs w:val="32"/>
          <w:lang w:eastAsia="zh-CN"/>
        </w:rPr>
        <w:t>的影视影视数智化</w:t>
      </w:r>
      <w:r>
        <w:rPr>
          <w:rFonts w:ascii="Times New Roman" w:hAnsi="Times New Roman" w:eastAsia="仿宋_GB2312"/>
          <w:sz w:val="32"/>
          <w:szCs w:val="32"/>
        </w:rPr>
        <w:t>平台</w:t>
      </w:r>
      <w:r>
        <w:rPr>
          <w:rFonts w:hint="eastAsia" w:eastAsia="仿宋_GB2312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仿宋_GB2312"/>
          <w:sz w:val="32"/>
          <w:szCs w:val="32"/>
        </w:rPr>
        <w:t>服务影视企业</w:t>
      </w:r>
      <w:r>
        <w:rPr>
          <w:rFonts w:hint="eastAsia" w:ascii="Times New Roman" w:hAnsi="Times New Roman" w:eastAsia="仿宋_GB2312"/>
          <w:sz w:val="32"/>
          <w:szCs w:val="32"/>
        </w:rPr>
        <w:t>不少于1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家次</w:t>
      </w:r>
      <w:r>
        <w:rPr>
          <w:rFonts w:hint="eastAsia" w:eastAsia="仿宋_GB2312"/>
          <w:sz w:val="32"/>
          <w:szCs w:val="32"/>
          <w:lang w:eastAsia="zh-CN"/>
        </w:rPr>
        <w:t>的平台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按照实际提供服务合同额的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5%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给予平台运营主体最高不超过300万元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资金支持。</w:t>
      </w:r>
    </w:p>
    <w:p w14:paraId="4E3D4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15.支持影视摄制及后期制作基地建设。</w:t>
      </w:r>
      <w:r>
        <w:rPr>
          <w:rFonts w:ascii="Times New Roman" w:hAnsi="Times New Roman" w:eastAsia="仿宋_GB2312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eastAsia="zh-CN"/>
        </w:rPr>
        <w:t>近三年内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eastAsia="zh-CN"/>
        </w:rPr>
        <w:t>新投入使用的、建筑规模不低于10000平方米的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数字影视拍摄基地、影视后期制作基地，按照项目实际投资额的30%，给予实施主体最高不超过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"/>
        </w:rPr>
        <w:t>10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00万元的资金支持。</w:t>
      </w:r>
    </w:p>
    <w:p w14:paraId="26EBE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" w:eastAsia="zh-CN"/>
        </w:rPr>
        <w:t>六、</w:t>
      </w:r>
      <w:r>
        <w:rPr>
          <w:rFonts w:ascii="黑体" w:hAnsi="黑体" w:eastAsia="黑体" w:cs="黑体"/>
          <w:bCs/>
          <w:color w:val="000000"/>
          <w:sz w:val="32"/>
          <w:szCs w:val="32"/>
          <w:lang w:val="en"/>
        </w:rPr>
        <w:t>支持文化产业园区提质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"/>
        </w:rPr>
        <w:t>升级</w:t>
      </w:r>
    </w:p>
    <w:p w14:paraId="340F8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 w:firstLineChars="196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支持园区能级提升。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对通过生态构建、环境提升、服务优化等方式，提升园区品质，吸引优质文化企业入驻，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园区入驻</w:t>
      </w:r>
      <w:r>
        <w:rPr>
          <w:rFonts w:ascii="Times New Roman" w:hAnsi="Times New Roman" w:eastAsia="仿宋_GB2312"/>
          <w:color w:val="000000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仿宋_GB2312"/>
          <w:color w:val="000000"/>
          <w:sz w:val="32"/>
          <w:szCs w:val="32"/>
        </w:rPr>
        <w:t>营业收入首次超过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50</w:t>
      </w:r>
      <w:r>
        <w:rPr>
          <w:rFonts w:ascii="Times New Roman" w:hAnsi="Times New Roman" w:eastAsia="仿宋_GB2312"/>
          <w:color w:val="000000"/>
          <w:sz w:val="32"/>
          <w:szCs w:val="32"/>
        </w:rPr>
        <w:t>亿元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100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亿元的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分别</w:t>
      </w:r>
      <w:r>
        <w:rPr>
          <w:rFonts w:ascii="Times New Roman" w:hAnsi="Times New Roman" w:eastAsia="仿宋_GB2312"/>
          <w:color w:val="000000"/>
          <w:sz w:val="32"/>
          <w:szCs w:val="32"/>
        </w:rPr>
        <w:t>给予园区运营单位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300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万元、</w:t>
      </w:r>
      <w:r>
        <w:rPr>
          <w:rFonts w:ascii="Times New Roman" w:hAnsi="Times New Roman" w:eastAsia="仿宋_GB2312"/>
          <w:color w:val="000000"/>
          <w:sz w:val="32"/>
          <w:szCs w:val="32"/>
        </w:rPr>
        <w:t>500万元的一次性资金支持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；通过积极调整产业业态，持续提升园区产业能级，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园区入驻企业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营业收入增量超过1</w:t>
      </w:r>
      <w:r>
        <w:rPr>
          <w:rFonts w:ascii="Times New Roman" w:hAnsi="Times New Roman" w:eastAsia="仿宋_GB2312"/>
          <w:color w:val="000000"/>
          <w:sz w:val="32"/>
          <w:szCs w:val="32"/>
        </w:rPr>
        <w:t>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亿元、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亿元的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，分别给予园区运营单位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100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万元、</w:t>
      </w:r>
      <w:r>
        <w:rPr>
          <w:rFonts w:ascii="Times New Roman" w:hAnsi="Times New Roman" w:eastAsia="仿宋_GB2312"/>
          <w:color w:val="000000"/>
          <w:sz w:val="32"/>
          <w:szCs w:val="32"/>
        </w:rPr>
        <w:t>200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万元的资金支持。</w:t>
      </w:r>
    </w:p>
    <w:p w14:paraId="025F0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17" w:right="1474" w:bottom="1417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楷体_GB2312" w:cs="Times New Roman"/>
          <w:b/>
          <w:color w:val="000000"/>
          <w:sz w:val="32"/>
          <w:szCs w:val="32"/>
          <w:lang w:val="en-US" w:eastAsia="zh-CN"/>
        </w:rPr>
        <w:t>支持园区特色化发展。</w:t>
      </w:r>
      <w:r>
        <w:rPr>
          <w:rFonts w:ascii="Times New Roman" w:hAnsi="Times New Roman" w:eastAsia="仿宋_GB2312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围绕</w:t>
      </w:r>
      <w:r>
        <w:rPr>
          <w:rFonts w:ascii="Times New Roman" w:hAnsi="Times New Roman" w:eastAsia="仿宋_GB2312"/>
          <w:color w:val="000000"/>
          <w:sz w:val="32"/>
          <w:szCs w:val="32"/>
        </w:rPr>
        <w:t>数字广告、游戏电竞、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数字</w:t>
      </w:r>
      <w:r>
        <w:rPr>
          <w:rFonts w:ascii="Times New Roman" w:hAnsi="Times New Roman" w:eastAsia="仿宋_GB2312"/>
          <w:color w:val="000000"/>
          <w:sz w:val="32"/>
          <w:szCs w:val="32"/>
        </w:rPr>
        <w:t>视听等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领域积极构建产业生态，搭建服务平台，打造特色园区，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产业集聚效果突出的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（产业链上下游企业不少于20家或</w:t>
      </w:r>
      <w:r>
        <w:rPr>
          <w:rFonts w:hint="default" w:eastAsia="仿宋_GB2312"/>
          <w:sz w:val="32"/>
          <w:szCs w:val="32"/>
          <w:highlight w:val="none"/>
          <w:lang w:val="en" w:eastAsia="zh-CN"/>
        </w:rPr>
        <w:t>细分领域产业集聚度不低于50%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按照园区公共服务投入的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30%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给予园区运营单位最高不超过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</w:rPr>
        <w:t>00万元的资金支持。</w:t>
      </w:r>
    </w:p>
    <w:p w14:paraId="4D5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附表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</w:p>
    <w:p w14:paraId="0A5A7188">
      <w:pPr>
        <w:widowControl/>
        <w:spacing w:line="560" w:lineRule="exact"/>
        <w:ind w:left="-199" w:leftChars="-95" w:right="-313" w:rightChars="-149" w:firstLine="0" w:firstLineChars="0"/>
        <w:jc w:val="center"/>
        <w:rPr>
          <w:rFonts w:hint="eastAsia" w:ascii="Times New Roman" w:hAnsi="Times New Roman" w:eastAsia="仿宋_GB2312" w:cs="Times New Roman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818515</wp:posOffset>
            </wp:positionV>
            <wp:extent cx="9064625" cy="4587875"/>
            <wp:effectExtent l="0" t="0" r="3175" b="3175"/>
            <wp:wrapSquare wrapText="bothSides"/>
            <wp:docPr id="5" name="图片 5" descr="ae04de32-33b7-49da-8f2d-f9bfb274bf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e04de32-33b7-49da-8f2d-f9bfb274bf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4625" cy="458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93CCB">
      <w:pPr>
        <w:widowControl/>
        <w:spacing w:line="560" w:lineRule="exact"/>
        <w:ind w:left="-199" w:leftChars="-95" w:right="-313" w:rightChars="-149" w:firstLine="0" w:firstLineChars="0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sz w:val="44"/>
          <w:szCs w:val="44"/>
        </w:rPr>
        <w:t>202</w:t>
      </w:r>
      <w:r>
        <w:rPr>
          <w:rFonts w:hint="default" w:ascii="Times New Roman" w:hAnsi="Times New Roman" w:eastAsia="仿宋_GB2312" w:cs="Times New Roman"/>
          <w:sz w:val="44"/>
          <w:szCs w:val="44"/>
          <w:lang w:val="en"/>
        </w:rPr>
        <w:t>5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朝阳区</w:t>
      </w:r>
      <w:r>
        <w:rPr>
          <w:rFonts w:hint="eastAsia" w:eastAsia="方正小标宋简体"/>
          <w:sz w:val="44"/>
          <w:szCs w:val="44"/>
        </w:rPr>
        <w:t>文化科技领域创新型项目名单</w:t>
      </w:r>
    </w:p>
    <w:p w14:paraId="1D3CB35A">
      <w:pPr>
        <w:widowControl/>
        <w:spacing w:line="560" w:lineRule="exact"/>
        <w:ind w:left="-199" w:leftChars="-95" w:right="-313" w:rightChars="-149"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116205</wp:posOffset>
            </wp:positionV>
            <wp:extent cx="8915400" cy="5029835"/>
            <wp:effectExtent l="0" t="0" r="0" b="18415"/>
            <wp:wrapSquare wrapText="bothSides"/>
            <wp:docPr id="6" name="图片 6" descr="b21d347d-8715-430f-9270-fd60e51ff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21d347d-8715-430f-9270-fd60e51ff0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502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69415">
      <w:pPr>
        <w:widowControl/>
        <w:spacing w:line="560" w:lineRule="exact"/>
        <w:ind w:left="-199" w:leftChars="-95" w:right="-313" w:rightChars="-149"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-31750</wp:posOffset>
            </wp:positionV>
            <wp:extent cx="9123680" cy="5937885"/>
            <wp:effectExtent l="0" t="0" r="1270" b="5715"/>
            <wp:wrapSquare wrapText="bothSides"/>
            <wp:docPr id="7" name="图片 7" descr="6c5696e3-664a-4617-951c-87989f88b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c5696e3-664a-4617-951c-87989f88b4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23680" cy="593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453A1">
      <w:pPr>
        <w:widowControl/>
        <w:spacing w:line="560" w:lineRule="exact"/>
        <w:ind w:left="-199" w:leftChars="-95" w:right="-313" w:rightChars="-149"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76B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514BF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 w14:paraId="6702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朝阳区文化领域AIGC公共技术服务平台伙伴名单</w:t>
      </w:r>
    </w:p>
    <w:p w14:paraId="2F69D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158115</wp:posOffset>
            </wp:positionV>
            <wp:extent cx="9304655" cy="3425825"/>
            <wp:effectExtent l="0" t="0" r="10795" b="3175"/>
            <wp:wrapSquare wrapText="bothSides"/>
            <wp:docPr id="1" name="图片 1" descr="09377cfa-273b-4b57-8542-645acc37b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377cfa-273b-4b57-8542-645acc37bc9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0465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9487572"/>
    </w:sdtPr>
    <w:sdtContent>
      <w:p w14:paraId="14CA112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5DBC39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37"/>
    <w:rsid w:val="00000A0A"/>
    <w:rsid w:val="0000591A"/>
    <w:rsid w:val="000101BA"/>
    <w:rsid w:val="00012D4E"/>
    <w:rsid w:val="00017C07"/>
    <w:rsid w:val="00020915"/>
    <w:rsid w:val="00020F05"/>
    <w:rsid w:val="00022DE7"/>
    <w:rsid w:val="00025C1F"/>
    <w:rsid w:val="000265E4"/>
    <w:rsid w:val="0002731F"/>
    <w:rsid w:val="00031470"/>
    <w:rsid w:val="0003457C"/>
    <w:rsid w:val="000413C9"/>
    <w:rsid w:val="00041CA9"/>
    <w:rsid w:val="000452DC"/>
    <w:rsid w:val="0005552A"/>
    <w:rsid w:val="000606C2"/>
    <w:rsid w:val="00062F1B"/>
    <w:rsid w:val="00072FDA"/>
    <w:rsid w:val="00073C1A"/>
    <w:rsid w:val="00096A5A"/>
    <w:rsid w:val="00096A6D"/>
    <w:rsid w:val="000A0C8C"/>
    <w:rsid w:val="000C0D24"/>
    <w:rsid w:val="000D7746"/>
    <w:rsid w:val="000E1BF2"/>
    <w:rsid w:val="000E22D2"/>
    <w:rsid w:val="00107AC8"/>
    <w:rsid w:val="00107FF2"/>
    <w:rsid w:val="00112CD4"/>
    <w:rsid w:val="00113915"/>
    <w:rsid w:val="0012469C"/>
    <w:rsid w:val="00127719"/>
    <w:rsid w:val="00130B90"/>
    <w:rsid w:val="00133DC3"/>
    <w:rsid w:val="001348E7"/>
    <w:rsid w:val="001400A8"/>
    <w:rsid w:val="0014104F"/>
    <w:rsid w:val="00142058"/>
    <w:rsid w:val="00143261"/>
    <w:rsid w:val="0014411F"/>
    <w:rsid w:val="00145D5A"/>
    <w:rsid w:val="00146A03"/>
    <w:rsid w:val="00150B57"/>
    <w:rsid w:val="00150B5C"/>
    <w:rsid w:val="00157432"/>
    <w:rsid w:val="00157FC4"/>
    <w:rsid w:val="00160CA9"/>
    <w:rsid w:val="00162D11"/>
    <w:rsid w:val="00163228"/>
    <w:rsid w:val="00170658"/>
    <w:rsid w:val="0018372F"/>
    <w:rsid w:val="00190D9B"/>
    <w:rsid w:val="001A6570"/>
    <w:rsid w:val="001B5967"/>
    <w:rsid w:val="001B6229"/>
    <w:rsid w:val="001C50AC"/>
    <w:rsid w:val="001C76A2"/>
    <w:rsid w:val="001D5ABE"/>
    <w:rsid w:val="001E4817"/>
    <w:rsid w:val="001E6E4A"/>
    <w:rsid w:val="001F6A3A"/>
    <w:rsid w:val="00210B05"/>
    <w:rsid w:val="00213CDF"/>
    <w:rsid w:val="00216234"/>
    <w:rsid w:val="002209F5"/>
    <w:rsid w:val="00224D61"/>
    <w:rsid w:val="002269AC"/>
    <w:rsid w:val="00230960"/>
    <w:rsid w:val="0025506C"/>
    <w:rsid w:val="00255162"/>
    <w:rsid w:val="00264F89"/>
    <w:rsid w:val="00267594"/>
    <w:rsid w:val="00271D90"/>
    <w:rsid w:val="002808BB"/>
    <w:rsid w:val="00283318"/>
    <w:rsid w:val="00283674"/>
    <w:rsid w:val="00283BCB"/>
    <w:rsid w:val="002968B6"/>
    <w:rsid w:val="002A04A9"/>
    <w:rsid w:val="002A3EC3"/>
    <w:rsid w:val="002B0BB1"/>
    <w:rsid w:val="002B0ED7"/>
    <w:rsid w:val="002B1222"/>
    <w:rsid w:val="002B638B"/>
    <w:rsid w:val="002C70EE"/>
    <w:rsid w:val="002C723D"/>
    <w:rsid w:val="002D0A0D"/>
    <w:rsid w:val="002D6E69"/>
    <w:rsid w:val="002E2316"/>
    <w:rsid w:val="002E2744"/>
    <w:rsid w:val="002E2F19"/>
    <w:rsid w:val="002E34F9"/>
    <w:rsid w:val="0030742F"/>
    <w:rsid w:val="003103CD"/>
    <w:rsid w:val="00317940"/>
    <w:rsid w:val="00317F60"/>
    <w:rsid w:val="00321C41"/>
    <w:rsid w:val="00322043"/>
    <w:rsid w:val="00327ECF"/>
    <w:rsid w:val="00340D96"/>
    <w:rsid w:val="003455CC"/>
    <w:rsid w:val="003611DA"/>
    <w:rsid w:val="00373F4E"/>
    <w:rsid w:val="0037542B"/>
    <w:rsid w:val="00392272"/>
    <w:rsid w:val="003A7462"/>
    <w:rsid w:val="003B025D"/>
    <w:rsid w:val="003B18DB"/>
    <w:rsid w:val="003B3E37"/>
    <w:rsid w:val="003B59D1"/>
    <w:rsid w:val="003B64AA"/>
    <w:rsid w:val="003C0DFC"/>
    <w:rsid w:val="003C7D6B"/>
    <w:rsid w:val="003D020F"/>
    <w:rsid w:val="003D49A0"/>
    <w:rsid w:val="003E633E"/>
    <w:rsid w:val="003F77BC"/>
    <w:rsid w:val="0040461A"/>
    <w:rsid w:val="0040529C"/>
    <w:rsid w:val="00405494"/>
    <w:rsid w:val="00405C27"/>
    <w:rsid w:val="00405D24"/>
    <w:rsid w:val="00406A5C"/>
    <w:rsid w:val="0042237A"/>
    <w:rsid w:val="00425D01"/>
    <w:rsid w:val="00434687"/>
    <w:rsid w:val="00437B87"/>
    <w:rsid w:val="00437CBE"/>
    <w:rsid w:val="0044365E"/>
    <w:rsid w:val="00444F95"/>
    <w:rsid w:val="004507B7"/>
    <w:rsid w:val="004533E2"/>
    <w:rsid w:val="00453759"/>
    <w:rsid w:val="004657DD"/>
    <w:rsid w:val="00474384"/>
    <w:rsid w:val="004817A7"/>
    <w:rsid w:val="004832B1"/>
    <w:rsid w:val="004A1E1D"/>
    <w:rsid w:val="004A35EA"/>
    <w:rsid w:val="004B50D4"/>
    <w:rsid w:val="004C2749"/>
    <w:rsid w:val="004C321B"/>
    <w:rsid w:val="004D68F9"/>
    <w:rsid w:val="004D6943"/>
    <w:rsid w:val="004E09C3"/>
    <w:rsid w:val="004E1D67"/>
    <w:rsid w:val="004E61FF"/>
    <w:rsid w:val="004E6727"/>
    <w:rsid w:val="005178DE"/>
    <w:rsid w:val="005265F2"/>
    <w:rsid w:val="00531437"/>
    <w:rsid w:val="00537B71"/>
    <w:rsid w:val="00545420"/>
    <w:rsid w:val="00546564"/>
    <w:rsid w:val="00555152"/>
    <w:rsid w:val="00576ED4"/>
    <w:rsid w:val="00587E3A"/>
    <w:rsid w:val="005972F8"/>
    <w:rsid w:val="005A1178"/>
    <w:rsid w:val="005A64B0"/>
    <w:rsid w:val="005B40B9"/>
    <w:rsid w:val="005C770A"/>
    <w:rsid w:val="005D2152"/>
    <w:rsid w:val="005D3DE7"/>
    <w:rsid w:val="005F1408"/>
    <w:rsid w:val="0060181A"/>
    <w:rsid w:val="00603A80"/>
    <w:rsid w:val="006130B3"/>
    <w:rsid w:val="00615FC6"/>
    <w:rsid w:val="00620915"/>
    <w:rsid w:val="00623C62"/>
    <w:rsid w:val="00633569"/>
    <w:rsid w:val="00633A08"/>
    <w:rsid w:val="00635219"/>
    <w:rsid w:val="00636DAA"/>
    <w:rsid w:val="00642A6B"/>
    <w:rsid w:val="00644EDC"/>
    <w:rsid w:val="0064687A"/>
    <w:rsid w:val="00652890"/>
    <w:rsid w:val="006549A0"/>
    <w:rsid w:val="006556A4"/>
    <w:rsid w:val="00657138"/>
    <w:rsid w:val="00663159"/>
    <w:rsid w:val="00670A38"/>
    <w:rsid w:val="00670B31"/>
    <w:rsid w:val="00671FE6"/>
    <w:rsid w:val="006750A8"/>
    <w:rsid w:val="006948CF"/>
    <w:rsid w:val="006B04AD"/>
    <w:rsid w:val="006D060B"/>
    <w:rsid w:val="006E571E"/>
    <w:rsid w:val="006F7B1C"/>
    <w:rsid w:val="00701EFB"/>
    <w:rsid w:val="00704F4E"/>
    <w:rsid w:val="007116E3"/>
    <w:rsid w:val="00713234"/>
    <w:rsid w:val="00714252"/>
    <w:rsid w:val="007154D0"/>
    <w:rsid w:val="0072288E"/>
    <w:rsid w:val="00725585"/>
    <w:rsid w:val="00736DD0"/>
    <w:rsid w:val="00742CA4"/>
    <w:rsid w:val="00746E0F"/>
    <w:rsid w:val="007536B3"/>
    <w:rsid w:val="007566DB"/>
    <w:rsid w:val="00765D01"/>
    <w:rsid w:val="00776403"/>
    <w:rsid w:val="00786C30"/>
    <w:rsid w:val="00797E01"/>
    <w:rsid w:val="007B10AD"/>
    <w:rsid w:val="007B134F"/>
    <w:rsid w:val="007B58C7"/>
    <w:rsid w:val="007B7617"/>
    <w:rsid w:val="007C1290"/>
    <w:rsid w:val="007C26C2"/>
    <w:rsid w:val="007C6814"/>
    <w:rsid w:val="007D708C"/>
    <w:rsid w:val="007E206D"/>
    <w:rsid w:val="007E2FB6"/>
    <w:rsid w:val="007E38E0"/>
    <w:rsid w:val="007E3A74"/>
    <w:rsid w:val="007E6991"/>
    <w:rsid w:val="007F10B8"/>
    <w:rsid w:val="007F2343"/>
    <w:rsid w:val="007F49A6"/>
    <w:rsid w:val="008011FA"/>
    <w:rsid w:val="008075CC"/>
    <w:rsid w:val="0081278F"/>
    <w:rsid w:val="0082780D"/>
    <w:rsid w:val="00830231"/>
    <w:rsid w:val="00834BD3"/>
    <w:rsid w:val="008445F5"/>
    <w:rsid w:val="00846082"/>
    <w:rsid w:val="00851819"/>
    <w:rsid w:val="00852130"/>
    <w:rsid w:val="008561E5"/>
    <w:rsid w:val="00863B69"/>
    <w:rsid w:val="0086700C"/>
    <w:rsid w:val="00872BDA"/>
    <w:rsid w:val="00892C23"/>
    <w:rsid w:val="00893CE4"/>
    <w:rsid w:val="00894DC4"/>
    <w:rsid w:val="00896940"/>
    <w:rsid w:val="008A047A"/>
    <w:rsid w:val="008A6974"/>
    <w:rsid w:val="008A6E2E"/>
    <w:rsid w:val="008B1B0D"/>
    <w:rsid w:val="008B3620"/>
    <w:rsid w:val="008C0214"/>
    <w:rsid w:val="008C3E61"/>
    <w:rsid w:val="008C5488"/>
    <w:rsid w:val="008E05D1"/>
    <w:rsid w:val="008E1D58"/>
    <w:rsid w:val="008E73E1"/>
    <w:rsid w:val="008F3F21"/>
    <w:rsid w:val="008F5DAA"/>
    <w:rsid w:val="00905BAE"/>
    <w:rsid w:val="009120E5"/>
    <w:rsid w:val="00912951"/>
    <w:rsid w:val="00924B44"/>
    <w:rsid w:val="00926646"/>
    <w:rsid w:val="00931ED6"/>
    <w:rsid w:val="00933037"/>
    <w:rsid w:val="00934566"/>
    <w:rsid w:val="00945ED7"/>
    <w:rsid w:val="00952CD1"/>
    <w:rsid w:val="00954163"/>
    <w:rsid w:val="00960298"/>
    <w:rsid w:val="00965C7E"/>
    <w:rsid w:val="009708FC"/>
    <w:rsid w:val="00974C76"/>
    <w:rsid w:val="0097679D"/>
    <w:rsid w:val="009806A8"/>
    <w:rsid w:val="00981920"/>
    <w:rsid w:val="00995F68"/>
    <w:rsid w:val="00996EEF"/>
    <w:rsid w:val="009B3AFB"/>
    <w:rsid w:val="009B6ECC"/>
    <w:rsid w:val="009B78D8"/>
    <w:rsid w:val="009C1091"/>
    <w:rsid w:val="009D1416"/>
    <w:rsid w:val="009D2FD0"/>
    <w:rsid w:val="009D7211"/>
    <w:rsid w:val="009E1AB9"/>
    <w:rsid w:val="009E4973"/>
    <w:rsid w:val="009E5325"/>
    <w:rsid w:val="009F3BC8"/>
    <w:rsid w:val="009F7C24"/>
    <w:rsid w:val="00A0042C"/>
    <w:rsid w:val="00A02BD7"/>
    <w:rsid w:val="00A0451A"/>
    <w:rsid w:val="00A10BE3"/>
    <w:rsid w:val="00A132B4"/>
    <w:rsid w:val="00A23EEF"/>
    <w:rsid w:val="00A36F4B"/>
    <w:rsid w:val="00A41533"/>
    <w:rsid w:val="00A517C6"/>
    <w:rsid w:val="00A558D1"/>
    <w:rsid w:val="00A737FF"/>
    <w:rsid w:val="00A76FB5"/>
    <w:rsid w:val="00A81034"/>
    <w:rsid w:val="00A8157A"/>
    <w:rsid w:val="00A90B59"/>
    <w:rsid w:val="00AA1CF1"/>
    <w:rsid w:val="00AA2089"/>
    <w:rsid w:val="00AA3F01"/>
    <w:rsid w:val="00AA7AB2"/>
    <w:rsid w:val="00AB42EE"/>
    <w:rsid w:val="00AB5790"/>
    <w:rsid w:val="00AC1616"/>
    <w:rsid w:val="00AC2FA4"/>
    <w:rsid w:val="00AD1593"/>
    <w:rsid w:val="00AE187C"/>
    <w:rsid w:val="00AE22A4"/>
    <w:rsid w:val="00AE256F"/>
    <w:rsid w:val="00AE6E77"/>
    <w:rsid w:val="00AF5536"/>
    <w:rsid w:val="00B054AF"/>
    <w:rsid w:val="00B07CCC"/>
    <w:rsid w:val="00B1183D"/>
    <w:rsid w:val="00B14C25"/>
    <w:rsid w:val="00B20BA6"/>
    <w:rsid w:val="00B21685"/>
    <w:rsid w:val="00B26EA7"/>
    <w:rsid w:val="00B34E02"/>
    <w:rsid w:val="00B42F1F"/>
    <w:rsid w:val="00B46854"/>
    <w:rsid w:val="00B523FE"/>
    <w:rsid w:val="00B7080C"/>
    <w:rsid w:val="00B710AF"/>
    <w:rsid w:val="00B765B1"/>
    <w:rsid w:val="00B81782"/>
    <w:rsid w:val="00B8229C"/>
    <w:rsid w:val="00BA0352"/>
    <w:rsid w:val="00BA54EC"/>
    <w:rsid w:val="00BA7708"/>
    <w:rsid w:val="00BB0351"/>
    <w:rsid w:val="00BB3CDF"/>
    <w:rsid w:val="00BC1907"/>
    <w:rsid w:val="00BC4FC2"/>
    <w:rsid w:val="00BC5305"/>
    <w:rsid w:val="00BD355F"/>
    <w:rsid w:val="00BD40D2"/>
    <w:rsid w:val="00BD5FCC"/>
    <w:rsid w:val="00C06600"/>
    <w:rsid w:val="00C1282A"/>
    <w:rsid w:val="00C17786"/>
    <w:rsid w:val="00C21A3C"/>
    <w:rsid w:val="00C220B0"/>
    <w:rsid w:val="00C2256E"/>
    <w:rsid w:val="00C25A9D"/>
    <w:rsid w:val="00C34A45"/>
    <w:rsid w:val="00C359DB"/>
    <w:rsid w:val="00C478ED"/>
    <w:rsid w:val="00C610BC"/>
    <w:rsid w:val="00C657F9"/>
    <w:rsid w:val="00C722E9"/>
    <w:rsid w:val="00C74048"/>
    <w:rsid w:val="00C756B4"/>
    <w:rsid w:val="00C760BA"/>
    <w:rsid w:val="00CA08E7"/>
    <w:rsid w:val="00CA151C"/>
    <w:rsid w:val="00CA1E56"/>
    <w:rsid w:val="00CA5080"/>
    <w:rsid w:val="00CB3D19"/>
    <w:rsid w:val="00CB4807"/>
    <w:rsid w:val="00CB61EF"/>
    <w:rsid w:val="00CD7CA9"/>
    <w:rsid w:val="00CE10E4"/>
    <w:rsid w:val="00CE21A2"/>
    <w:rsid w:val="00CE754C"/>
    <w:rsid w:val="00CF10FD"/>
    <w:rsid w:val="00CF713C"/>
    <w:rsid w:val="00D078C0"/>
    <w:rsid w:val="00D113D2"/>
    <w:rsid w:val="00D16541"/>
    <w:rsid w:val="00D17531"/>
    <w:rsid w:val="00D22F4C"/>
    <w:rsid w:val="00D30DE7"/>
    <w:rsid w:val="00D368B7"/>
    <w:rsid w:val="00D43ECE"/>
    <w:rsid w:val="00D50E57"/>
    <w:rsid w:val="00D51A69"/>
    <w:rsid w:val="00D576C1"/>
    <w:rsid w:val="00D57CAB"/>
    <w:rsid w:val="00D60C91"/>
    <w:rsid w:val="00D65F30"/>
    <w:rsid w:val="00D668A2"/>
    <w:rsid w:val="00D742A1"/>
    <w:rsid w:val="00D868F2"/>
    <w:rsid w:val="00D95B3B"/>
    <w:rsid w:val="00D963C1"/>
    <w:rsid w:val="00DA26DB"/>
    <w:rsid w:val="00DA670E"/>
    <w:rsid w:val="00DB1936"/>
    <w:rsid w:val="00DB4EA1"/>
    <w:rsid w:val="00DB6780"/>
    <w:rsid w:val="00DC08FE"/>
    <w:rsid w:val="00DD2F79"/>
    <w:rsid w:val="00DE59A3"/>
    <w:rsid w:val="00DF1A0D"/>
    <w:rsid w:val="00DF1D72"/>
    <w:rsid w:val="00DF7640"/>
    <w:rsid w:val="00DF7705"/>
    <w:rsid w:val="00E002EF"/>
    <w:rsid w:val="00E069AA"/>
    <w:rsid w:val="00E07BE0"/>
    <w:rsid w:val="00E14069"/>
    <w:rsid w:val="00E14D00"/>
    <w:rsid w:val="00E16DBB"/>
    <w:rsid w:val="00E217DB"/>
    <w:rsid w:val="00E23B77"/>
    <w:rsid w:val="00E260C0"/>
    <w:rsid w:val="00E26462"/>
    <w:rsid w:val="00E2745F"/>
    <w:rsid w:val="00E30473"/>
    <w:rsid w:val="00E406DC"/>
    <w:rsid w:val="00E43117"/>
    <w:rsid w:val="00E46F64"/>
    <w:rsid w:val="00E477CE"/>
    <w:rsid w:val="00E5110E"/>
    <w:rsid w:val="00E52A7F"/>
    <w:rsid w:val="00E52EB5"/>
    <w:rsid w:val="00E57B00"/>
    <w:rsid w:val="00E60B95"/>
    <w:rsid w:val="00E76C99"/>
    <w:rsid w:val="00E76D1E"/>
    <w:rsid w:val="00E830F6"/>
    <w:rsid w:val="00E84F17"/>
    <w:rsid w:val="00E8722A"/>
    <w:rsid w:val="00EA0AD8"/>
    <w:rsid w:val="00EA17FD"/>
    <w:rsid w:val="00EB2325"/>
    <w:rsid w:val="00EB4CF4"/>
    <w:rsid w:val="00EE6669"/>
    <w:rsid w:val="00F00FFE"/>
    <w:rsid w:val="00F02482"/>
    <w:rsid w:val="00F0324E"/>
    <w:rsid w:val="00F03765"/>
    <w:rsid w:val="00F0741B"/>
    <w:rsid w:val="00F1389F"/>
    <w:rsid w:val="00F163E5"/>
    <w:rsid w:val="00F210C8"/>
    <w:rsid w:val="00F31564"/>
    <w:rsid w:val="00F33D32"/>
    <w:rsid w:val="00F4007D"/>
    <w:rsid w:val="00F51FC1"/>
    <w:rsid w:val="00F55FF5"/>
    <w:rsid w:val="00F61D6B"/>
    <w:rsid w:val="00F61FB7"/>
    <w:rsid w:val="00F75057"/>
    <w:rsid w:val="00F76F83"/>
    <w:rsid w:val="00F81493"/>
    <w:rsid w:val="00F84E78"/>
    <w:rsid w:val="00F8633C"/>
    <w:rsid w:val="00F937A3"/>
    <w:rsid w:val="00F9517C"/>
    <w:rsid w:val="00F95AA7"/>
    <w:rsid w:val="00F97CDC"/>
    <w:rsid w:val="00FA4575"/>
    <w:rsid w:val="00FB2C34"/>
    <w:rsid w:val="00FB32BE"/>
    <w:rsid w:val="00FD16FA"/>
    <w:rsid w:val="00FD72B2"/>
    <w:rsid w:val="00FE072F"/>
    <w:rsid w:val="00FE25E2"/>
    <w:rsid w:val="00FF6AB1"/>
    <w:rsid w:val="00FF73CE"/>
    <w:rsid w:val="00FF7951"/>
    <w:rsid w:val="00FF7E8E"/>
    <w:rsid w:val="01521C8D"/>
    <w:rsid w:val="02C10E79"/>
    <w:rsid w:val="054D2E98"/>
    <w:rsid w:val="073562D9"/>
    <w:rsid w:val="080E565A"/>
    <w:rsid w:val="0A59408D"/>
    <w:rsid w:val="0D8F1293"/>
    <w:rsid w:val="0F244E06"/>
    <w:rsid w:val="10046849"/>
    <w:rsid w:val="11291F92"/>
    <w:rsid w:val="13760A7F"/>
    <w:rsid w:val="13BC126E"/>
    <w:rsid w:val="14977C8B"/>
    <w:rsid w:val="18B42863"/>
    <w:rsid w:val="1AA11625"/>
    <w:rsid w:val="1CA218C3"/>
    <w:rsid w:val="1D7E5E8C"/>
    <w:rsid w:val="1D8F6974"/>
    <w:rsid w:val="205904EB"/>
    <w:rsid w:val="213E6C4F"/>
    <w:rsid w:val="22C34421"/>
    <w:rsid w:val="22DB54E7"/>
    <w:rsid w:val="23A83C63"/>
    <w:rsid w:val="25BF34E6"/>
    <w:rsid w:val="26FD51BE"/>
    <w:rsid w:val="27315D1D"/>
    <w:rsid w:val="273551AC"/>
    <w:rsid w:val="2B1B0344"/>
    <w:rsid w:val="2BEA327B"/>
    <w:rsid w:val="2C146F1E"/>
    <w:rsid w:val="2F587508"/>
    <w:rsid w:val="2FBB6ACC"/>
    <w:rsid w:val="313C59EB"/>
    <w:rsid w:val="31A7C74D"/>
    <w:rsid w:val="32C043F9"/>
    <w:rsid w:val="335D3ADF"/>
    <w:rsid w:val="344A48C2"/>
    <w:rsid w:val="3732223C"/>
    <w:rsid w:val="37E82305"/>
    <w:rsid w:val="37FE39FA"/>
    <w:rsid w:val="38D46E50"/>
    <w:rsid w:val="39BC1DBE"/>
    <w:rsid w:val="3ACC4283"/>
    <w:rsid w:val="3B954675"/>
    <w:rsid w:val="3DB37034"/>
    <w:rsid w:val="42731488"/>
    <w:rsid w:val="4760267E"/>
    <w:rsid w:val="479010F6"/>
    <w:rsid w:val="47FFFEBD"/>
    <w:rsid w:val="4824463D"/>
    <w:rsid w:val="4FFF8E7F"/>
    <w:rsid w:val="54931516"/>
    <w:rsid w:val="54C613F1"/>
    <w:rsid w:val="581B1F4E"/>
    <w:rsid w:val="58A61818"/>
    <w:rsid w:val="58FA1B64"/>
    <w:rsid w:val="592E1D2A"/>
    <w:rsid w:val="5A1E1F92"/>
    <w:rsid w:val="5AFF7905"/>
    <w:rsid w:val="5FAE3F01"/>
    <w:rsid w:val="5FFFDDE4"/>
    <w:rsid w:val="60820DBC"/>
    <w:rsid w:val="612E1773"/>
    <w:rsid w:val="628F5A13"/>
    <w:rsid w:val="695B7539"/>
    <w:rsid w:val="6A901F21"/>
    <w:rsid w:val="6AEC1C54"/>
    <w:rsid w:val="6B6F0A7B"/>
    <w:rsid w:val="6BF77778"/>
    <w:rsid w:val="6D0D35D4"/>
    <w:rsid w:val="6D5B6F1E"/>
    <w:rsid w:val="6EC922AC"/>
    <w:rsid w:val="720751EB"/>
    <w:rsid w:val="73A95C08"/>
    <w:rsid w:val="74E7B93B"/>
    <w:rsid w:val="75114065"/>
    <w:rsid w:val="75D92DD5"/>
    <w:rsid w:val="768216BE"/>
    <w:rsid w:val="76F47186"/>
    <w:rsid w:val="779E17E0"/>
    <w:rsid w:val="77FA5285"/>
    <w:rsid w:val="78DA64C2"/>
    <w:rsid w:val="7A6D1D3E"/>
    <w:rsid w:val="7DAF5A22"/>
    <w:rsid w:val="7DFFAF57"/>
    <w:rsid w:val="7F7DBADE"/>
    <w:rsid w:val="7F9C8EC4"/>
    <w:rsid w:val="7F9F2785"/>
    <w:rsid w:val="7FFFA62B"/>
    <w:rsid w:val="AF5A5F69"/>
    <w:rsid w:val="BF5201FF"/>
    <w:rsid w:val="BFFD3221"/>
    <w:rsid w:val="C737748F"/>
    <w:rsid w:val="D77BF7D4"/>
    <w:rsid w:val="DB37A80D"/>
    <w:rsid w:val="DD7F5E81"/>
    <w:rsid w:val="DDE490C8"/>
    <w:rsid w:val="DF76DF0A"/>
    <w:rsid w:val="DFBDA921"/>
    <w:rsid w:val="EF7F7E99"/>
    <w:rsid w:val="EFAE4686"/>
    <w:rsid w:val="F3F79AC9"/>
    <w:rsid w:val="F677A8D4"/>
    <w:rsid w:val="F7673CA8"/>
    <w:rsid w:val="FDBF4543"/>
    <w:rsid w:val="FDF54F2B"/>
    <w:rsid w:val="FF97003E"/>
    <w:rsid w:val="FFCC2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hAnsi="Tahoma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无间隔1"/>
    <w:qFormat/>
    <w:uiPriority w:val="99"/>
    <w:pPr>
      <w:spacing w:line="360" w:lineRule="auto"/>
    </w:pPr>
    <w:rPr>
      <w:rFonts w:ascii="Calibri" w:hAnsi="Calibri" w:eastAsia="宋体" w:cs="Times New Roman"/>
      <w:sz w:val="18"/>
      <w:szCs w:val="22"/>
      <w:lang w:val="en-US" w:eastAsia="zh-CN" w:bidi="ar-SA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2666</Words>
  <Characters>2911</Characters>
  <Lines>15</Lines>
  <Paragraphs>4</Paragraphs>
  <TotalTime>3</TotalTime>
  <ScaleCrop>false</ScaleCrop>
  <LinksUpToDate>false</LinksUpToDate>
  <CharactersWithSpaces>2913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2022-03-18T23:03:00Z</dcterms:created>
  <dc:creator>lenovo</dc:creator>
  <cp:lastModifiedBy>星球粒子</cp:lastModifiedBy>
  <cp:lastPrinted>2026-03-17T01:42:00Z</cp:lastPrinted>
  <dcterms:modified xsi:type="dcterms:W3CDTF">2026-03-24T06:11:37Z</dcterms:modified>
  <cp:revision>1102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eyJoZGlkIjoiMWJkNmU0N2M5Yzc0MThkNGIwODA0NGE2ODNkNjNiNDIiLCJ1c2VySWQiOiI0MjcxNjIxMzYifQ==</vt:lpwstr>
  </property>
  <property fmtid="{D5CDD505-2E9C-101B-9397-08002B2CF9AE}" pid="4" name="ICV">
    <vt:lpwstr>79D65D6E3759452C99FA77D1E96365FF_12</vt:lpwstr>
  </property>
</Properties>
</file>