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北京市朝阳区崔各庄</w:t>
      </w:r>
      <w:r>
        <w:rPr>
          <w:rFonts w:hint="default" w:ascii="Times New Roman" w:hAnsi="Times New Roman" w:eastAsia="方正小标宋简体" w:cs="Times New Roman"/>
          <w:sz w:val="44"/>
          <w:szCs w:val="44"/>
          <w:lang w:eastAsia="zh-CN"/>
        </w:rPr>
        <w:t>地区</w:t>
      </w:r>
      <w:r>
        <w:rPr>
          <w:rFonts w:hint="eastAsia" w:ascii="Times New Roman" w:hAnsi="Times New Roman" w:eastAsia="方正小标宋简体" w:cs="Times New Roman"/>
          <w:sz w:val="44"/>
          <w:szCs w:val="44"/>
          <w:lang w:eastAsia="zh-CN"/>
        </w:rPr>
        <w:t>办事处</w:t>
      </w:r>
    </w:p>
    <w:p>
      <w:pPr>
        <w:spacing w:line="540" w:lineRule="exact"/>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2023</w:t>
      </w:r>
      <w:r>
        <w:rPr>
          <w:rFonts w:hint="default" w:ascii="Times New Roman" w:hAnsi="Times New Roman" w:eastAsia="方正小标宋简体" w:cs="Times New Roman"/>
          <w:sz w:val="44"/>
          <w:szCs w:val="44"/>
        </w:rPr>
        <w:t>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ind w:firstLine="640" w:firstLineChars="200"/>
        <w:rPr>
          <w:rFonts w:hint="eastAsia" w:ascii="仿宋_GB2312" w:eastAsia="仿宋_GB2312"/>
          <w:color w:val="auto"/>
          <w:sz w:val="32"/>
          <w:szCs w:val="32"/>
        </w:rPr>
      </w:pPr>
      <w:r>
        <w:rPr>
          <w:rFonts w:hint="eastAsia" w:ascii="Times New Roman" w:hAnsi="Times New Roman" w:eastAsia="仿宋_GB2312"/>
          <w:color w:val="auto"/>
          <w:sz w:val="32"/>
          <w:szCs w:val="32"/>
          <w:lang w:val="en-US" w:eastAsia="zh-CN"/>
        </w:rPr>
        <w:t>2023</w:t>
      </w:r>
      <w:r>
        <w:rPr>
          <w:rFonts w:ascii="Times New Roman" w:hAnsi="Times New Roman" w:eastAsia="仿宋_GB2312"/>
          <w:color w:val="auto"/>
          <w:sz w:val="32"/>
          <w:szCs w:val="32"/>
        </w:rPr>
        <w:t>年，崔各庄</w:t>
      </w:r>
      <w:bookmarkStart w:id="0" w:name="_GoBack"/>
      <w:bookmarkEnd w:id="0"/>
      <w:r>
        <w:rPr>
          <w:rFonts w:ascii="Times New Roman" w:hAnsi="Times New Roman" w:eastAsia="仿宋_GB2312"/>
          <w:color w:val="auto"/>
          <w:sz w:val="32"/>
          <w:szCs w:val="32"/>
        </w:rPr>
        <w:t>地区</w:t>
      </w:r>
      <w:r>
        <w:rPr>
          <w:rFonts w:hint="eastAsia" w:ascii="Times New Roman" w:hAnsi="Times New Roman" w:eastAsia="仿宋_GB2312"/>
          <w:color w:val="auto"/>
          <w:sz w:val="32"/>
          <w:szCs w:val="32"/>
        </w:rPr>
        <w:t>政府</w:t>
      </w:r>
      <w:r>
        <w:rPr>
          <w:rFonts w:ascii="Times New Roman" w:hAnsi="Times New Roman" w:eastAsia="仿宋_GB2312"/>
          <w:color w:val="auto"/>
          <w:sz w:val="32"/>
          <w:szCs w:val="32"/>
        </w:rPr>
        <w:t>信息公开工作在地区工委、办事处的统一领导下，</w:t>
      </w:r>
      <w:r>
        <w:rPr>
          <w:rFonts w:hint="eastAsia" w:ascii="仿宋_GB2312" w:eastAsia="仿宋_GB2312"/>
          <w:color w:val="auto"/>
          <w:sz w:val="32"/>
          <w:szCs w:val="32"/>
        </w:rPr>
        <w:t>认真做好信息公开工作，不断规范公开内容，扩大公开范围，强化公开监督，使该项工作在规范行政权力、民主权力运行过程中达到公开透明，推进政府职能及工作作风转变，并在加强机关效能建设方面发挥了重要作用。</w:t>
      </w:r>
    </w:p>
    <w:p>
      <w:pPr>
        <w:spacing w:line="560" w:lineRule="exact"/>
        <w:ind w:firstLine="640" w:firstLineChars="200"/>
        <w:rPr>
          <w:rFonts w:hint="eastAsia" w:ascii="Times New Roman" w:hAnsi="Times New Roman" w:eastAsia="仿宋_GB2312"/>
          <w:b/>
          <w:bCs/>
          <w:color w:val="auto"/>
          <w:sz w:val="32"/>
          <w:szCs w:val="40"/>
          <w:lang w:val="en-US" w:eastAsia="zh-CN"/>
        </w:rPr>
      </w:pPr>
      <w:r>
        <w:rPr>
          <w:rFonts w:hint="eastAsia" w:ascii="Times New Roman" w:hAnsi="Times New Roman" w:eastAsia="仿宋_GB2312"/>
          <w:color w:val="auto"/>
          <w:sz w:val="32"/>
          <w:szCs w:val="32"/>
          <w:highlight w:val="none"/>
        </w:rPr>
        <w:t>（一）</w:t>
      </w:r>
      <w:r>
        <w:rPr>
          <w:rFonts w:hint="eastAsia" w:eastAsia="仿宋_GB2312"/>
          <w:b/>
          <w:bCs/>
          <w:color w:val="auto"/>
          <w:sz w:val="32"/>
          <w:szCs w:val="32"/>
          <w:shd w:val="clear" w:color="auto" w:fill="FFFFFF"/>
          <w:lang w:eastAsia="zh-CN"/>
        </w:rPr>
        <w:t>加大信息公开力度</w:t>
      </w:r>
      <w:r>
        <w:rPr>
          <w:rFonts w:hint="eastAsia" w:eastAsia="仿宋_GB2312"/>
          <w:b/>
          <w:bCs/>
          <w:color w:val="auto"/>
          <w:sz w:val="32"/>
          <w:szCs w:val="32"/>
          <w:shd w:val="clear" w:color="auto" w:fill="FFFFFF"/>
          <w:lang w:val="en-US" w:eastAsia="zh-CN"/>
        </w:rPr>
        <w:t xml:space="preserve"> ，保障公民知情权</w:t>
      </w:r>
    </w:p>
    <w:p>
      <w:pPr>
        <w:spacing w:line="560" w:lineRule="exact"/>
        <w:ind w:firstLine="640" w:firstLineChars="200"/>
        <w:rPr>
          <w:rFonts w:hint="eastAsia" w:ascii="Times New Roman" w:hAnsi="Times New Roman" w:eastAsia="仿宋_GB2312"/>
          <w:color w:val="auto"/>
          <w:sz w:val="32"/>
          <w:szCs w:val="40"/>
        </w:rPr>
      </w:pPr>
      <w:r>
        <w:rPr>
          <w:rFonts w:hint="eastAsia" w:eastAsia="仿宋_GB2312"/>
          <w:color w:val="auto"/>
          <w:sz w:val="32"/>
          <w:szCs w:val="32"/>
          <w:shd w:val="clear" w:color="auto" w:fill="FFFFFF"/>
        </w:rPr>
        <w:t>坚持“严格依法、全面真实、注重实效、及时便民”的政府信息公开原则，深入推行政府信息公开工作，努力提高工作透明度。</w:t>
      </w:r>
      <w:r>
        <w:rPr>
          <w:rFonts w:ascii="Times New Roman" w:hAnsi="Times New Roman" w:eastAsia="仿宋_GB2312"/>
          <w:color w:val="auto"/>
          <w:sz w:val="32"/>
          <w:szCs w:val="40"/>
        </w:rPr>
        <w:t>严格对照《政府信息公开条例》以及《崔各庄地区政府信息主动公开全清单》中的重点领域信息公开范围，</w:t>
      </w:r>
      <w:r>
        <w:rPr>
          <w:rFonts w:ascii="Times New Roman" w:hAnsi="Times New Roman" w:eastAsia="仿宋_GB2312"/>
          <w:color w:val="auto"/>
          <w:sz w:val="32"/>
          <w:szCs w:val="32"/>
        </w:rPr>
        <w:t>按照</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公开为原则、不公开为例外</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要求</w:t>
      </w:r>
      <w:r>
        <w:rPr>
          <w:rFonts w:ascii="Times New Roman" w:hAnsi="Times New Roman" w:eastAsia="仿宋_GB2312"/>
          <w:color w:val="auto"/>
          <w:sz w:val="32"/>
          <w:szCs w:val="32"/>
        </w:rPr>
        <w:t>，</w:t>
      </w:r>
      <w:r>
        <w:rPr>
          <w:rFonts w:ascii="Times New Roman" w:hAnsi="Times New Roman" w:eastAsia="仿宋_GB2312"/>
          <w:color w:val="auto"/>
          <w:sz w:val="32"/>
          <w:szCs w:val="40"/>
        </w:rPr>
        <w:t>结合我地区工作职责，</w:t>
      </w:r>
      <w:r>
        <w:rPr>
          <w:rFonts w:hint="default" w:ascii="Times New Roman" w:hAnsi="Times New Roman" w:eastAsia="仿宋_GB2312" w:cs="Times New Roman"/>
          <w:b w:val="0"/>
          <w:bCs w:val="0"/>
          <w:color w:val="auto"/>
          <w:sz w:val="32"/>
          <w:szCs w:val="40"/>
          <w:highlight w:val="none"/>
        </w:rPr>
        <w:t>及时通过区政府门户网站主动公开“双随机、一公开”抽查事项和检查结果，让行政权力在运行过程中公开透明。</w:t>
      </w:r>
      <w:r>
        <w:rPr>
          <w:rFonts w:hint="eastAsia" w:ascii="Times New Roman" w:hAnsi="Times New Roman" w:eastAsia="仿宋_GB2312" w:cs="Times New Roman"/>
          <w:b w:val="0"/>
          <w:bCs w:val="0"/>
          <w:color w:val="auto"/>
          <w:sz w:val="32"/>
          <w:szCs w:val="40"/>
          <w:highlight w:val="none"/>
          <w:lang w:eastAsia="zh-CN"/>
        </w:rPr>
        <w:t>完善</w:t>
      </w:r>
      <w:r>
        <w:rPr>
          <w:rFonts w:hint="default" w:ascii="Times New Roman" w:hAnsi="Times New Roman" w:eastAsia="仿宋_GB2312" w:cs="Times New Roman"/>
          <w:b w:val="0"/>
          <w:bCs w:val="0"/>
          <w:color w:val="auto"/>
          <w:sz w:val="32"/>
          <w:szCs w:val="40"/>
          <w:highlight w:val="none"/>
        </w:rPr>
        <w:t>群众参与决策</w:t>
      </w:r>
      <w:r>
        <w:rPr>
          <w:rFonts w:hint="eastAsia" w:ascii="Times New Roman" w:hAnsi="Times New Roman" w:eastAsia="仿宋_GB2312" w:cs="Times New Roman"/>
          <w:b w:val="0"/>
          <w:bCs w:val="0"/>
          <w:color w:val="auto"/>
          <w:sz w:val="32"/>
          <w:szCs w:val="40"/>
          <w:highlight w:val="none"/>
          <w:lang w:eastAsia="zh-CN"/>
        </w:rPr>
        <w:t>。通过“三督三评”、“掌上四合院”、“</w:t>
      </w:r>
      <w:r>
        <w:rPr>
          <w:rFonts w:hint="eastAsia" w:ascii="Times New Roman" w:hAnsi="Times New Roman" w:eastAsia="仿宋_GB2312" w:cs="Times New Roman"/>
          <w:b w:val="0"/>
          <w:bCs w:val="0"/>
          <w:color w:val="auto"/>
          <w:sz w:val="32"/>
          <w:szCs w:val="40"/>
          <w:highlight w:val="none"/>
          <w:lang w:val="en-US" w:eastAsia="zh-CN"/>
        </w:rPr>
        <w:t>12345</w:t>
      </w:r>
      <w:r>
        <w:rPr>
          <w:rFonts w:hint="eastAsia" w:ascii="Times New Roman" w:hAnsi="Times New Roman" w:eastAsia="仿宋_GB2312" w:cs="Times New Roman"/>
          <w:b w:val="0"/>
          <w:bCs w:val="0"/>
          <w:color w:val="auto"/>
          <w:sz w:val="32"/>
          <w:szCs w:val="40"/>
          <w:highlight w:val="none"/>
          <w:lang w:eastAsia="zh-CN"/>
        </w:rPr>
        <w:t>”接诉即办、“居民议事厅”等线上线下结合的方式，实行双向互动，主动</w:t>
      </w:r>
      <w:r>
        <w:rPr>
          <w:rFonts w:hint="default" w:ascii="Times New Roman" w:hAnsi="Times New Roman" w:eastAsia="仿宋_GB2312" w:cs="Times New Roman"/>
          <w:b w:val="0"/>
          <w:bCs w:val="0"/>
          <w:color w:val="auto"/>
          <w:sz w:val="32"/>
          <w:szCs w:val="40"/>
          <w:highlight w:val="none"/>
        </w:rPr>
        <w:t>倾听群众呼声，及时梳理汇总和反馈群众关切，实现科学决策、民主决策</w:t>
      </w:r>
      <w:r>
        <w:rPr>
          <w:rFonts w:hint="eastAsia" w:ascii="Times New Roman" w:hAnsi="Times New Roman" w:eastAsia="仿宋_GB2312" w:cs="Times New Roman"/>
          <w:b w:val="0"/>
          <w:bCs w:val="0"/>
          <w:color w:val="auto"/>
          <w:sz w:val="32"/>
          <w:szCs w:val="40"/>
          <w:highlight w:val="none"/>
          <w:lang w:eastAsia="zh-CN"/>
        </w:rPr>
        <w:t>。</w:t>
      </w:r>
    </w:p>
    <w:p>
      <w:pPr>
        <w:spacing w:line="560" w:lineRule="exact"/>
        <w:ind w:firstLine="640" w:firstLineChars="200"/>
        <w:rPr>
          <w:rFonts w:hint="eastAsia" w:ascii="Times New Roman" w:hAnsi="Times New Roman" w:eastAsia="仿宋_GB2312"/>
          <w:b/>
          <w:bCs/>
          <w:color w:val="auto"/>
          <w:sz w:val="32"/>
          <w:szCs w:val="40"/>
          <w:lang w:eastAsia="zh-CN"/>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二</w:t>
      </w:r>
      <w:r>
        <w:rPr>
          <w:rFonts w:hint="eastAsia" w:ascii="Times New Roman" w:hAnsi="Times New Roman" w:eastAsia="仿宋_GB2312"/>
          <w:color w:val="auto"/>
          <w:sz w:val="32"/>
          <w:szCs w:val="32"/>
          <w:highlight w:val="none"/>
        </w:rPr>
        <w:t>）</w:t>
      </w:r>
      <w:r>
        <w:rPr>
          <w:rFonts w:hint="eastAsia" w:ascii="Times New Roman" w:hAnsi="Times New Roman" w:eastAsia="仿宋_GB2312"/>
          <w:b/>
          <w:bCs/>
          <w:color w:val="auto"/>
          <w:sz w:val="32"/>
          <w:szCs w:val="40"/>
          <w:lang w:eastAsia="zh-CN"/>
        </w:rPr>
        <w:t>完善依申请公开流程</w:t>
      </w:r>
      <w:r>
        <w:rPr>
          <w:rFonts w:hint="eastAsia" w:ascii="Times New Roman" w:hAnsi="Times New Roman" w:eastAsia="仿宋_GB2312"/>
          <w:b/>
          <w:bCs/>
          <w:color w:val="auto"/>
          <w:sz w:val="32"/>
          <w:szCs w:val="40"/>
        </w:rPr>
        <w:t>，</w:t>
      </w:r>
      <w:r>
        <w:rPr>
          <w:rFonts w:hint="eastAsia" w:ascii="Times New Roman" w:hAnsi="Times New Roman" w:eastAsia="仿宋_GB2312"/>
          <w:b/>
          <w:bCs/>
          <w:color w:val="auto"/>
          <w:sz w:val="32"/>
          <w:szCs w:val="40"/>
          <w:lang w:eastAsia="zh-CN"/>
        </w:rPr>
        <w:t>健全工作机制</w:t>
      </w:r>
    </w:p>
    <w:p>
      <w:pPr>
        <w:pStyle w:val="2"/>
        <w:ind w:firstLine="640" w:firstLineChars="200"/>
        <w:rPr>
          <w:rFonts w:hint="eastAsia" w:ascii="楷体_GB2312" w:hAnsi="楷体_GB2312" w:eastAsia="楷体_GB2312" w:cs="楷体_GB2312"/>
          <w:b/>
          <w:bCs/>
          <w:sz w:val="32"/>
          <w:szCs w:val="32"/>
          <w:highlight w:val="yellow"/>
          <w:lang w:val="en-US" w:eastAsia="zh-CN"/>
        </w:rPr>
      </w:pPr>
      <w:r>
        <w:rPr>
          <w:rFonts w:hint="eastAsia" w:ascii="Times New Roman" w:hAnsi="Times New Roman" w:eastAsia="仿宋_GB2312"/>
          <w:color w:val="auto"/>
          <w:sz w:val="32"/>
          <w:szCs w:val="40"/>
        </w:rPr>
        <w:t>为更好的提供准确、完整的政府信息公开服务，扎实推进依申请公开工作，我地区着力在制度、机制、标准和规范化水平上下功夫，全面梳理和优化工作流程、健全工作机制、</w:t>
      </w:r>
      <w:r>
        <w:rPr>
          <w:rFonts w:hint="eastAsia" w:ascii="Times New Roman" w:hAnsi="Times New Roman" w:eastAsia="仿宋_GB2312"/>
          <w:color w:val="auto"/>
          <w:sz w:val="32"/>
          <w:szCs w:val="40"/>
          <w:lang w:eastAsia="zh-CN"/>
        </w:rPr>
        <w:t>各部门</w:t>
      </w:r>
      <w:r>
        <w:rPr>
          <w:rFonts w:hint="eastAsia" w:ascii="Times New Roman" w:hAnsi="Times New Roman" w:eastAsia="仿宋_GB2312"/>
          <w:color w:val="auto"/>
          <w:sz w:val="32"/>
          <w:szCs w:val="40"/>
        </w:rPr>
        <w:t>协同配合，</w:t>
      </w:r>
      <w:r>
        <w:rPr>
          <w:rFonts w:ascii="Times New Roman" w:hAnsi="Times New Roman" w:eastAsia="仿宋_GB2312"/>
          <w:color w:val="auto"/>
          <w:sz w:val="32"/>
          <w:szCs w:val="40"/>
        </w:rPr>
        <w:t>进一步建立健全政府信息公开申请登记、审核、办理、答复、归档等各项工作的制度规范，依法妥善做好相关工作。</w:t>
      </w:r>
      <w:r>
        <w:rPr>
          <w:rFonts w:hint="eastAsia" w:ascii="仿宋_GB2312" w:hAnsi="仿宋_GB2312" w:eastAsia="仿宋_GB2312" w:cs="仿宋_GB2312"/>
          <w:color w:val="auto"/>
          <w:sz w:val="32"/>
          <w:szCs w:val="32"/>
        </w:rPr>
        <w:t>对于申请事项不属于政府信息公开工作范畴或无法按申请提供政府信息的，主动与申请人沟通，尽量取得申请人的理解。在答复申请时</w:t>
      </w:r>
      <w:r>
        <w:rPr>
          <w:rFonts w:hint="eastAsia" w:ascii="仿宋_GB2312" w:hAnsi="仿宋_GB2312" w:eastAsia="仿宋_GB2312" w:cs="仿宋_GB2312"/>
          <w:i w:val="0"/>
          <w:caps w:val="0"/>
          <w:color w:val="auto"/>
          <w:spacing w:val="0"/>
          <w:sz w:val="32"/>
          <w:szCs w:val="32"/>
          <w:shd w:val="clear" w:fill="FFFFFF"/>
        </w:rPr>
        <w:t>正确援引《政府信息公开条例》法定依据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并与相关科室及司法所进行沟通，</w:t>
      </w:r>
      <w:r>
        <w:rPr>
          <w:rFonts w:hint="eastAsia" w:ascii="仿宋_GB2312" w:hAnsi="仿宋_GB2312" w:eastAsia="仿宋_GB2312" w:cs="仿宋_GB2312"/>
          <w:color w:val="auto"/>
          <w:sz w:val="32"/>
          <w:szCs w:val="32"/>
        </w:rPr>
        <w:t>依法有据、严谨规范</w:t>
      </w:r>
      <w:r>
        <w:rPr>
          <w:rFonts w:hint="eastAsia" w:ascii="仿宋_GB2312" w:hAnsi="仿宋_GB2312" w:eastAsia="仿宋_GB2312" w:cs="仿宋_GB2312"/>
          <w:color w:val="auto"/>
          <w:sz w:val="32"/>
          <w:szCs w:val="32"/>
          <w:lang w:eastAsia="zh-CN"/>
        </w:rPr>
        <w:t>地回复</w:t>
      </w:r>
      <w:r>
        <w:rPr>
          <w:rFonts w:hint="eastAsia" w:ascii="仿宋_GB2312" w:hAnsi="仿宋_GB2312" w:eastAsia="仿宋_GB2312" w:cs="仿宋_GB2312"/>
          <w:i w:val="0"/>
          <w:caps w:val="0"/>
          <w:color w:val="auto"/>
          <w:spacing w:val="0"/>
          <w:sz w:val="32"/>
          <w:szCs w:val="32"/>
          <w:shd w:val="clear" w:fill="FFFFFF"/>
        </w:rPr>
        <w:t>申请事项</w:t>
      </w:r>
      <w:r>
        <w:rPr>
          <w:rFonts w:hint="eastAsia" w:ascii="仿宋_GB2312" w:hAnsi="仿宋_GB2312" w:eastAsia="仿宋_GB2312" w:cs="仿宋_GB2312"/>
          <w:color w:val="auto"/>
          <w:sz w:val="32"/>
          <w:szCs w:val="32"/>
        </w:rPr>
        <w:t>。</w:t>
      </w:r>
    </w:p>
    <w:p>
      <w:pPr>
        <w:widowControl/>
        <w:numPr>
          <w:ilvl w:val="0"/>
          <w:numId w:val="0"/>
        </w:numPr>
        <w:shd w:val="clear" w:color="auto" w:fill="FFFFFF"/>
        <w:autoSpaceDE w:val="0"/>
        <w:spacing w:line="560" w:lineRule="exact"/>
        <w:ind w:firstLine="640" w:firstLineChars="200"/>
        <w:rPr>
          <w:rFonts w:hint="eastAsia" w:ascii="Times New Roman" w:hAnsi="Times New Roman" w:eastAsia="仿宋_GB2312"/>
          <w:b/>
          <w:bCs/>
          <w:color w:val="auto"/>
          <w:sz w:val="32"/>
          <w:szCs w:val="40"/>
          <w:lang w:val="en-US" w:eastAsia="zh-CN"/>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三</w:t>
      </w:r>
      <w:r>
        <w:rPr>
          <w:rFonts w:hint="eastAsia" w:ascii="Times New Roman" w:hAnsi="Times New Roman" w:eastAsia="仿宋_GB2312"/>
          <w:color w:val="auto"/>
          <w:sz w:val="32"/>
          <w:szCs w:val="32"/>
          <w:highlight w:val="none"/>
        </w:rPr>
        <w:t>）</w:t>
      </w:r>
      <w:r>
        <w:rPr>
          <w:rFonts w:hint="eastAsia" w:ascii="Times New Roman" w:hAnsi="Times New Roman" w:eastAsia="仿宋_GB2312"/>
          <w:b/>
          <w:bCs/>
          <w:color w:val="auto"/>
          <w:sz w:val="32"/>
          <w:szCs w:val="40"/>
          <w:lang w:val="en-US" w:eastAsia="zh-CN"/>
        </w:rPr>
        <w:t>强化信息公开质量监督，规范答复内容</w:t>
      </w:r>
    </w:p>
    <w:p>
      <w:pPr>
        <w:widowControl/>
        <w:numPr>
          <w:ilvl w:val="0"/>
          <w:numId w:val="0"/>
        </w:numPr>
        <w:shd w:val="clear" w:color="auto" w:fill="FFFFFF"/>
        <w:autoSpaceDE w:val="0"/>
        <w:spacing w:line="560" w:lineRule="exact"/>
        <w:ind w:firstLine="640" w:firstLineChars="200"/>
        <w:rPr>
          <w:rFonts w:hint="eastAsia" w:ascii="Times New Roman" w:hAnsi="Times New Roman" w:eastAsia="仿宋_GB2312"/>
          <w:color w:val="auto"/>
          <w:sz w:val="32"/>
          <w:szCs w:val="40"/>
          <w:lang w:val="en-US" w:eastAsia="zh-CN"/>
        </w:rPr>
      </w:pPr>
      <w:r>
        <w:rPr>
          <w:rFonts w:hint="eastAsia" w:ascii="Times New Roman" w:hAnsi="Times New Roman" w:eastAsia="仿宋_GB2312"/>
          <w:color w:val="auto"/>
          <w:sz w:val="32"/>
          <w:szCs w:val="40"/>
          <w:lang w:val="en-US" w:eastAsia="zh-CN"/>
        </w:rPr>
        <w:t>严格审核程序，为保证信息公开工作合理合法，最大程度发挥其积极效能，受理政府信息公开申请后，工作人员在第一时间核查申请内容描述是否准确、信息是否存在、信息公开属性和信息公开主体等基本要素，答复意见由司法所进行合法性审查，以确保公开信息准确、即时和客观。针对情节复杂事项或者重大疑难事项，加强与业务科室和司法部门的协作研究，围绕疑难申请进行会商，确保答复形式的规范性、答复内容的规范性和针对性。同时，我们加强了对相关人员的培训和教育，提高了信息公开意识和能力，在全体员工中形成了厉行信息公开的良好氛围。</w:t>
      </w: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主动公开政府信息情况</w:t>
      </w:r>
    </w:p>
    <w:p>
      <w:pPr>
        <w:pStyle w:val="2"/>
        <w:widowControl/>
        <w:rPr>
          <w:lang w:val="en-US"/>
        </w:rPr>
      </w:pPr>
    </w:p>
    <w:p>
      <w:pPr>
        <w:pStyle w:val="2"/>
        <w:widowControl/>
        <w:rPr>
          <w:lang w:val="en-US"/>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center"/>
              <w:rPr>
                <w:rFonts w:hint="default" w:ascii="宋体" w:hAnsi="Calibri" w:eastAsia="宋体" w:cs="宋体"/>
                <w:sz w:val="24"/>
                <w:szCs w:val="24"/>
                <w:lang w:val="en-US" w:eastAsia="zh-CN"/>
              </w:rPr>
            </w:pPr>
            <w:r>
              <w:rPr>
                <w:rFonts w:hint="eastAsia" w:ascii="宋体" w:hAnsi="Calibri" w:eastAsia="宋体" w:cs="宋体"/>
                <w:sz w:val="24"/>
                <w:szCs w:val="24"/>
                <w:lang w:val="en-US" w:eastAsia="zh-CN"/>
              </w:rPr>
              <w:t>0</w:t>
            </w:r>
          </w:p>
        </w:tc>
      </w:tr>
    </w:tbl>
    <w:p>
      <w:pPr>
        <w:pStyle w:val="2"/>
        <w:widowControl/>
        <w:rPr>
          <w:lang w:val="en-US"/>
        </w:rPr>
      </w:pPr>
    </w:p>
    <w:p>
      <w:pPr>
        <w:pStyle w:val="2"/>
        <w:widowControl/>
        <w:rPr>
          <w:lang w:val="en-US"/>
        </w:rPr>
      </w:pP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收到和处理政府信息公开申请情况</w:t>
      </w:r>
    </w:p>
    <w:p>
      <w:pPr>
        <w:pStyle w:val="3"/>
        <w:keepNext w:val="0"/>
        <w:keepLines w:val="0"/>
        <w:widowControl/>
        <w:suppressLineNumbers w:val="0"/>
        <w:shd w:val="clear" w:fill="FFFFFF"/>
        <w:spacing w:before="0" w:beforeAutospacing="0" w:after="0" w:afterAutospacing="0"/>
        <w:ind w:left="0" w:right="0" w:firstLine="420"/>
        <w:jc w:val="both"/>
        <w:rPr>
          <w:rFonts w:hint="eastAsia" w:ascii="宋体" w:hAnsi="宋体" w:eastAsia="宋体" w:cs="宋体"/>
          <w:color w:val="333333"/>
          <w:shd w:val="clear" w:fill="FFFFFF"/>
          <w:lang w:val="en-US"/>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cs="Calibri"/>
                <w:kern w:val="0"/>
                <w:sz w:val="20"/>
                <w:szCs w:val="20"/>
                <w:lang w:val="en-US" w:eastAsia="zh-CN" w:bidi="ar"/>
              </w:rPr>
              <w:t>20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lang w:val="en-US"/>
              </w:rPr>
            </w:pPr>
            <w:r>
              <w:rPr>
                <w:rFonts w:hint="eastAsia" w:cs="Calibri"/>
                <w:kern w:val="0"/>
                <w:sz w:val="20"/>
                <w:szCs w:val="2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27"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cs="Calibri"/>
                <w:kern w:val="0"/>
                <w:sz w:val="20"/>
                <w:szCs w:val="20"/>
                <w:lang w:val="en-US" w:eastAsia="zh-CN" w:bidi="ar"/>
              </w:rPr>
              <w:t>4</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cs="Calibri"/>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cs="Calibri"/>
                <w:kern w:val="0"/>
                <w:sz w:val="20"/>
                <w:szCs w:val="20"/>
                <w:lang w:val="en-US" w:eastAsia="zh-CN" w:bidi="ar"/>
              </w:rPr>
              <w:t>2</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eastAsia" w:ascii="Calibri" w:hAnsi="Calibri" w:eastAsia="宋体" w:cs="Calibri"/>
                <w:kern w:val="0"/>
                <w:sz w:val="20"/>
                <w:szCs w:val="20"/>
                <w:lang w:val="en-US" w:eastAsia="zh-CN" w:bidi="ar"/>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single" w:color="auto" w:sz="4"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4"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4"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3.危及“三安全一稳定”</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4" w:space="0"/>
              <w:left w:val="nil"/>
              <w:bottom w:val="single" w:color="auto" w:sz="8"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single" w:color="auto" w:sz="4"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4"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cs="Calibri"/>
                <w:kern w:val="0"/>
                <w:sz w:val="20"/>
                <w:szCs w:val="20"/>
                <w:lang w:val="en-US" w:eastAsia="zh-CN" w:bidi="ar"/>
              </w:rPr>
              <w:t>1</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4"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4" w:space="0"/>
              <w:right w:val="single" w:color="auto" w:sz="4"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single" w:color="auto" w:sz="4"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single" w:color="auto" w:sz="4" w:space="0"/>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5.属于三类内部事务信息</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single" w:color="auto" w:sz="4"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eastAsia="宋体"/>
                <w:lang w:val="en-US" w:eastAsia="zh-CN"/>
              </w:rPr>
            </w:pPr>
            <w:r>
              <w:rPr>
                <w:rFonts w:hint="eastAsia"/>
                <w:lang w:val="en-US" w:eastAsia="zh-CN"/>
              </w:rPr>
              <w:t>13</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eastAsia="宋体"/>
                <w:lang w:val="en-US" w:eastAsia="zh-CN"/>
              </w:rPr>
            </w:pPr>
            <w:r>
              <w:rPr>
                <w:rFonts w:hint="eastAsia"/>
                <w:lang w:val="en-US" w:eastAsia="zh-CN"/>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rPr>
            </w:pPr>
            <w:r>
              <w:rPr>
                <w:rFonts w:hint="eastAsia"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89"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lang w:val="en-US"/>
              </w:rPr>
            </w:pPr>
            <w:r>
              <w:rPr>
                <w:rFonts w:hint="eastAsia" w:cs="Calibri"/>
                <w:kern w:val="0"/>
                <w:sz w:val="20"/>
                <w:szCs w:val="20"/>
                <w:lang w:val="en-US" w:eastAsia="zh-CN" w:bidi="ar"/>
              </w:rPr>
              <w:t>20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jc w:val="center"/>
              <w:rPr>
                <w:rFonts w:hint="default" w:eastAsiaTheme="minorEastAsia"/>
                <w:lang w:val="en-US" w:eastAsia="zh-CN"/>
              </w:rPr>
            </w:pPr>
            <w:r>
              <w:rPr>
                <w:rFonts w:hint="eastAsia"/>
                <w:lang w:val="en-US" w:eastAsia="zh-CN"/>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eastAsia="zh-CN"/>
              </w:rPr>
            </w:pPr>
            <w:r>
              <w:rPr>
                <w:rFonts w:hint="eastAsia"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Calibri" w:eastAsia="宋体" w:cs="宋体"/>
                <w:sz w:val="24"/>
                <w:szCs w:val="24"/>
                <w:lang w:val="en-US"/>
              </w:rPr>
            </w:pPr>
            <w:r>
              <w:rPr>
                <w:rFonts w:hint="eastAsia" w:ascii="Calibri" w:hAnsi="Calibri" w:eastAsia="宋体" w:cs="Calibri"/>
                <w:kern w:val="0"/>
                <w:sz w:val="20"/>
                <w:szCs w:val="20"/>
                <w:lang w:val="en-US" w:eastAsia="zh-CN" w:bidi="ar"/>
              </w:rPr>
              <w:t>0</w:t>
            </w:r>
          </w:p>
        </w:tc>
        <w:tc>
          <w:tcPr>
            <w:tcW w:w="688" w:type="dxa"/>
            <w:tcBorders>
              <w:top w:val="inset" w:color="auto" w:sz="6" w:space="0"/>
              <w:left w:val="nil"/>
              <w:bottom w:val="inset" w:color="auto" w:sz="6" w:space="0"/>
              <w:right w:val="inset"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rPr>
              <w:t>0</w:t>
            </w:r>
          </w:p>
        </w:tc>
        <w:tc>
          <w:tcPr>
            <w:tcW w:w="689" w:type="dxa"/>
            <w:tcBorders>
              <w:top w:val="inset" w:color="auto" w:sz="6" w:space="0"/>
              <w:left w:val="nil"/>
              <w:bottom w:val="inset" w:color="auto" w:sz="6" w:space="0"/>
              <w:right w:val="inset" w:color="auto" w:sz="6"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lang w:val="en-US" w:eastAsia="zh-CN"/>
              </w:rPr>
              <w:t>0</w:t>
            </w:r>
          </w:p>
        </w:tc>
      </w:tr>
    </w:tbl>
    <w:p>
      <w:pPr>
        <w:pStyle w:val="2"/>
        <w:widowControl/>
        <w:ind w:left="420" w:leftChars="200"/>
        <w:rPr>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ind w:left="0" w:right="0"/>
        <w:jc w:val="center"/>
        <w:rPr>
          <w:lang w:val="en-US"/>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eastAsia" w:eastAsia="宋体"/>
                <w:lang w:eastAsia="zh-CN"/>
              </w:rPr>
            </w:pPr>
            <w:r>
              <w:rPr>
                <w:rFonts w:hint="eastAsia"/>
                <w:lang w:val="en-US" w:eastAsia="zh-CN"/>
              </w:rPr>
              <w:t>3</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eastAsia" w:eastAsia="宋体"/>
                <w:lang w:eastAsia="zh-CN"/>
              </w:rPr>
            </w:pPr>
            <w:r>
              <w:rPr>
                <w:rFonts w:hint="eastAsia"/>
                <w:lang w:val="en-US" w:eastAsia="zh-CN"/>
              </w:rPr>
              <w:t>3</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eastAsia" w:eastAsiaTheme="minorEastAsia"/>
                <w:lang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default"/>
              </w:rPr>
            </w:pPr>
            <w:r>
              <w:rPr>
                <w:rFonts w:hint="eastAsia"/>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Calibri" w:eastAsia="宋体" w:cs="宋体"/>
                <w:sz w:val="24"/>
                <w:szCs w:val="24"/>
                <w:lang w:val="en-US"/>
              </w:rPr>
            </w:pPr>
            <w:r>
              <w:rPr>
                <w:rFonts w:hint="eastAsia"/>
              </w:rPr>
              <w:t>0</w:t>
            </w:r>
          </w:p>
        </w:tc>
      </w:tr>
    </w:tbl>
    <w:p>
      <w:pPr>
        <w:pStyle w:val="2"/>
        <w:rPr>
          <w:rFonts w:hint="eastAsia"/>
          <w:lang w:eastAsia="zh-CN"/>
        </w:rPr>
      </w:pPr>
    </w:p>
    <w:p>
      <w:pPr>
        <w:widowControl/>
        <w:spacing w:line="560" w:lineRule="exact"/>
        <w:ind w:firstLine="672" w:firstLineChars="200"/>
        <w:jc w:val="left"/>
        <w:rPr>
          <w:rFonts w:hint="eastAsia" w:ascii="黑体" w:hAnsi="黑体" w:eastAsia="黑体" w:cs="宋体"/>
          <w:spacing w:val="8"/>
          <w:kern w:val="0"/>
          <w:sz w:val="32"/>
          <w:szCs w:val="32"/>
          <w:lang w:eastAsia="zh-CN"/>
        </w:rPr>
      </w:pPr>
      <w:r>
        <w:rPr>
          <w:rFonts w:hint="eastAsia" w:ascii="黑体" w:hAnsi="黑体" w:eastAsia="黑体" w:cs="宋体"/>
          <w:spacing w:val="8"/>
          <w:kern w:val="0"/>
          <w:sz w:val="32"/>
          <w:szCs w:val="32"/>
          <w:lang w:eastAsia="zh-CN"/>
        </w:rPr>
        <w:t>五</w:t>
      </w:r>
      <w:r>
        <w:rPr>
          <w:rFonts w:ascii="黑体" w:hAnsi="黑体" w:eastAsia="黑体" w:cs="宋体"/>
          <w:spacing w:val="8"/>
          <w:kern w:val="0"/>
          <w:sz w:val="32"/>
          <w:szCs w:val="32"/>
        </w:rPr>
        <w:t>、</w:t>
      </w:r>
      <w:r>
        <w:rPr>
          <w:rFonts w:hint="eastAsia" w:ascii="黑体" w:hAnsi="黑体" w:eastAsia="黑体" w:cs="宋体"/>
          <w:spacing w:val="8"/>
          <w:kern w:val="0"/>
          <w:sz w:val="32"/>
          <w:szCs w:val="32"/>
          <w:lang w:eastAsia="zh-CN"/>
        </w:rPr>
        <w:t>存在的主要问题及改进情况</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（一）存在的问题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eastAsia" w:ascii="仿宋_GB2312" w:eastAsia="仿宋_GB2312"/>
          <w:b/>
          <w:bCs/>
          <w:color w:val="000000"/>
          <w:sz w:val="32"/>
          <w:szCs w:val="32"/>
          <w:lang w:eastAsia="zh-CN"/>
        </w:rPr>
      </w:pPr>
      <w:r>
        <w:rPr>
          <w:rFonts w:hint="eastAsia" w:ascii="仿宋_GB2312" w:eastAsia="仿宋_GB2312"/>
          <w:b w:val="0"/>
          <w:bCs w:val="0"/>
          <w:color w:val="000000"/>
          <w:sz w:val="32"/>
          <w:szCs w:val="32"/>
          <w:lang w:eastAsia="zh-CN"/>
        </w:rPr>
        <w:t>在取得成绩的同时，我乡信息公开工作也存在一些不足，主要是：政府网站和政务新媒体运维监管仍需强化，重点领域信息主动公开仍需深化，政务公开工作队伍稳定性和专业性仍需加强。</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（二）改进措施</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宋体" w:hAnsi="宋体" w:eastAsia="宋体" w:cs="宋体"/>
          <w:b w:val="0"/>
          <w:bCs w:val="0"/>
          <w:i w:val="0"/>
          <w:iCs w:val="0"/>
          <w:caps w:val="0"/>
          <w:color w:val="auto"/>
          <w:spacing w:val="0"/>
          <w:sz w:val="24"/>
          <w:szCs w:val="24"/>
        </w:rPr>
      </w:pPr>
      <w:r>
        <w:rPr>
          <w:rFonts w:hint="eastAsia" w:ascii="仿宋_GB2312" w:eastAsia="仿宋_GB2312"/>
          <w:b w:val="0"/>
          <w:bCs w:val="0"/>
          <w:color w:val="auto"/>
          <w:sz w:val="32"/>
          <w:szCs w:val="32"/>
          <w:lang w:eastAsia="zh-CN"/>
        </w:rPr>
        <w:t>一是加强政府网站和政务新媒体管理。推动基层政务公开全覆盖</w:t>
      </w:r>
      <w:r>
        <w:rPr>
          <w:rFonts w:hint="eastAsia" w:ascii="仿宋_GB2312" w:eastAsia="仿宋_GB2312"/>
          <w:b w:val="0"/>
          <w:bCs w:val="0"/>
          <w:color w:val="auto"/>
          <w:sz w:val="32"/>
          <w:szCs w:val="32"/>
          <w:lang w:val="en-US" w:eastAsia="zh-CN"/>
        </w:rPr>
        <w:t>,</w:t>
      </w:r>
      <w:r>
        <w:rPr>
          <w:rFonts w:hint="eastAsia" w:ascii="Times New Roman" w:hAnsi="Times New Roman" w:eastAsia="仿宋_GB2312"/>
          <w:color w:val="auto"/>
          <w:sz w:val="32"/>
          <w:szCs w:val="32"/>
          <w:highlight w:val="none"/>
          <w:lang w:eastAsia="zh-CN"/>
        </w:rPr>
        <w:t>是</w:t>
      </w:r>
      <w:r>
        <w:rPr>
          <w:rFonts w:hint="eastAsia" w:ascii="Times New Roman" w:hAnsi="Times New Roman" w:eastAsia="仿宋_GB2312"/>
          <w:color w:val="auto"/>
          <w:sz w:val="32"/>
          <w:szCs w:val="32"/>
          <w:highlight w:val="none"/>
        </w:rPr>
        <w:t>持续把握新时代政务公开工作的新任务、新要求，进一步健全政府信息公开长效机制，推进政务公开化规范化建设</w:t>
      </w:r>
      <w:r>
        <w:rPr>
          <w:rFonts w:hint="eastAsia" w:ascii="Times New Roman" w:hAnsi="Times New Roman" w:eastAsia="仿宋_GB2312"/>
          <w:color w:val="auto"/>
          <w:sz w:val="32"/>
          <w:szCs w:val="32"/>
          <w:highlight w:val="none"/>
          <w:lang w:eastAsia="zh-CN"/>
        </w:rPr>
        <w:t>，</w:t>
      </w:r>
      <w:r>
        <w:rPr>
          <w:rFonts w:hint="eastAsia" w:ascii="仿宋_GB2312" w:eastAsia="仿宋_GB2312"/>
          <w:b w:val="0"/>
          <w:bCs w:val="0"/>
          <w:color w:val="auto"/>
          <w:sz w:val="32"/>
          <w:szCs w:val="32"/>
          <w:lang w:eastAsia="zh-CN"/>
        </w:rPr>
        <w:t>确保政府网站和政务新媒体运行规范高效有序。二是继续深化重点领域主动公开。根据企业和群众的信息需求，继续及时主动公开政府信息，推进重点领域信息公开，不断增强政府公信力和执行力。三是加强政务公开工作队伍建设。完善政务公开工作指南，健全“传帮带”机制，增强工作人员主动学习意识，加强对新人的培训力度，全面提升政务公开工作队伍能力和水平。</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napToGrid w:val="0"/>
        <w:spacing w:line="560" w:lineRule="exact"/>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本报告所列数据的统计期限,自202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年1月1日起至12月31日止。本报告的电子版可登录“朝阳区政府门户网站（“北京·朝阳”）http://www.bjchy.gov.cn/——政府信息公开栏目——政府信息公开年报”下载查阅。</w:t>
      </w:r>
    </w:p>
    <w:p>
      <w:pPr>
        <w:widowControl/>
        <w:spacing w:line="560" w:lineRule="exact"/>
        <w:jc w:val="left"/>
        <w:rPr>
          <w:rFonts w:hint="eastAsia" w:ascii="仿宋_GB2312" w:hAnsi="宋体" w:eastAsia="仿宋_GB2312" w:cs="宋体"/>
          <w:spacing w:val="8"/>
          <w:kern w:val="0"/>
          <w:sz w:val="32"/>
          <w:szCs w:val="32"/>
        </w:rPr>
      </w:pPr>
    </w:p>
    <w:p>
      <w:pPr>
        <w:widowControl/>
        <w:numPr>
          <w:ilvl w:val="0"/>
          <w:numId w:val="0"/>
        </w:numPr>
        <w:shd w:val="clear" w:color="auto" w:fill="FFFFFF"/>
        <w:autoSpaceDE w:val="0"/>
        <w:spacing w:line="560" w:lineRule="exact"/>
        <w:ind w:firstLine="640" w:firstLineChars="200"/>
        <w:rPr>
          <w:rFonts w:hint="eastAsia" w:ascii="Times New Roman" w:hAnsi="Times New Roman" w:eastAsia="仿宋_GB2312"/>
          <w:b w:val="0"/>
          <w:bCs w:val="0"/>
          <w:color w:val="auto"/>
          <w:sz w:val="32"/>
          <w:szCs w:val="4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5A163"/>
    <w:multiLevelType w:val="multilevel"/>
    <w:tmpl w:val="9BD5A16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DhjNDFiNTBjMjkxYmNlM2ZhNWQxZWMxZWFmYmQifQ=="/>
  </w:docVars>
  <w:rsids>
    <w:rsidRoot w:val="789A4D05"/>
    <w:rsid w:val="0A63475E"/>
    <w:rsid w:val="10464231"/>
    <w:rsid w:val="61F63760"/>
    <w:rsid w:val="789A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2024-01-02T00:46:00Z</dcterms:created>
  <dc:creator>Administrator</dc:creator>
  <cp:lastModifiedBy>JIN</cp:lastModifiedBy>
  <dcterms:modified xsi:type="dcterms:W3CDTF">2024-01-03T09:01:49Z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E17CB315DB92463685733D2313E65468_11</vt:lpwstr>
  </property>
</Properties>
</file>