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朝阳区应急管理局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2022年政府信息公开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>
      <w:pPr>
        <w:pStyle w:val="2"/>
        <w:rPr>
          <w:rFonts w:hint="eastAsia"/>
          <w:sz w:val="36"/>
          <w:szCs w:val="44"/>
        </w:rPr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报告由总体情况、主动公开政府信息情况、收到和处理政府信息公开申请情况、政府信息公开行政复议和行政诉讼情况、存在的主要问题及改进情况、其他需要报告的事项等六个部分组成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2022年，朝阳区应急管理局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坚持以习近平新时代中国特色社会主义思想为指导，全面贯彻党的二十大精神，认真落实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各级政府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有关工作要求，围绕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应急管理和安全生产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工作，加大信息主动公开力度，依法依规做好依申请公开，努力提高政府信息公开工作规范化水平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保障政府信息公开工作有序开展。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.主动公开情况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2022年，充分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落实国务院、市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政府关于政务公开工作要求，确保法定主动公开内容公开到位，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截止到202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年12月，我局共主动公开政府信息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725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条，全文电子化率达100%。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依申请公开情况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建立健全政府信息公开机制，畅通依申请公开受理渠道，严格依法依规按时答复，增强答复内容针对性、规范性，不断提升依申请公开工作质量。2022年度，共受理政府信息公开申请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件，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均按照要求受理办结，无行政复议案件。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主动公开政府信息情况</w:t>
      </w:r>
    </w:p>
    <w:tbl>
      <w:tblPr>
        <w:tblStyle w:val="5"/>
        <w:tblW w:w="97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2"/>
        <w:rPr>
          <w:rFonts w:hint="eastAsia"/>
        </w:rPr>
      </w:pPr>
    </w:p>
    <w:p>
      <w:pPr>
        <w:numPr>
          <w:ilvl w:val="0"/>
          <w:numId w:val="0"/>
        </w:numPr>
        <w:spacing w:line="560" w:lineRule="exact"/>
        <w:rPr>
          <w:rFonts w:hint="eastAsia" w:ascii="宋体" w:hAnsi="宋体" w:cs="宋体"/>
          <w:color w:val="333333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5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9"/>
        <w:gridCol w:w="685"/>
        <w:gridCol w:w="693"/>
        <w:gridCol w:w="693"/>
        <w:gridCol w:w="693"/>
        <w:gridCol w:w="693"/>
        <w:gridCol w:w="693"/>
        <w:gridCol w:w="6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43" w:type="dxa"/>
            <w:gridSpan w:val="7"/>
            <w:tcBorders>
              <w:top w:val="single" w:color="auto" w:sz="8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85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65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3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3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40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4140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4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4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4140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0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2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5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firstLine="240" w:firstLineChars="100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朝阳区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应急管理局政务公开工作存在的问题和不足主要表现在：一是主动公开广度深度有待进一步拓展；二是解读回应能力水平有待进一步提升；三是系统谋划有待进一步增强，社会化宣传科普手段方式比较单一。对此将重点抓好以下工作加强改进：一是强化主动意识，深化公开内容。加大重点领域信息公开力度。二是强化创新意识，创新公开形式。推动解读形式多元化，通过更加喜闻乐见的形式加强应急安全公开宣传教育。三是强化严谨意识，规范公开审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依法依规做好保密审查。四是强化服务意识，优化公开渠道。在深化网站、政务新媒体建设基础上，不断拓宽公开渠道覆盖面。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pStyle w:val="2"/>
        <w:spacing w:line="560" w:lineRule="exact"/>
        <w:ind w:firstLine="672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"/>
        </w:rPr>
        <w:t>2022年，我局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发出收费通知的件数和总金额以及实际收取的总金额均为0。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5"/>
        <w:jc w:val="right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"/>
        </w:rPr>
        <w:t>朝阳区应急管理局</w:t>
      </w:r>
    </w:p>
    <w:p>
      <w:pPr>
        <w:pStyle w:val="2"/>
        <w:spacing w:line="560" w:lineRule="exact"/>
        <w:ind w:firstLine="672" w:firstLineChars="200"/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"/>
        </w:rPr>
        <w:t xml:space="preserve">                            2023年1月4日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1087D"/>
    <w:rsid w:val="0381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268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2023-02-16T06:21:00Z</dcterms:created>
  <dc:creator>于清靓</dc:creator>
  <cp:lastModifiedBy>于清靓</cp:lastModifiedBy>
  <cp:lastPrinted>2023-02-17T02:35:28Z</cp:lastPrinted>
  <dcterms:modified xsi:type="dcterms:W3CDTF">2023-02-17T02:36:50Z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