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朝阳区2021年重要民生实事项目落实情况表（第二季度）</w:t>
      </w:r>
    </w:p>
    <w:bookmarkEnd w:id="0"/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第5项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建设筹集各类政策性住房4000套（间），竣工6000套（间），完成棚户区改造450户。持续开展保障性住房配租工作，实现对低保、低收入住房困难家庭应保尽保。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黑体" w:eastAsia="仿宋_GB2312"/>
                <w:sz w:val="24"/>
              </w:rPr>
              <w:t>2021年5-6月,开展第一批选房工作。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80AF2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C6E4F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477D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A04FF0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AC034A1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0E973-CB5A-42F4-BCA2-57F3F7884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196</Words>
  <Characters>1119</Characters>
  <Lines>9</Lines>
  <Paragraphs>2</Paragraphs>
  <ScaleCrop>false</ScaleCrop>
  <LinksUpToDate>false</LinksUpToDate>
  <CharactersWithSpaces>1313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2021-11-09T11:39:00Z</dcterms:created>
  <dc:creator>lidong</dc:creator>
  <cp:lastModifiedBy>赵广辉</cp:lastModifiedBy>
  <cp:lastPrinted>2019-04-03T03:16:00Z</cp:lastPrinted>
  <dcterms:modified xsi:type="dcterms:W3CDTF">2021-11-29T06:35:11Z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