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jc w:val="center"/>
        <w:rPr>
          <w:rFonts w:eastAsia="方正小标宋简体" w:cs="方正小标宋简体"/>
          <w:bCs/>
          <w:color w:val="000000"/>
          <w:kern w:val="0"/>
          <w:sz w:val="40"/>
          <w:szCs w:val="40"/>
          <w:shd w:val="clear" w:color="auto" w:fill="auto"/>
          <w:lang w:bidi="ar-SA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jc w:val="center"/>
        <w:rPr>
          <w:rFonts w:eastAsia="方正小标宋简体" w:cs="方正小标宋简体"/>
          <w:bCs/>
          <w:color w:val="000000"/>
          <w:kern w:val="0"/>
          <w:sz w:val="40"/>
          <w:szCs w:val="40"/>
          <w:shd w:val="clear" w:color="auto" w:fill="auto"/>
          <w:lang w:bidi="ar-SA"/>
        </w:rPr>
      </w:pPr>
      <w:r>
        <w:rPr>
          <w:rFonts w:hint="eastAsia" w:eastAsia="方正小标宋简体" w:cs="方正小标宋简体"/>
          <w:bCs/>
          <w:color w:val="000000"/>
          <w:kern w:val="0"/>
          <w:sz w:val="40"/>
          <w:szCs w:val="40"/>
          <w:shd w:val="clear" w:color="auto" w:fill="auto"/>
          <w:lang w:bidi="ar-SA"/>
        </w:rPr>
        <w:t>关于《关于加强区基本建设资金投资建设项目结决算管理的若干规定（试行）（征求意见稿》的起草说明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 w:firstLine="640" w:firstLineChars="200"/>
        <w:rPr>
          <w:rFonts w:hint="eastAsia" w:eastAsia="仿宋_GB2312" w:cs="宋体"/>
          <w:kern w:val="0"/>
          <w:sz w:val="32"/>
          <w:szCs w:val="24"/>
          <w:lang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20" w:hanging="72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起草背景及过程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outlineLvl w:val="9"/>
        <w:rPr>
          <w:rFonts w:hint="eastAsia" w:ascii="Times New Roman" w:hAnsi="Times New Roman" w:eastAsia="仿宋_GB2312" w:cs="宋体"/>
          <w:b w:val="0"/>
          <w:bCs w:val="0"/>
          <w:color w:val="auto"/>
          <w:kern w:val="0"/>
          <w:sz w:val="32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宋体"/>
          <w:b w:val="0"/>
          <w:bCs w:val="0"/>
          <w:color w:val="auto"/>
          <w:kern w:val="0"/>
          <w:sz w:val="32"/>
          <w:szCs w:val="24"/>
          <w:highlight w:val="none"/>
          <w:lang w:val="en-US" w:eastAsia="zh-CN" w:bidi="ar-SA"/>
        </w:rPr>
        <w:t>2023年</w:t>
      </w:r>
      <w:r>
        <w:rPr>
          <w:rFonts w:hint="eastAsia" w:eastAsia="仿宋_GB2312" w:cs="宋体"/>
          <w:b w:val="0"/>
          <w:bCs w:val="0"/>
          <w:color w:val="auto"/>
          <w:kern w:val="0"/>
          <w:sz w:val="32"/>
          <w:szCs w:val="24"/>
          <w:highlight w:val="none"/>
          <w:lang w:val="en-US" w:eastAsia="zh-CN" w:bidi="ar-SA"/>
        </w:rPr>
        <w:t>8月</w:t>
      </w:r>
      <w:r>
        <w:rPr>
          <w:rFonts w:hint="eastAsia" w:ascii="Times New Roman" w:hAnsi="Times New Roman" w:eastAsia="仿宋_GB2312" w:cs="宋体"/>
          <w:b w:val="0"/>
          <w:bCs w:val="0"/>
          <w:color w:val="auto"/>
          <w:kern w:val="0"/>
          <w:sz w:val="32"/>
          <w:szCs w:val="24"/>
          <w:highlight w:val="none"/>
          <w:lang w:val="en-US" w:eastAsia="zh-CN" w:bidi="ar-SA"/>
        </w:rPr>
        <w:t>，</w:t>
      </w:r>
      <w:r>
        <w:rPr>
          <w:rFonts w:hint="eastAsia" w:eastAsia="仿宋_GB2312" w:cs="宋体"/>
          <w:b w:val="0"/>
          <w:bCs w:val="0"/>
          <w:color w:val="auto"/>
          <w:kern w:val="0"/>
          <w:sz w:val="32"/>
          <w:szCs w:val="24"/>
          <w:highlight w:val="none"/>
          <w:lang w:val="en-US" w:eastAsia="zh-CN" w:bidi="ar-SA"/>
        </w:rPr>
        <w:t>朝阳区</w:t>
      </w:r>
      <w:r>
        <w:rPr>
          <w:rFonts w:hint="eastAsia" w:ascii="Times New Roman" w:hAnsi="Times New Roman" w:eastAsia="仿宋_GB2312" w:cs="宋体"/>
          <w:b w:val="0"/>
          <w:bCs w:val="0"/>
          <w:color w:val="auto"/>
          <w:kern w:val="0"/>
          <w:sz w:val="32"/>
          <w:szCs w:val="24"/>
          <w:highlight w:val="none"/>
          <w:lang w:val="en-US" w:eastAsia="zh-CN" w:bidi="ar-SA"/>
        </w:rPr>
        <w:t>政府印发了《</w:t>
      </w:r>
      <w:r>
        <w:rPr>
          <w:rFonts w:hint="eastAsia" w:eastAsia="仿宋_GB2312" w:cs="宋体"/>
          <w:b w:val="0"/>
          <w:bCs w:val="0"/>
          <w:color w:val="auto"/>
          <w:kern w:val="0"/>
          <w:sz w:val="32"/>
          <w:szCs w:val="24"/>
          <w:highlight w:val="none"/>
          <w:lang w:val="en-US" w:eastAsia="zh-CN" w:bidi="ar-SA"/>
        </w:rPr>
        <w:t>朝阳区</w:t>
      </w:r>
      <w:r>
        <w:rPr>
          <w:rFonts w:hint="eastAsia" w:ascii="Times New Roman" w:hAnsi="Times New Roman" w:eastAsia="仿宋_GB2312" w:cs="宋体"/>
          <w:b w:val="0"/>
          <w:bCs w:val="0"/>
          <w:color w:val="auto"/>
          <w:kern w:val="0"/>
          <w:sz w:val="32"/>
          <w:szCs w:val="24"/>
          <w:highlight w:val="none"/>
          <w:lang w:val="en-US" w:eastAsia="zh-CN" w:bidi="ar-SA"/>
        </w:rPr>
        <w:t>政府投资管理办法》，为加快推进政府投资项目结决算工作，解决我区项目历史遗留问题，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我委对标本市相关政策</w:t>
      </w:r>
      <w:r>
        <w:rPr>
          <w:rFonts w:hint="eastAsia" w:ascii="Times New Roman" w:hAnsi="Times New Roman" w:eastAsia="仿宋_GB2312" w:cs="宋体"/>
          <w:b w:val="0"/>
          <w:bCs w:val="0"/>
          <w:color w:val="auto"/>
          <w:kern w:val="0"/>
          <w:sz w:val="32"/>
          <w:szCs w:val="24"/>
          <w:highlight w:val="none"/>
          <w:lang w:val="en-US" w:eastAsia="zh-CN" w:bidi="ar-SA"/>
        </w:rPr>
        <w:t>，并结合区情，牵头制定了《关于加强区基本建设资金投资建设项目结决算管理的若干规定（试行）》</w:t>
      </w:r>
      <w:r>
        <w:rPr>
          <w:rFonts w:hint="eastAsia" w:eastAsia="仿宋_GB2312" w:cs="宋体"/>
          <w:b w:val="0"/>
          <w:bCs w:val="0"/>
          <w:color w:val="auto"/>
          <w:kern w:val="0"/>
          <w:sz w:val="32"/>
          <w:szCs w:val="24"/>
          <w:highlight w:val="none"/>
          <w:lang w:val="en-US" w:eastAsia="zh-CN" w:bidi="ar-SA"/>
        </w:rPr>
        <w:t>（以下简称《规定》）</w:t>
      </w:r>
      <w:r>
        <w:rPr>
          <w:rFonts w:hint="eastAsia" w:ascii="Times New Roman" w:hAnsi="Times New Roman" w:eastAsia="仿宋_GB2312" w:cs="宋体"/>
          <w:b w:val="0"/>
          <w:bCs w:val="0"/>
          <w:color w:val="auto"/>
          <w:kern w:val="0"/>
          <w:sz w:val="32"/>
          <w:szCs w:val="24"/>
          <w:highlight w:val="none"/>
          <w:lang w:val="en-US" w:eastAsia="zh-CN" w:bidi="ar-SA"/>
        </w:rPr>
        <w:t>，并广泛征求</w:t>
      </w:r>
      <w:r>
        <w:rPr>
          <w:rFonts w:hint="eastAsia" w:eastAsia="仿宋_GB2312" w:cs="宋体"/>
          <w:b w:val="0"/>
          <w:bCs w:val="0"/>
          <w:color w:val="auto"/>
          <w:kern w:val="0"/>
          <w:sz w:val="32"/>
          <w:szCs w:val="24"/>
          <w:highlight w:val="none"/>
          <w:lang w:val="en-US" w:eastAsia="zh-CN" w:bidi="ar-SA"/>
        </w:rPr>
        <w:t>财政、</w:t>
      </w:r>
      <w:r>
        <w:rPr>
          <w:rFonts w:hint="eastAsia" w:ascii="Times New Roman" w:hAnsi="Times New Roman" w:eastAsia="仿宋_GB2312" w:cs="宋体"/>
          <w:b w:val="0"/>
          <w:bCs w:val="0"/>
          <w:color w:val="auto"/>
          <w:kern w:val="0"/>
          <w:sz w:val="32"/>
          <w:szCs w:val="24"/>
          <w:highlight w:val="none"/>
          <w:lang w:val="en-US" w:eastAsia="zh-CN" w:bidi="ar-SA"/>
        </w:rPr>
        <w:t>教委、城管委、绿化局、水务局等区级行业部门，项目主体的意见，进一步优化完善《</w:t>
      </w:r>
      <w:r>
        <w:rPr>
          <w:rFonts w:hint="eastAsia" w:eastAsia="仿宋_GB2312" w:cs="宋体"/>
          <w:b w:val="0"/>
          <w:bCs w:val="0"/>
          <w:color w:val="auto"/>
          <w:kern w:val="0"/>
          <w:sz w:val="32"/>
          <w:szCs w:val="24"/>
          <w:highlight w:val="none"/>
          <w:lang w:val="en-US" w:eastAsia="zh-CN" w:bidi="ar-SA"/>
        </w:rPr>
        <w:t>规定</w:t>
      </w:r>
      <w:r>
        <w:rPr>
          <w:rFonts w:hint="eastAsia" w:ascii="Times New Roman" w:hAnsi="Times New Roman" w:eastAsia="仿宋_GB2312" w:cs="宋体"/>
          <w:b w:val="0"/>
          <w:bCs w:val="0"/>
          <w:color w:val="auto"/>
          <w:kern w:val="0"/>
          <w:sz w:val="32"/>
          <w:szCs w:val="24"/>
          <w:highlight w:val="none"/>
          <w:lang w:val="en-US" w:eastAsia="zh-CN" w:bidi="ar-SA"/>
        </w:rPr>
        <w:t>》，同步归纳主要问题形成问题清单，并针对性修订</w:t>
      </w:r>
      <w:r>
        <w:rPr>
          <w:rFonts w:hint="eastAsia" w:eastAsia="仿宋_GB2312" w:cs="宋体"/>
          <w:b w:val="0"/>
          <w:bCs w:val="0"/>
          <w:color w:val="auto"/>
          <w:kern w:val="0"/>
          <w:sz w:val="32"/>
          <w:szCs w:val="24"/>
          <w:highlight w:val="none"/>
          <w:lang w:val="en-US" w:eastAsia="zh-CN" w:bidi="ar-SA"/>
        </w:rPr>
        <w:t>完善</w:t>
      </w:r>
      <w:r>
        <w:rPr>
          <w:rFonts w:hint="eastAsia" w:ascii="Times New Roman" w:hAnsi="Times New Roman" w:eastAsia="仿宋_GB2312" w:cs="宋体"/>
          <w:b w:val="0"/>
          <w:bCs w:val="0"/>
          <w:color w:val="auto"/>
          <w:kern w:val="0"/>
          <w:sz w:val="32"/>
          <w:szCs w:val="24"/>
          <w:highlight w:val="none"/>
          <w:lang w:val="en-US" w:eastAsia="zh-CN" w:bidi="ar-SA"/>
        </w:rPr>
        <w:t>《</w:t>
      </w:r>
      <w:r>
        <w:rPr>
          <w:rFonts w:hint="eastAsia" w:eastAsia="仿宋_GB2312" w:cs="宋体"/>
          <w:b w:val="0"/>
          <w:bCs w:val="0"/>
          <w:color w:val="auto"/>
          <w:kern w:val="0"/>
          <w:sz w:val="32"/>
          <w:szCs w:val="24"/>
          <w:highlight w:val="none"/>
          <w:lang w:val="en-US" w:eastAsia="zh-CN" w:bidi="ar-SA"/>
        </w:rPr>
        <w:t>规定</w:t>
      </w:r>
      <w:r>
        <w:rPr>
          <w:rFonts w:hint="eastAsia" w:ascii="Times New Roman" w:hAnsi="Times New Roman" w:eastAsia="仿宋_GB2312" w:cs="宋体"/>
          <w:b w:val="0"/>
          <w:bCs w:val="0"/>
          <w:color w:val="auto"/>
          <w:kern w:val="0"/>
          <w:sz w:val="32"/>
          <w:szCs w:val="24"/>
          <w:highlight w:val="none"/>
          <w:lang w:val="en-US" w:eastAsia="zh-CN" w:bidi="ar-SA"/>
        </w:rPr>
        <w:t>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20" w:hanging="72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起草文件的主要考虑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outlineLvl w:val="9"/>
        <w:rPr>
          <w:rFonts w:hint="eastAsia" w:ascii="Calibri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Calibri" w:hAnsi="Calibri" w:eastAsia="仿宋_GB2312" w:cs="Times New Roman"/>
          <w:sz w:val="32"/>
          <w:szCs w:val="32"/>
          <w:lang w:val="en-US" w:eastAsia="zh-CN"/>
        </w:rPr>
        <w:t xml:space="preserve">    政府投资基本建设项目是我区推动经济社会发展、完善城市功能、保障改善民生的重要抓手。近年来，随着我区政府投资力度持续加大，基建项目数量增多、投资规模扩大，在项目建设管理和竣工决算环节暴露出一些问题：一是部分项目存在“重建设、轻决算”现象，项目竣工后迟迟不办理决算，影响资金结算和资产入账；二是建设过程中概算控制不严， 部分项目存在自行扩大建设规模、提高标准、未经审批变更建设内容的情况；三是针对项目已完工但因手续不全等原因长期无法决算的“历史遗留”问题，缺乏有效的处置路径和制度性出口。大量积压的历史项目导致了持续的审计问题，也影响了投资管理工作的质量和效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outlineLvl w:val="9"/>
        <w:rPr>
          <w:rFonts w:hint="default" w:ascii="Calibri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Calibri" w:hAnsi="Calibri" w:eastAsia="仿宋_GB2312" w:cs="Times New Roman"/>
          <w:sz w:val="32"/>
          <w:szCs w:val="32"/>
          <w:lang w:val="en-US" w:eastAsia="zh-CN"/>
        </w:rPr>
        <w:t>现行的《朝阳区政府投资管理办法》等上位制度对项目管理和决算作出了原则性规定，但在操作层面仍缺少针对性强、可落地的实施细则，亟需制定专门的结决算管理规定予以补充完善。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20" w:hanging="72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主要内容说明</w:t>
      </w:r>
    </w:p>
    <w:p>
      <w:pPr>
        <w:pStyle w:val="6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本次《规定》分为五章、共十七条，具体按照项目手续是否齐全及项目存续周期等因素，将项目分为四类，细化项目管理要求，逐类明确项目决算或结项流程。</w:t>
      </w:r>
    </w:p>
    <w:p>
      <w:pPr>
        <w:pStyle w:val="6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一是强化政府投资项目全过程管理。《规定》第一条、第二条为总则，制定了总体原则。第三条至第十一条中，重点细化了政府投资项目全过程规范管理要求，参照市发展改革委相关政策规定，明确了项目在开工后概算调整流程和要求，并优化了一般决算程序。对于过程中发生的超概问题，按照投资增加比例分执行分级决策政策。</w:t>
      </w:r>
    </w:p>
    <w:p>
      <w:pPr>
        <w:pStyle w:val="6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二是试行项目决算申报容缺受理制度。《规定》第十二条至第十三条中明确了容缺受理和甩项决算程序。对于有前期手续、按规划实施但未取得规划核验、住建委竣工备案手续的项目，可容缺受理项目决算，即由相关部门提供一定合规性证明后，区发展改革委按流程对项目进行决算审核并批复竣工决算；对于未完工即终止实施的项目，由项目主管单位报请主管区领导同意后，项目单位按现状报审决算。</w:t>
      </w:r>
    </w:p>
    <w:p>
      <w:pPr>
        <w:pStyle w:val="6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rightChars="0"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三是明确项目限期决算范围和流程。《规定》第十四、十五条中明确了限期决算程序。项目竣工后超2年仍未主动申报决算，即纳入限期决算范围。启动限期决算后，区发展改革委会同区财政局、区审计局及项目主管单位，以核定的项目实际已支出资金，作为项目最终审定投资额，并报区政府批准。</w:t>
      </w:r>
    </w:p>
    <w:p>
      <w:pPr>
        <w:pStyle w:val="6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right="0" w:rightChars="0" w:firstLine="640" w:firstLineChars="200"/>
        <w:textAlignment w:val="auto"/>
        <w:outlineLvl w:val="9"/>
        <w:rPr>
          <w:rFonts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四是明确其他长期在途项目的结项流程。《规定》第十六条、十七条中明确，对于前期手续不完善、不具备决算条件，但基本实现规划功能的项目，由规划部门、行业主管部门出具项目合规说明后，区发展改革委会同区财政局、区审计局进行项目联审并报区政府批准，区发展改革委核发项目资金结算的函并拨付项目尾款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</w:pPr>
    </w:p>
    <w:p>
      <w:pPr>
        <w:spacing w:line="560" w:lineRule="exact"/>
      </w:pPr>
    </w:p>
    <w:sectPr>
      <w:pgSz w:w="11907" w:h="16839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A27F3"/>
    <w:multiLevelType w:val="multilevel"/>
    <w:tmpl w:val="157A27F3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FELayout/>
    <w:useAltKinsokuLineBreakRules/>
    <w:compatSetting w:name="compatibilityMode" w:uri="http://schemas.microsoft.com/office/word" w:val="15"/>
  </w:compat>
  <w:rsids>
    <w:rsidRoot w:val="00000000"/>
    <w:rsid w:val="10C656CB"/>
    <w:rsid w:val="7FFB406B"/>
    <w:rsid w:val="97FFC26C"/>
    <w:rsid w:val="D7FF02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/>
    </w:pPr>
  </w:style>
  <w:style w:type="paragraph" w:styleId="6">
    <w:name w:val="Block Text"/>
    <w:basedOn w:val="1"/>
    <w:qFormat/>
    <w:uiPriority w:val="0"/>
    <w:pPr>
      <w:spacing w:after="120"/>
      <w:ind w:left="140" w:right="700" w:rightChars="7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character" w:styleId="10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8</Pages>
  <Words>0</Words>
  <Characters>3162</Characters>
  <Lines>0</Lines>
  <Paragraphs>40</Paragraphs>
  <TotalTime>0</TotalTime>
  <ScaleCrop>false</ScaleCrop>
  <LinksUpToDate>false</LinksUpToDate>
  <CharactersWithSpaces>4217</CharactersWithSpaces>
  <Application>WPS Office_10.8.0.6308_F1E327BC-269C-435d-A152-05C5408002CA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2023-12-28T09:54:00Z</dcterms:created>
  <dc:creator>123</dc:creator>
  <cp:lastModifiedBy>123</cp:lastModifiedBy>
  <dcterms:modified xsi:type="dcterms:W3CDTF">2026-06-29T07:01:22Z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