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cs="宋体"/>
          <w:b/>
          <w:iCs w:val="0"/>
          <w:spacing w:val="15"/>
          <w:kern w:val="0"/>
          <w:sz w:val="44"/>
          <w:szCs w:val="24"/>
        </w:rPr>
      </w:pPr>
      <w:r>
        <w:rPr>
          <w:rFonts w:hint="eastAsia" w:cs="宋体"/>
          <w:b/>
          <w:iCs w:val="0"/>
          <w:kern w:val="0"/>
          <w:sz w:val="44"/>
          <w:szCs w:val="24"/>
        </w:rPr>
        <w:t>20</w:t>
      </w:r>
      <w:r>
        <w:rPr>
          <w:rFonts w:cs="宋体"/>
          <w:b/>
          <w:iCs w:val="0"/>
          <w:kern w:val="0"/>
          <w:sz w:val="44"/>
          <w:szCs w:val="24"/>
        </w:rPr>
        <w:t>2</w:t>
      </w:r>
      <w:r>
        <w:rPr>
          <w:rFonts w:hint="eastAsia" w:cs="宋体"/>
          <w:b/>
          <w:iCs w:val="0"/>
          <w:kern w:val="0"/>
          <w:sz w:val="44"/>
          <w:szCs w:val="24"/>
        </w:rPr>
        <w:t>3年</w:t>
      </w:r>
      <w:r>
        <w:rPr>
          <w:rFonts w:hint="eastAsia" w:cs="宋体"/>
          <w:b/>
          <w:iCs w:val="0"/>
          <w:kern w:val="0"/>
          <w:sz w:val="44"/>
          <w:szCs w:val="24"/>
          <w:lang w:val="en-US" w:eastAsia="zh-CN"/>
        </w:rPr>
        <w:t>1-10月</w:t>
      </w:r>
      <w:r>
        <w:rPr>
          <w:rFonts w:hint="eastAsia" w:cs="宋体"/>
          <w:b/>
          <w:iCs w:val="0"/>
          <w:kern w:val="0"/>
          <w:sz w:val="44"/>
          <w:szCs w:val="24"/>
        </w:rPr>
        <w:t>朝阳区</w:t>
      </w:r>
      <w:r>
        <w:rPr>
          <w:rFonts w:cs="宋体"/>
          <w:b/>
          <w:iCs w:val="0"/>
          <w:kern w:val="0"/>
          <w:sz w:val="44"/>
          <w:szCs w:val="24"/>
        </w:rPr>
        <w:t>社会消费品零售</w:t>
      </w:r>
      <w:r>
        <w:rPr>
          <w:rFonts w:hint="eastAsia" w:cs="宋体"/>
          <w:b/>
          <w:iCs w:val="0"/>
          <w:kern w:val="0"/>
          <w:sz w:val="44"/>
          <w:szCs w:val="24"/>
        </w:rPr>
        <w:t>总</w:t>
      </w:r>
      <w:r>
        <w:rPr>
          <w:rFonts w:cs="宋体"/>
          <w:b/>
          <w:iCs w:val="0"/>
          <w:spacing w:val="15"/>
          <w:kern w:val="0"/>
          <w:sz w:val="44"/>
          <w:szCs w:val="24"/>
        </w:rPr>
        <w:t>额</w:t>
      </w:r>
      <w:r>
        <w:rPr>
          <w:rFonts w:hint="eastAsia" w:cs="宋体"/>
          <w:b/>
          <w:iCs w:val="0"/>
          <w:spacing w:val="15"/>
          <w:kern w:val="0"/>
          <w:sz w:val="44"/>
          <w:szCs w:val="24"/>
        </w:rPr>
        <w:t>同比</w:t>
      </w:r>
      <w:r>
        <w:rPr>
          <w:rFonts w:hint="eastAsia" w:cs="宋体"/>
          <w:b/>
          <w:iCs w:val="0"/>
          <w:spacing w:val="15"/>
          <w:kern w:val="0"/>
          <w:sz w:val="44"/>
          <w:szCs w:val="24"/>
          <w:lang w:eastAsia="zh-CN"/>
        </w:rPr>
        <w:t>增长</w:t>
      </w:r>
      <w:r>
        <w:rPr>
          <w:rFonts w:hint="eastAsia" w:cs="宋体"/>
          <w:b/>
          <w:iCs w:val="0"/>
          <w:spacing w:val="15"/>
          <w:kern w:val="0"/>
          <w:sz w:val="44"/>
          <w:szCs w:val="24"/>
          <w:lang w:val="en-US" w:eastAsia="zh-CN"/>
        </w:rPr>
        <w:t>3.4</w:t>
      </w:r>
      <w:r>
        <w:rPr>
          <w:rFonts w:cs="宋体"/>
          <w:b/>
          <w:iCs w:val="0"/>
          <w:spacing w:val="15"/>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cs="宋体"/>
          <w:bCs w:val="0"/>
          <w:iCs w:val="0"/>
          <w:color w:val="000000"/>
          <w:kern w:val="0"/>
          <w:szCs w:val="21"/>
        </w:rPr>
      </w:pPr>
      <w:r>
        <w:rPr>
          <w:rFonts w:hint="eastAsia" w:cs="宋体"/>
          <w:bCs w:val="0"/>
          <w:iCs w:val="0"/>
          <w:color w:val="000000"/>
          <w:kern w:val="0"/>
          <w:szCs w:val="21"/>
        </w:rPr>
        <w:t>20</w:t>
      </w:r>
      <w:r>
        <w:rPr>
          <w:rFonts w:cs="宋体"/>
          <w:bCs w:val="0"/>
          <w:iCs w:val="0"/>
          <w:color w:val="000000"/>
          <w:kern w:val="0"/>
          <w:szCs w:val="21"/>
        </w:rPr>
        <w:t>2</w:t>
      </w:r>
      <w:r>
        <w:rPr>
          <w:rFonts w:hint="eastAsia" w:cs="宋体"/>
          <w:bCs w:val="0"/>
          <w:iCs w:val="0"/>
          <w:color w:val="000000"/>
          <w:kern w:val="0"/>
          <w:szCs w:val="21"/>
        </w:rPr>
        <w:t>3年</w:t>
      </w:r>
      <w:r>
        <w:rPr>
          <w:rFonts w:hint="eastAsia" w:cs="宋体"/>
          <w:bCs w:val="0"/>
          <w:iCs w:val="0"/>
          <w:color w:val="000000"/>
          <w:kern w:val="0"/>
          <w:szCs w:val="21"/>
          <w:lang w:val="en-US" w:eastAsia="zh-CN"/>
        </w:rPr>
        <w:t>1-10月</w:t>
      </w:r>
      <w:r>
        <w:rPr>
          <w:rFonts w:cs="宋体"/>
          <w:bCs w:val="0"/>
          <w:iCs w:val="0"/>
          <w:color w:val="000000"/>
          <w:kern w:val="0"/>
          <w:szCs w:val="21"/>
        </w:rPr>
        <w:t>，</w:t>
      </w:r>
      <w:r>
        <w:rPr>
          <w:rFonts w:hint="eastAsia" w:cs="宋体"/>
          <w:bCs w:val="0"/>
          <w:iCs w:val="0"/>
          <w:color w:val="000000"/>
          <w:kern w:val="0"/>
          <w:szCs w:val="21"/>
        </w:rPr>
        <w:t>朝阳区</w:t>
      </w:r>
      <w:r>
        <w:rPr>
          <w:rFonts w:cs="宋体"/>
          <w:bCs w:val="0"/>
          <w:iCs w:val="0"/>
          <w:color w:val="000000"/>
          <w:kern w:val="0"/>
          <w:szCs w:val="21"/>
        </w:rPr>
        <w:t>实现社会消费品零售</w:t>
      </w:r>
      <w:r>
        <w:rPr>
          <w:rFonts w:hint="eastAsia" w:cs="宋体"/>
          <w:bCs w:val="0"/>
          <w:iCs w:val="0"/>
          <w:color w:val="000000"/>
          <w:kern w:val="0"/>
          <w:szCs w:val="21"/>
        </w:rPr>
        <w:t>总</w:t>
      </w:r>
      <w:r>
        <w:rPr>
          <w:rFonts w:cs="宋体"/>
          <w:bCs w:val="0"/>
          <w:iCs w:val="0"/>
          <w:color w:val="000000"/>
          <w:kern w:val="0"/>
          <w:szCs w:val="21"/>
        </w:rPr>
        <w:t>额</w:t>
      </w:r>
      <w:r>
        <w:rPr>
          <w:rFonts w:hint="eastAsia" w:cs="宋体"/>
          <w:bCs w:val="0"/>
          <w:iCs w:val="0"/>
          <w:color w:val="000000"/>
          <w:kern w:val="0"/>
          <w:szCs w:val="21"/>
        </w:rPr>
        <w:t>2785.4</w:t>
      </w:r>
      <w:bookmarkStart w:id="0" w:name="_GoBack"/>
      <w:bookmarkEnd w:id="0"/>
      <w:r>
        <w:rPr>
          <w:rFonts w:cs="宋体"/>
          <w:bCs w:val="0"/>
          <w:iCs w:val="0"/>
          <w:color w:val="000000"/>
          <w:kern w:val="0"/>
          <w:szCs w:val="21"/>
        </w:rPr>
        <w:t>亿元，同比</w:t>
      </w:r>
      <w:r>
        <w:rPr>
          <w:rFonts w:hint="eastAsia" w:cs="宋体"/>
          <w:bCs w:val="0"/>
          <w:iCs w:val="0"/>
          <w:color w:val="000000"/>
          <w:kern w:val="0"/>
          <w:szCs w:val="21"/>
          <w:lang w:eastAsia="zh-CN"/>
        </w:rPr>
        <w:t>增长</w:t>
      </w:r>
      <w:r>
        <w:rPr>
          <w:rFonts w:hint="eastAsia" w:cs="宋体"/>
          <w:bCs w:val="0"/>
          <w:iCs w:val="0"/>
          <w:color w:val="000000"/>
          <w:kern w:val="0"/>
          <w:szCs w:val="21"/>
          <w:lang w:val="en-US" w:eastAsia="zh-CN"/>
        </w:rPr>
        <w:t>3.4</w:t>
      </w:r>
      <w:r>
        <w:rPr>
          <w:rFonts w:cs="宋体"/>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eastAsia" w:cs="宋体"/>
          <w:b/>
          <w:iCs w:val="0"/>
          <w:color w:val="000000"/>
          <w:kern w:val="0"/>
          <w:lang w:val="en-US" w:eastAsia="zh-CN"/>
        </w:rPr>
        <w:t>2022年1-2月至2023年1-10月</w:t>
      </w:r>
      <w:r>
        <w:rPr>
          <w:rFonts w:hint="eastAsia" w:cs="宋体"/>
          <w:b/>
          <w:iCs w:val="0"/>
          <w:color w:val="000000"/>
          <w:kern w:val="0"/>
        </w:rPr>
        <w:t>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lang w:eastAsia="zh-CN"/>
        </w:rPr>
        <w:t>情况</w:t>
      </w:r>
    </w:p>
    <w:p>
      <w:pPr>
        <w:widowControl/>
        <w:spacing w:line="300" w:lineRule="atLeast"/>
        <w:ind w:firstLine="0" w:firstLineChars="0"/>
        <w:jc w:val="right"/>
        <w:rPr>
          <w:rFonts w:cs="宋体"/>
          <w:bCs w:val="0"/>
          <w:iCs w:val="0"/>
          <w:color w:val="000000"/>
          <w:kern w:val="0"/>
          <w:sz w:val="21"/>
          <w:szCs w:val="21"/>
        </w:rPr>
      </w:pPr>
      <w:r>
        <w:rPr>
          <w:rFonts w:cs="宋体"/>
          <w:bCs w:val="0"/>
          <w:iCs w:val="0"/>
          <w:color w:val="000000"/>
          <w:kern w:val="0"/>
          <w:sz w:val="21"/>
          <w:szCs w:val="21"/>
        </w:rPr>
        <w:t>单位：%</w:t>
      </w:r>
    </w:p>
    <w:p>
      <w:pPr>
        <w:widowControl/>
        <w:spacing w:line="240" w:lineRule="auto"/>
        <w:ind w:firstLine="198" w:firstLineChars="71"/>
        <w:jc w:val="center"/>
        <w:rPr>
          <w:rFonts w:cs="宋体"/>
          <w:b/>
          <w:color w:val="000000"/>
          <w:kern w:val="0"/>
        </w:rPr>
      </w:pPr>
      <w:r>
        <w:drawing>
          <wp:anchor distT="0" distB="0" distL="114300" distR="114300" simplePos="0" relativeHeight="251659264" behindDoc="0" locked="0" layoutInCell="1" allowOverlap="1">
            <wp:simplePos x="0" y="0"/>
            <wp:positionH relativeFrom="column">
              <wp:posOffset>36195</wp:posOffset>
            </wp:positionH>
            <wp:positionV relativeFrom="paragraph">
              <wp:posOffset>243840</wp:posOffset>
            </wp:positionV>
            <wp:extent cx="5358765" cy="2903220"/>
            <wp:effectExtent l="0" t="0" r="5715" b="7620"/>
            <wp:wrapTopAndBottom/>
            <wp:docPr id="111619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ind w:firstLine="562"/>
        <w:rPr>
          <w:rFonts w:cs="宋体"/>
          <w:b/>
          <w:iCs w:val="0"/>
          <w:color w:val="000000"/>
          <w:kern w:val="0"/>
        </w:rPr>
      </w:pPr>
      <w:r>
        <w:rPr>
          <w:rFonts w:cs="宋体"/>
          <w:b/>
          <w:iCs w:val="0"/>
          <w:color w:val="000000"/>
          <w:kern w:val="0"/>
        </w:rPr>
        <w:t>注：</w:t>
      </w:r>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sz w:val="40"/>
        </w:rPr>
      </w:pPr>
      <w:r>
        <w:rPr>
          <w:rFonts w:hint="eastAsia" w:cs="宋体"/>
          <w:bCs w:val="0"/>
          <w:iCs w:val="0"/>
          <w:color w:val="000000"/>
          <w:szCs w:val="21"/>
        </w:rPr>
        <w:t>批发和零售业、住宿和餐饮业统计限额标准：①批发业：年主营业务收入</w:t>
      </w:r>
      <w:r>
        <w:rPr>
          <w:rFonts w:cs="宋体"/>
          <w:bCs w:val="0"/>
          <w:iCs w:val="0"/>
          <w:color w:val="000000"/>
          <w:szCs w:val="21"/>
        </w:rPr>
        <w:t>2000万元及以上；②零售业：年主营业务收入500万元及以上；③住宿业：年主营业务收入200万元及以上；④餐饮业：年主营业务收入200万元及以上。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5D63"/>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031B1E"/>
    <w:rsid w:val="017329C9"/>
    <w:rsid w:val="08EE4380"/>
    <w:rsid w:val="0BEE2EAF"/>
    <w:rsid w:val="0E700F99"/>
    <w:rsid w:val="10D01FFF"/>
    <w:rsid w:val="1141038C"/>
    <w:rsid w:val="14BD5016"/>
    <w:rsid w:val="16A94FA9"/>
    <w:rsid w:val="187B15AD"/>
    <w:rsid w:val="1F631E38"/>
    <w:rsid w:val="21DB0EE4"/>
    <w:rsid w:val="22D926B5"/>
    <w:rsid w:val="29B8755A"/>
    <w:rsid w:val="2B6B38F0"/>
    <w:rsid w:val="2CEE41BC"/>
    <w:rsid w:val="30D30E5D"/>
    <w:rsid w:val="37F97CC3"/>
    <w:rsid w:val="3AEB4AE9"/>
    <w:rsid w:val="3D815243"/>
    <w:rsid w:val="41B24674"/>
    <w:rsid w:val="43D820FF"/>
    <w:rsid w:val="47A53D2A"/>
    <w:rsid w:val="48047C4F"/>
    <w:rsid w:val="4A750FFF"/>
    <w:rsid w:val="4BAB289A"/>
    <w:rsid w:val="52BD5A47"/>
    <w:rsid w:val="52C05DBB"/>
    <w:rsid w:val="52D5704F"/>
    <w:rsid w:val="54BA4F6B"/>
    <w:rsid w:val="5AB43429"/>
    <w:rsid w:val="5B7846DC"/>
    <w:rsid w:val="5BF10418"/>
    <w:rsid w:val="5C8D749D"/>
    <w:rsid w:val="63321B1D"/>
    <w:rsid w:val="66414D12"/>
    <w:rsid w:val="67392EF0"/>
    <w:rsid w:val="67E1053B"/>
    <w:rsid w:val="6B2869AA"/>
    <w:rsid w:val="6FD27249"/>
    <w:rsid w:val="774211B4"/>
    <w:rsid w:val="7B241064"/>
    <w:rsid w:val="7F380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7">
    <w:name w:val="Strong"/>
    <w:basedOn w:val="6"/>
    <w:qFormat/>
    <w:uiPriority w:val="22"/>
    <w:rPr>
      <w:b/>
      <w:bCs/>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bCs/>
      <w:iCs/>
      <w:kern w:val="2"/>
      <w:sz w:val="18"/>
      <w:szCs w:val="18"/>
    </w:rPr>
  </w:style>
  <w:style w:type="character" w:customStyle="1" w:styleId="11">
    <w:name w:val="页脚 Char"/>
    <w:basedOn w:val="6"/>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027;&#33829;&#34920;&#21450;&#37325;&#28857;&#24037;&#20316;\5.&#26448;&#26009;&#25776;&#20889;\&#20316;&#22270;&#21450;&#20844;&#24335;&#27169;&#26495;\&#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'[（外网发布计算表格）社会消费品零售总额增速.xls]信息发布'!$X$1:$AQ$2</c:f>
              <c:multiLvlStrCache>
                <c:ptCount val="20"/>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pt idx="18">
                    <c:v>1-9月</c:v>
                  </c:pt>
                  <c:pt idx="19">
                    <c:v>1-10月</c:v>
                  </c:pt>
                </c:lvl>
                <c:lvl>
                  <c:pt idx="0">
                    <c:v>2022年</c:v>
                  </c:pt>
                  <c:pt idx="11">
                    <c:v>2023年</c:v>
                  </c:pt>
                </c:lvl>
              </c:multiLvlStrCache>
            </c:multiLvlStrRef>
          </c:cat>
          <c:val>
            <c:numRef>
              <c:f>'[（外网发布计算表格）社会消费品零售总额增速.xls]信息发布'!$X$3:$AQ$3</c:f>
              <c:numCache>
                <c:formatCode>0.0_ </c:formatCode>
                <c:ptCount val="20"/>
                <c:pt idx="0">
                  <c:v>0.2</c:v>
                </c:pt>
                <c:pt idx="1">
                  <c:v>-1.4</c:v>
                </c:pt>
                <c:pt idx="2">
                  <c:v>-6.2</c:v>
                </c:pt>
                <c:pt idx="3">
                  <c:v>-11.7</c:v>
                </c:pt>
                <c:pt idx="4">
                  <c:v>-11.3</c:v>
                </c:pt>
                <c:pt idx="5">
                  <c:v>-10.6</c:v>
                </c:pt>
                <c:pt idx="6">
                  <c:v>-9.3</c:v>
                </c:pt>
                <c:pt idx="7">
                  <c:v>-7.8</c:v>
                </c:pt>
                <c:pt idx="8">
                  <c:v>-8.1</c:v>
                </c:pt>
                <c:pt idx="9">
                  <c:v>-9.5</c:v>
                </c:pt>
                <c:pt idx="10">
                  <c:v>-10.5</c:v>
                </c:pt>
                <c:pt idx="11">
                  <c:v>-5.6</c:v>
                </c:pt>
                <c:pt idx="12">
                  <c:v>-2.6</c:v>
                </c:pt>
                <c:pt idx="13">
                  <c:v>1</c:v>
                </c:pt>
                <c:pt idx="14">
                  <c:v>6.9</c:v>
                </c:pt>
                <c:pt idx="15">
                  <c:v>5.3</c:v>
                </c:pt>
                <c:pt idx="16">
                  <c:v>4.2</c:v>
                </c:pt>
                <c:pt idx="17">
                  <c:v>3.7</c:v>
                </c:pt>
                <c:pt idx="18">
                  <c:v>2.7</c:v>
                </c:pt>
                <c:pt idx="19">
                  <c:v>3.4</c:v>
                </c:pt>
              </c:numCache>
            </c:numRef>
          </c:val>
          <c:smooth val="0"/>
        </c:ser>
        <c:dLbls>
          <c:showLegendKey val="0"/>
          <c:showVal val="0"/>
          <c:showCatName val="0"/>
          <c:showSerName val="0"/>
          <c:showPercent val="0"/>
          <c:showBubbleSize val="0"/>
        </c:dLbls>
        <c:marker val="0"/>
        <c:smooth val="0"/>
        <c:axId val="145548902"/>
        <c:axId val="868030920"/>
      </c:lineChart>
      <c:catAx>
        <c:axId val="14554890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8030920"/>
        <c:crossesAt val="-14"/>
        <c:auto val="1"/>
        <c:lblAlgn val="ctr"/>
        <c:lblOffset val="100"/>
        <c:noMultiLvlLbl val="0"/>
      </c:catAx>
      <c:valAx>
        <c:axId val="8680309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5548902"/>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88</Words>
  <Characters>502</Characters>
  <Lines>4</Lines>
  <Paragraphs>1</Paragraphs>
  <TotalTime>0</TotalTime>
  <ScaleCrop>false</ScaleCrop>
  <LinksUpToDate>false</LinksUpToDate>
  <CharactersWithSpaces>589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闫菲</cp:lastModifiedBy>
  <cp:lastPrinted>2022-08-16T08:27:00Z</cp:lastPrinted>
  <dcterms:modified xsi:type="dcterms:W3CDTF">2023-11-17T05:45:45Z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