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578" w:lineRule="exact"/>
        <w:ind w:right="0" w:rightChars="0"/>
        <w:textAlignment w:val="auto"/>
        <w:rPr>
          <w:rFonts w:hint="eastAsia"/>
          <w:lang w:eastAsia="zh-CN"/>
        </w:rPr>
      </w:pPr>
      <w:r>
        <w:rPr>
          <w:rFonts w:hint="eastAsia" w:ascii="方正小标宋简体" w:eastAsia="方正小标宋简体"/>
          <w:sz w:val="28"/>
          <w:szCs w:val="28"/>
          <w:lang w:eastAsia="zh-CN"/>
        </w:rPr>
        <w:t>附件</w:t>
      </w:r>
      <w:r>
        <w:rPr>
          <w:rFonts w:hint="eastAsia" w:ascii="方正小标宋简体" w:eastAsia="方正小标宋简体"/>
          <w:sz w:val="28"/>
          <w:szCs w:val="28"/>
          <w:lang w:val="en-US" w:eastAsia="zh-CN"/>
        </w:rPr>
        <w:t>2：</w:t>
      </w:r>
    </w:p>
    <w:p>
      <w:pPr>
        <w:pageBreakBefore w:val="0"/>
        <w:kinsoku/>
        <w:wordWrap/>
        <w:overflowPunct/>
        <w:topLinePunct w:val="0"/>
        <w:autoSpaceDE/>
        <w:autoSpaceDN/>
        <w:bidi w:val="0"/>
        <w:adjustRightInd/>
        <w:snapToGrid/>
        <w:spacing w:line="578" w:lineRule="exact"/>
        <w:ind w:right="0" w:right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关于</w:t>
      </w:r>
      <w:r>
        <w:rPr>
          <w:rFonts w:hint="eastAsia" w:ascii="方正小标宋简体" w:hAnsi="方正小标宋简体" w:eastAsia="方正小标宋简体" w:cs="方正小标宋简体"/>
          <w:sz w:val="44"/>
          <w:szCs w:val="44"/>
        </w:rPr>
        <w:t>《实施首都标准化战略</w:t>
      </w:r>
      <w:r>
        <w:rPr>
          <w:rFonts w:hint="eastAsia" w:ascii="方正小标宋简体" w:hAnsi="方正小标宋简体" w:eastAsia="方正小标宋简体" w:cs="方正小标宋简体"/>
          <w:sz w:val="44"/>
          <w:szCs w:val="44"/>
          <w:lang w:eastAsia="zh-CN"/>
        </w:rPr>
        <w:t>朝阳区</w:t>
      </w:r>
      <w:r>
        <w:rPr>
          <w:rFonts w:hint="eastAsia" w:ascii="方正小标宋简体" w:hAnsi="方正小标宋简体" w:eastAsia="方正小标宋简体" w:cs="方正小标宋简体"/>
          <w:sz w:val="44"/>
          <w:szCs w:val="44"/>
        </w:rPr>
        <w:t>补助</w:t>
      </w:r>
    </w:p>
    <w:p>
      <w:pPr>
        <w:pageBreakBefore w:val="0"/>
        <w:kinsoku/>
        <w:wordWrap/>
        <w:overflowPunct/>
        <w:topLinePunct w:val="0"/>
        <w:autoSpaceDE/>
        <w:autoSpaceDN/>
        <w:bidi w:val="0"/>
        <w:adjustRightInd/>
        <w:snapToGrid/>
        <w:spacing w:line="578" w:lineRule="exact"/>
        <w:ind w:right="0" w:rightChars="0"/>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sz w:val="44"/>
          <w:szCs w:val="44"/>
        </w:rPr>
        <w:t>资金管理办法》</w:t>
      </w:r>
      <w:r>
        <w:rPr>
          <w:rFonts w:hint="eastAsia" w:ascii="方正小标宋简体" w:hAnsi="方正小标宋简体" w:eastAsia="方正小标宋简体" w:cs="方正小标宋简体"/>
          <w:b w:val="0"/>
          <w:bCs w:val="0"/>
          <w:sz w:val="44"/>
          <w:szCs w:val="44"/>
          <w:lang w:val="en-US" w:eastAsia="zh-CN"/>
        </w:rPr>
        <w:t>（修订草案征求意见稿）</w:t>
      </w:r>
    </w:p>
    <w:p>
      <w:pPr>
        <w:pageBreakBefore w:val="0"/>
        <w:kinsoku/>
        <w:wordWrap/>
        <w:overflowPunct/>
        <w:topLinePunct w:val="0"/>
        <w:autoSpaceDE/>
        <w:autoSpaceDN/>
        <w:bidi w:val="0"/>
        <w:adjustRightInd/>
        <w:snapToGrid/>
        <w:spacing w:line="578" w:lineRule="exact"/>
        <w:ind w:right="0" w:rightChars="0"/>
        <w:jc w:val="center"/>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修订说明</w:t>
      </w:r>
      <w:bookmarkStart w:id="0" w:name="_GoBack"/>
      <w:bookmarkEnd w:id="0"/>
    </w:p>
    <w:p>
      <w:pPr>
        <w:pageBreakBefore w:val="0"/>
        <w:kinsoku/>
        <w:wordWrap/>
        <w:overflowPunct/>
        <w:topLinePunct w:val="0"/>
        <w:autoSpaceDE/>
        <w:autoSpaceDN/>
        <w:bidi w:val="0"/>
        <w:adjustRightInd/>
        <w:snapToGrid/>
        <w:spacing w:line="578" w:lineRule="exact"/>
        <w:ind w:right="0" w:rightChars="0" w:firstLine="640" w:firstLineChars="200"/>
        <w:jc w:val="center"/>
        <w:textAlignment w:val="auto"/>
        <w:rPr>
          <w:rFonts w:ascii="方正仿宋简体" w:eastAsia="方正仿宋简体"/>
          <w:sz w:val="32"/>
          <w:szCs w:val="32"/>
        </w:rPr>
      </w:pP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一、修订背景</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年原</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质监局</w:t>
      </w:r>
      <w:r>
        <w:rPr>
          <w:rFonts w:hint="eastAsia" w:ascii="仿宋_GB2312" w:hAnsi="仿宋_GB2312" w:eastAsia="仿宋_GB2312" w:cs="仿宋_GB2312"/>
          <w:sz w:val="32"/>
          <w:szCs w:val="32"/>
          <w:lang w:eastAsia="zh-CN"/>
        </w:rPr>
        <w:t>、原区知识产权局</w:t>
      </w:r>
      <w:r>
        <w:rPr>
          <w:rFonts w:hint="eastAsia" w:ascii="仿宋_GB2312" w:hAnsi="仿宋_GB2312" w:eastAsia="仿宋_GB2312" w:cs="仿宋_GB2312"/>
          <w:sz w:val="32"/>
          <w:szCs w:val="32"/>
        </w:rPr>
        <w:t>联合设立</w:t>
      </w:r>
      <w:r>
        <w:rPr>
          <w:rFonts w:hint="eastAsia" w:ascii="仿宋_GB2312" w:hAnsi="仿宋_GB2312" w:eastAsia="仿宋_GB2312" w:cs="仿宋_GB2312"/>
          <w:sz w:val="32"/>
          <w:szCs w:val="32"/>
          <w:lang w:eastAsia="zh-CN"/>
        </w:rPr>
        <w:t>朝阳区</w:t>
      </w:r>
      <w:r>
        <w:rPr>
          <w:rFonts w:hint="eastAsia" w:ascii="仿宋_GB2312" w:hAnsi="仿宋_GB2312" w:eastAsia="仿宋_GB2312" w:cs="仿宋_GB2312"/>
          <w:sz w:val="32"/>
          <w:szCs w:val="32"/>
        </w:rPr>
        <w:t>技术标准制（修）订专项补助资金，印发《</w:t>
      </w:r>
      <w:r>
        <w:rPr>
          <w:rFonts w:hint="eastAsia" w:ascii="仿宋_GB2312" w:hAnsi="仿宋_GB2312" w:eastAsia="仿宋_GB2312" w:cs="仿宋_GB2312"/>
          <w:sz w:val="32"/>
          <w:szCs w:val="32"/>
          <w:lang w:eastAsia="zh-CN"/>
        </w:rPr>
        <w:t>朝阳区</w:t>
      </w:r>
      <w:r>
        <w:rPr>
          <w:rFonts w:hint="eastAsia" w:ascii="仿宋_GB2312" w:hAnsi="仿宋_GB2312" w:eastAsia="仿宋_GB2312" w:cs="仿宋_GB2312"/>
          <w:sz w:val="32"/>
          <w:szCs w:val="32"/>
        </w:rPr>
        <w:t>技术标准制（修）订</w:t>
      </w:r>
      <w:r>
        <w:rPr>
          <w:rFonts w:hint="eastAsia" w:ascii="仿宋_GB2312" w:hAnsi="仿宋_GB2312" w:eastAsia="仿宋_GB2312" w:cs="仿宋_GB2312"/>
          <w:sz w:val="32"/>
          <w:szCs w:val="32"/>
          <w:lang w:eastAsia="zh-CN"/>
        </w:rPr>
        <w:t>资助暂行</w:t>
      </w:r>
      <w:r>
        <w:rPr>
          <w:rFonts w:hint="eastAsia" w:ascii="仿宋_GB2312" w:hAnsi="仿宋_GB2312" w:eastAsia="仿宋_GB2312" w:cs="仿宋_GB2312"/>
          <w:sz w:val="32"/>
          <w:szCs w:val="32"/>
        </w:rPr>
        <w:t>办法》</w:t>
      </w:r>
      <w:r>
        <w:rPr>
          <w:rFonts w:hint="eastAsia" w:ascii="仿宋_GB2312" w:hAnsi="宋体" w:eastAsia="仿宋_GB2312" w:cs="宋体"/>
          <w:color w:val="282828"/>
          <w:kern w:val="0"/>
          <w:sz w:val="32"/>
          <w:szCs w:val="32"/>
        </w:rPr>
        <w:t>[朝质监</w:t>
      </w:r>
      <w:r>
        <w:rPr>
          <w:rFonts w:hint="eastAsia" w:eastAsia="仿宋_GB2312"/>
          <w:color w:val="auto"/>
          <w:sz w:val="32"/>
          <w:szCs w:val="28"/>
          <w:highlight w:val="none"/>
        </w:rPr>
        <w:t>〔</w:t>
      </w:r>
      <w:r>
        <w:rPr>
          <w:rFonts w:hint="eastAsia" w:ascii="仿宋_GB2312" w:hAnsi="宋体" w:eastAsia="仿宋_GB2312" w:cs="宋体"/>
          <w:color w:val="282828"/>
          <w:kern w:val="0"/>
          <w:sz w:val="32"/>
          <w:szCs w:val="32"/>
        </w:rPr>
        <w:t>2010</w:t>
      </w:r>
      <w:r>
        <w:rPr>
          <w:rFonts w:hint="eastAsia" w:eastAsia="仿宋_GB2312"/>
          <w:color w:val="auto"/>
          <w:sz w:val="32"/>
          <w:szCs w:val="28"/>
          <w:highlight w:val="none"/>
        </w:rPr>
        <w:t>〕</w:t>
      </w:r>
      <w:r>
        <w:rPr>
          <w:rFonts w:hint="eastAsia" w:ascii="仿宋_GB2312" w:hAnsi="宋体" w:eastAsia="仿宋_GB2312" w:cs="宋体"/>
          <w:color w:val="282828"/>
          <w:kern w:val="0"/>
          <w:sz w:val="32"/>
          <w:szCs w:val="32"/>
        </w:rPr>
        <w:t>39号]</w:t>
      </w:r>
      <w:r>
        <w:rPr>
          <w:rFonts w:hint="eastAsia" w:ascii="仿宋_GB2312" w:hAnsi="宋体" w:eastAsia="仿宋_GB2312" w:cs="宋体"/>
          <w:color w:val="282828"/>
          <w:kern w:val="0"/>
          <w:sz w:val="32"/>
          <w:szCs w:val="32"/>
          <w:lang w:eastAsia="zh-CN"/>
        </w:rPr>
        <w:t>（以下简称“暂行办法”）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2015年两局对</w:t>
      </w:r>
      <w:r>
        <w:rPr>
          <w:rFonts w:hint="eastAsia" w:ascii="仿宋_GB2312" w:hAnsi="宋体" w:eastAsia="仿宋_GB2312" w:cs="宋体"/>
          <w:color w:val="282828"/>
          <w:kern w:val="0"/>
          <w:sz w:val="32"/>
          <w:szCs w:val="32"/>
          <w:lang w:eastAsia="zh-CN"/>
        </w:rPr>
        <w:t>“暂行办法”进行了修订，印发</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朝阳区</w:t>
      </w:r>
      <w:r>
        <w:rPr>
          <w:rFonts w:hint="eastAsia" w:ascii="仿宋_GB2312" w:hAnsi="仿宋_GB2312" w:eastAsia="仿宋_GB2312" w:cs="仿宋_GB2312"/>
          <w:sz w:val="32"/>
          <w:szCs w:val="32"/>
        </w:rPr>
        <w:t>技术标准制（修）订</w:t>
      </w:r>
      <w:r>
        <w:rPr>
          <w:rFonts w:hint="eastAsia" w:ascii="仿宋_GB2312" w:hAnsi="仿宋_GB2312" w:eastAsia="仿宋_GB2312" w:cs="仿宋_GB2312"/>
          <w:sz w:val="32"/>
          <w:szCs w:val="32"/>
          <w:lang w:eastAsia="zh-CN"/>
        </w:rPr>
        <w:t>资助</w:t>
      </w:r>
      <w:r>
        <w:rPr>
          <w:rFonts w:hint="eastAsia" w:ascii="仿宋_GB2312" w:hAnsi="仿宋_GB2312" w:eastAsia="仿宋_GB2312" w:cs="仿宋_GB2312"/>
          <w:sz w:val="32"/>
          <w:szCs w:val="32"/>
        </w:rPr>
        <w:t>办法》</w:t>
      </w:r>
      <w:r>
        <w:rPr>
          <w:rFonts w:hint="eastAsia" w:ascii="仿宋_GB2312" w:hAnsi="宋体" w:eastAsia="仿宋_GB2312" w:cs="宋体"/>
          <w:color w:val="auto"/>
          <w:kern w:val="0"/>
          <w:sz w:val="32"/>
          <w:szCs w:val="32"/>
          <w:highlight w:val="none"/>
        </w:rPr>
        <w:t>[</w:t>
      </w:r>
      <w:r>
        <w:rPr>
          <w:rFonts w:hint="eastAsia" w:eastAsia="仿宋_GB2312"/>
          <w:color w:val="auto"/>
          <w:sz w:val="32"/>
          <w:szCs w:val="28"/>
          <w:highlight w:val="none"/>
        </w:rPr>
        <w:t>朝知文〔</w:t>
      </w:r>
      <w:r>
        <w:rPr>
          <w:rFonts w:eastAsia="仿宋_GB2312"/>
          <w:color w:val="auto"/>
          <w:sz w:val="32"/>
          <w:szCs w:val="28"/>
          <w:highlight w:val="none"/>
        </w:rPr>
        <w:t>201</w:t>
      </w:r>
      <w:r>
        <w:rPr>
          <w:rFonts w:hint="eastAsia" w:eastAsia="仿宋_GB2312"/>
          <w:color w:val="auto"/>
          <w:sz w:val="32"/>
          <w:szCs w:val="28"/>
          <w:highlight w:val="none"/>
        </w:rPr>
        <w:t>5〕1号</w:t>
      </w:r>
      <w:r>
        <w:rPr>
          <w:rFonts w:hint="eastAsia" w:ascii="仿宋_GB2312" w:hAnsi="宋体" w:eastAsia="仿宋_GB2312" w:cs="宋体"/>
          <w:color w:val="auto"/>
          <w:kern w:val="0"/>
          <w:sz w:val="32"/>
          <w:szCs w:val="32"/>
          <w:highlight w:val="none"/>
        </w:rPr>
        <w:t>]</w:t>
      </w:r>
      <w:r>
        <w:rPr>
          <w:rFonts w:hint="eastAsia" w:ascii="仿宋_GB2312" w:hAnsi="宋体" w:eastAsia="仿宋_GB2312" w:cs="宋体"/>
          <w:color w:val="auto"/>
          <w:kern w:val="0"/>
          <w:sz w:val="32"/>
          <w:szCs w:val="32"/>
          <w:highlight w:val="none"/>
          <w:lang w:eastAsia="zh-CN"/>
        </w:rPr>
        <w:t>（以下简称“原办法”）；</w:t>
      </w:r>
      <w:r>
        <w:rPr>
          <w:rFonts w:hint="eastAsia" w:ascii="仿宋_GB2312" w:hAnsi="宋体" w:eastAsia="仿宋_GB2312" w:cs="宋体"/>
          <w:color w:val="auto"/>
          <w:kern w:val="0"/>
          <w:sz w:val="32"/>
          <w:szCs w:val="32"/>
          <w:highlight w:val="none"/>
          <w:lang w:val="en-US" w:eastAsia="zh-CN"/>
        </w:rPr>
        <w:t>2022年区市场监管局、区财政局联合印发</w:t>
      </w:r>
      <w:r>
        <w:rPr>
          <w:rFonts w:hint="eastAsia" w:ascii="仿宋_GB2312" w:hAnsi="仿宋_GB2312" w:eastAsia="仿宋_GB2312" w:cs="仿宋_GB2312"/>
          <w:b w:val="0"/>
          <w:kern w:val="2"/>
          <w:sz w:val="32"/>
          <w:szCs w:val="32"/>
          <w:lang w:val="en-US" w:eastAsia="zh-CN" w:bidi="ar-SA"/>
        </w:rPr>
        <w:t>《实施首都标准化战略补助资金管理办法》〔京财党政群2020（343）号〕（以下简称“原管理办法”）</w:t>
      </w:r>
      <w:r>
        <w:rPr>
          <w:rFonts w:hint="eastAsia" w:ascii="仿宋_GB2312" w:hAnsi="宋体" w:eastAsia="仿宋_GB2312" w:cs="宋体"/>
          <w:color w:val="auto"/>
          <w:kern w:val="0"/>
          <w:sz w:val="32"/>
          <w:szCs w:val="32"/>
          <w:highlight w:val="none"/>
          <w:lang w:eastAsia="zh-CN"/>
        </w:rPr>
        <w:t>并沿用至今</w:t>
      </w:r>
      <w:r>
        <w:rPr>
          <w:rFonts w:hint="eastAsia" w:ascii="仿宋_GB2312" w:hAnsi="仿宋_GB2312" w:eastAsia="仿宋_GB2312" w:cs="仿宋_GB2312"/>
          <w:color w:val="auto"/>
          <w:sz w:val="32"/>
          <w:szCs w:val="32"/>
          <w:highlight w:val="none"/>
        </w:rPr>
        <w:t>。为了贯彻落实</w:t>
      </w:r>
      <w:r>
        <w:rPr>
          <w:rFonts w:hint="default" w:ascii="仿宋_GB2312" w:hAnsi="宋体" w:eastAsia="仿宋_GB2312"/>
          <w:sz w:val="32"/>
          <w:szCs w:val="32"/>
          <w:lang w:val="en-US" w:eastAsia="zh-CN"/>
        </w:rPr>
        <w:t>《首都标准化发展纲要2035》《北京市标准化办法》，</w:t>
      </w:r>
      <w:r>
        <w:rPr>
          <w:rFonts w:hint="eastAsia" w:ascii="仿宋_GB2312" w:hAnsi="宋体" w:eastAsia="仿宋_GB2312" w:cs="宋体"/>
          <w:color w:val="auto"/>
          <w:kern w:val="0"/>
          <w:sz w:val="32"/>
          <w:szCs w:val="32"/>
          <w:highlight w:val="none"/>
          <w:lang w:eastAsia="zh-CN"/>
        </w:rPr>
        <w:t>更好适应新时期标准化发展形势，</w:t>
      </w:r>
      <w:r>
        <w:rPr>
          <w:rFonts w:hint="eastAsia" w:ascii="仿宋_GB2312" w:eastAsia="仿宋_GB2312" w:cs="仿宋_GB2312"/>
          <w:sz w:val="32"/>
          <w:szCs w:val="32"/>
        </w:rPr>
        <w:t>充分发挥标准化对经济社会发展的促进作用，</w:t>
      </w:r>
      <w:r>
        <w:rPr>
          <w:rFonts w:hint="eastAsia" w:ascii="仿宋_GB2312" w:eastAsia="仿宋_GB2312" w:cs="仿宋_GB2312"/>
          <w:sz w:val="32"/>
          <w:szCs w:val="32"/>
          <w:lang w:eastAsia="zh-CN"/>
        </w:rPr>
        <w:t>进一步</w:t>
      </w:r>
      <w:r>
        <w:rPr>
          <w:rFonts w:hint="eastAsia" w:ascii="仿宋_GB2312" w:eastAsia="仿宋_GB2312" w:cs="仿宋_GB2312"/>
          <w:sz w:val="32"/>
          <w:szCs w:val="32"/>
        </w:rPr>
        <w:t>鼓励和支持本区各单位积极实施首都标准化战略，提升区域自主创新能力和核心竞争力，不断推动高质量发展</w:t>
      </w:r>
      <w:r>
        <w:rPr>
          <w:rFonts w:hint="eastAsia" w:ascii="仿宋_GB2312" w:hAnsi="仿宋_GB2312" w:eastAsia="仿宋_GB2312" w:cs="仿宋_GB2312"/>
          <w:sz w:val="32"/>
        </w:rPr>
        <w:t>，</w:t>
      </w:r>
      <w:r>
        <w:rPr>
          <w:rFonts w:hint="eastAsia" w:ascii="仿宋_GB2312" w:hAnsi="仿宋_GB2312" w:eastAsia="仿宋_GB2312" w:cs="仿宋_GB2312"/>
          <w:sz w:val="32"/>
          <w:lang w:eastAsia="zh-CN"/>
        </w:rPr>
        <w:t>我局启动对《</w:t>
      </w:r>
      <w:r>
        <w:rPr>
          <w:rFonts w:hint="eastAsia" w:ascii="仿宋_GB2312" w:hAnsi="仿宋_GB2312" w:eastAsia="仿宋_GB2312" w:cs="仿宋_GB2312"/>
          <w:sz w:val="32"/>
          <w:szCs w:val="32"/>
        </w:rPr>
        <w:t>实施首都标准化战略补助</w:t>
      </w:r>
      <w:r>
        <w:rPr>
          <w:rFonts w:hint="eastAsia" w:ascii="仿宋_GB2312" w:hAnsi="仿宋_GB2312" w:eastAsia="仿宋_GB2312" w:cs="仿宋_GB2312"/>
          <w:sz w:val="32"/>
          <w:szCs w:val="32"/>
          <w:lang w:eastAsia="zh-CN"/>
        </w:rPr>
        <w:t>朝阳区</w:t>
      </w:r>
      <w:r>
        <w:rPr>
          <w:rFonts w:hint="eastAsia" w:ascii="仿宋_GB2312" w:hAnsi="仿宋_GB2312" w:eastAsia="仿宋_GB2312" w:cs="仿宋_GB2312"/>
          <w:sz w:val="32"/>
          <w:szCs w:val="32"/>
        </w:rPr>
        <w:t>资金管理办法</w:t>
      </w:r>
      <w:r>
        <w:rPr>
          <w:rFonts w:hint="eastAsia" w:ascii="仿宋_GB2312" w:hAnsi="仿宋_GB2312" w:eastAsia="仿宋_GB2312" w:cs="仿宋_GB2312"/>
          <w:sz w:val="32"/>
          <w:lang w:eastAsia="zh-CN"/>
        </w:rPr>
        <w:t>》修订工作（</w:t>
      </w:r>
      <w:r>
        <w:rPr>
          <w:rFonts w:hint="eastAsia" w:ascii="仿宋_GB2312" w:hAnsi="仿宋_GB2312" w:eastAsia="仿宋_GB2312" w:cs="仿宋_GB2312"/>
          <w:sz w:val="32"/>
          <w:szCs w:val="32"/>
        </w:rPr>
        <w:t>以下简称“新</w:t>
      </w:r>
      <w:r>
        <w:rPr>
          <w:rFonts w:hint="eastAsia" w:ascii="仿宋_GB2312" w:hAnsi="仿宋_GB2312" w:eastAsia="仿宋_GB2312" w:cs="仿宋_GB2312"/>
          <w:sz w:val="32"/>
          <w:szCs w:val="32"/>
          <w:lang w:eastAsia="zh-CN"/>
        </w:rPr>
        <w:t>管理</w:t>
      </w:r>
      <w:r>
        <w:rPr>
          <w:rFonts w:hint="eastAsia" w:ascii="仿宋_GB2312" w:hAnsi="仿宋_GB2312" w:eastAsia="仿宋_GB2312" w:cs="仿宋_GB2312"/>
          <w:sz w:val="32"/>
          <w:szCs w:val="32"/>
        </w:rPr>
        <w:t>办法”)。</w:t>
      </w:r>
      <w:r>
        <w:rPr>
          <w:rFonts w:hint="eastAsia" w:ascii="仿宋_GB2312" w:hAnsi="仿宋_GB2312" w:eastAsia="仿宋_GB2312" w:cs="仿宋_GB2312"/>
          <w:sz w:val="32"/>
          <w:szCs w:val="32"/>
          <w:lang w:eastAsia="zh-CN"/>
        </w:rPr>
        <w:t>相关修订工作具体说明如下：</w:t>
      </w:r>
    </w:p>
    <w:p>
      <w:pPr>
        <w:pageBreakBefore w:val="0"/>
        <w:kinsoku/>
        <w:wordWrap/>
        <w:overflowPunct/>
        <w:topLinePunct w:val="0"/>
        <w:autoSpaceDE/>
        <w:autoSpaceDN/>
        <w:bidi w:val="0"/>
        <w:adjustRightInd/>
        <w:snapToGrid/>
        <w:spacing w:line="578" w:lineRule="exact"/>
        <w:ind w:left="0" w:leftChars="0" w:right="0" w:rightChars="0" w:firstLine="640" w:firstLineChars="200"/>
        <w:textAlignment w:val="auto"/>
        <w:outlineLvl w:val="0"/>
        <w:rPr>
          <w:rFonts w:ascii="黑体" w:hAnsi="黑体" w:eastAsia="黑体" w:cs="黑体"/>
          <w:sz w:val="32"/>
          <w:szCs w:val="32"/>
        </w:rPr>
      </w:pPr>
      <w:r>
        <w:rPr>
          <w:rFonts w:hint="eastAsia" w:ascii="黑体" w:hAnsi="黑体" w:eastAsia="黑体"/>
          <w:sz w:val="32"/>
          <w:szCs w:val="32"/>
          <w:lang w:eastAsia="zh-CN"/>
        </w:rPr>
        <w:t>二</w:t>
      </w:r>
      <w:r>
        <w:rPr>
          <w:rFonts w:hint="eastAsia" w:ascii="黑体" w:hAnsi="黑体" w:eastAsia="黑体"/>
          <w:sz w:val="32"/>
          <w:szCs w:val="32"/>
        </w:rPr>
        <w:t>、</w:t>
      </w:r>
      <w:r>
        <w:rPr>
          <w:rFonts w:hint="eastAsia" w:ascii="黑体" w:hAnsi="黑体" w:eastAsia="黑体"/>
          <w:sz w:val="32"/>
          <w:szCs w:val="32"/>
          <w:lang w:eastAsia="zh-CN"/>
        </w:rPr>
        <w:t>《</w:t>
      </w:r>
      <w:r>
        <w:rPr>
          <w:rFonts w:hint="eastAsia" w:ascii="黑体" w:hAnsi="黑体" w:eastAsia="黑体" w:cs="黑体"/>
          <w:sz w:val="32"/>
          <w:szCs w:val="32"/>
        </w:rPr>
        <w:t>新</w:t>
      </w:r>
      <w:r>
        <w:rPr>
          <w:rFonts w:hint="eastAsia" w:ascii="黑体" w:hAnsi="黑体" w:eastAsia="黑体" w:cs="黑体"/>
          <w:sz w:val="32"/>
          <w:szCs w:val="32"/>
          <w:lang w:eastAsia="zh-CN"/>
        </w:rPr>
        <w:t>管理</w:t>
      </w:r>
      <w:r>
        <w:rPr>
          <w:rFonts w:hint="eastAsia" w:ascii="黑体" w:hAnsi="黑体" w:eastAsia="黑体" w:cs="黑体"/>
          <w:sz w:val="32"/>
          <w:szCs w:val="32"/>
        </w:rPr>
        <w:t>办法》主要修订内容及依据</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rPr>
        <w:t>《新</w:t>
      </w:r>
      <w:r>
        <w:rPr>
          <w:rFonts w:hint="eastAsia" w:ascii="仿宋_GB2312" w:eastAsia="仿宋_GB2312" w:cs="仿宋_GB2312"/>
          <w:sz w:val="32"/>
          <w:szCs w:val="32"/>
          <w:lang w:eastAsia="zh-CN"/>
        </w:rPr>
        <w:t>管理</w:t>
      </w:r>
      <w:r>
        <w:rPr>
          <w:rFonts w:hint="eastAsia" w:ascii="仿宋_GB2312" w:eastAsia="仿宋_GB2312" w:cs="仿宋_GB2312"/>
          <w:sz w:val="32"/>
          <w:szCs w:val="32"/>
        </w:rPr>
        <w:t>办法》</w:t>
      </w:r>
      <w:r>
        <w:rPr>
          <w:rFonts w:hint="eastAsia" w:ascii="仿宋_GB2312" w:eastAsia="仿宋_GB2312" w:cs="仿宋_GB2312"/>
          <w:sz w:val="32"/>
          <w:szCs w:val="32"/>
          <w:lang w:val="en-US" w:eastAsia="zh-CN"/>
        </w:rPr>
        <w:t>共分为6章26条，其中：第一章总则，包括管理办法的制定背景、实施首都标准化补助资金的定义、使用原则、适用对象等内容；第二章至第四章，包括标准制修订补助项目、标准重点资助范围、标准化试点示范活动、推动标准国际化等三项补助的范围、额度、申报单位要求等；第五章资金的使用及监督管理，明确补助资金的使用要求、监管要求；第六章附则，包括办法的解释、生效日期等内容。</w:t>
      </w:r>
    </w:p>
    <w:p>
      <w:pPr>
        <w:pageBreakBefore w:val="0"/>
        <w:numPr>
          <w:ilvl w:val="0"/>
          <w:numId w:val="1"/>
        </w:numPr>
        <w:kinsoku/>
        <w:wordWrap/>
        <w:overflowPunct/>
        <w:topLinePunct w:val="0"/>
        <w:autoSpaceDE/>
        <w:autoSpaceDN/>
        <w:bidi w:val="0"/>
        <w:adjustRightInd/>
        <w:snapToGrid/>
        <w:spacing w:line="578" w:lineRule="exact"/>
        <w:ind w:left="0" w:leftChars="0" w:right="0" w:rightChars="0" w:firstLine="640" w:firstLineChars="200"/>
        <w:textAlignment w:val="auto"/>
        <w:outlineLvl w:val="0"/>
        <w:rPr>
          <w:rFonts w:hint="eastAsia" w:ascii="黑体" w:hAnsi="黑体" w:eastAsia="黑体"/>
          <w:sz w:val="32"/>
          <w:szCs w:val="32"/>
          <w:lang w:val="en-US" w:eastAsia="zh-CN"/>
        </w:rPr>
      </w:pPr>
      <w:r>
        <w:rPr>
          <w:rFonts w:hint="eastAsia" w:ascii="黑体" w:hAnsi="黑体" w:eastAsia="黑体"/>
          <w:sz w:val="32"/>
          <w:szCs w:val="32"/>
          <w:lang w:eastAsia="zh-CN"/>
        </w:rPr>
        <w:t>修订主要内容</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（一）框架结构调整与条款精简。《新管理办法》共6章26条，删除已失效的引用文件条款、对部分条款进行合并调整。</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（二）总则部分。</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1.完善制定依据（第一条），在原有制定依据基础上，增加《首都标准化发展纲要2035》、《北京市标准化办法》，确保制定依据更加充分。</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2.增加发文部门职责（第五条）：厘清部门间职责分工，强化补助资金下达、管理及监督。</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（三）标准制修订补助部分。</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1.放宽申请单位条件（第六条）：删除原办法中申请单位须“在朝阳区经营并纳税”的限制条件，保留“在朝阳区经营”即可申请，持续优化营商环境，扩大政策覆盖面。</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2.规范标准类型表述（第七条）：将“技术标准修订”统一规范为“标准修订”，删除“技术”二字，持续激发朝阳区域内各单位参与标准制（修）订工作热情。</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3.删除已废止文件引用：原办法第八条第一项引用的《北京市重点发展的技术标准领域和重点标准方向》，该文件已被废止，故删除该项；同时删除原第八条第二项“填补标准空白，标准水平达到同类国际或国内标准的先进水平”的定性要求，简化申请条件，降低申报门槛。</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4.调整重点资助范围：删除原办法第九条第一项“成功参与国家企业标准“领跑者”、“百城千业万企对标达标专项行动”，因两项评定工作已停止，不再作为重点资助范围。</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（四）标准化试点示范活动部分。</w:t>
      </w:r>
    </w:p>
    <w:p>
      <w:pPr>
        <w:pageBreakBefore w:val="0"/>
        <w:widowControl/>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删除原办法第十三条关于标准化试点示范活动应满足的七项条件。主要考虑市市场监督管理局负责编制标准化示范试点活动支持项目类别清单，并根据标准化示范试点活动建设等情况进行动态调整。直接参照市局标准化试点清单执行，进一步简化申报条件。</w:t>
      </w:r>
    </w:p>
    <w:p>
      <w:pPr>
        <w:pageBreakBefore w:val="0"/>
        <w:widowControl/>
        <w:numPr>
          <w:ilvl w:val="0"/>
          <w:numId w:val="2"/>
        </w:numPr>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资金使用及监督管理部分。</w:t>
      </w:r>
    </w:p>
    <w:p>
      <w:pPr>
        <w:pageBreakBefore w:val="0"/>
        <w:widowControl/>
        <w:numPr>
          <w:ilvl w:val="0"/>
          <w:numId w:val="0"/>
        </w:numPr>
        <w:kinsoku/>
        <w:wordWrap/>
        <w:overflowPunct/>
        <w:topLinePunct w:val="0"/>
        <w:autoSpaceDE/>
        <w:autoSpaceDN/>
        <w:bidi w:val="0"/>
        <w:adjustRightInd/>
        <w:snapToGrid/>
        <w:spacing w:line="578" w:lineRule="exact"/>
        <w:ind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修改强化资金使用管理要求（第二十四条）：在原办法相关条款基础上，增加“应按照补助资金经费使用协议，加强对补助资金的使用管理”的表述，进一步明确申请单位的主体责任，确保资金使用规范。</w:t>
      </w:r>
    </w:p>
    <w:p>
      <w:pPr>
        <w:pageBreakBefore w:val="0"/>
        <w:widowControl/>
        <w:numPr>
          <w:ilvl w:val="0"/>
          <w:numId w:val="2"/>
        </w:numPr>
        <w:kinsoku/>
        <w:wordWrap/>
        <w:overflowPunct/>
        <w:topLinePunct w:val="0"/>
        <w:autoSpaceDE/>
        <w:autoSpaceDN/>
        <w:bidi w:val="0"/>
        <w:adjustRightInd/>
        <w:snapToGrid/>
        <w:spacing w:line="578" w:lineRule="exact"/>
        <w:ind w:left="0" w:leftChars="0"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附则部分，</w:t>
      </w:r>
    </w:p>
    <w:p>
      <w:pPr>
        <w:pageBreakBefore w:val="0"/>
        <w:widowControl/>
        <w:numPr>
          <w:ilvl w:val="0"/>
          <w:numId w:val="3"/>
        </w:numPr>
        <w:kinsoku/>
        <w:wordWrap/>
        <w:overflowPunct/>
        <w:topLinePunct w:val="0"/>
        <w:autoSpaceDE/>
        <w:autoSpaceDN/>
        <w:bidi w:val="0"/>
        <w:adjustRightInd/>
        <w:snapToGrid/>
        <w:spacing w:line="578" w:lineRule="exact"/>
        <w:ind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删除已失效条款：删除原办法第二十五条“北京市重点发展的技术标准领域和重点标准方向以北京市市场监督管理局发布的最新版本为准”，因该文件已废止。</w:t>
      </w:r>
    </w:p>
    <w:p>
      <w:pPr>
        <w:pageBreakBefore w:val="0"/>
        <w:widowControl/>
        <w:numPr>
          <w:ilvl w:val="0"/>
          <w:numId w:val="0"/>
        </w:numPr>
        <w:kinsoku/>
        <w:wordWrap/>
        <w:overflowPunct/>
        <w:topLinePunct w:val="0"/>
        <w:autoSpaceDE/>
        <w:autoSpaceDN/>
        <w:bidi w:val="0"/>
        <w:adjustRightInd/>
        <w:snapToGrid/>
        <w:spacing w:line="578" w:lineRule="exact"/>
        <w:ind w:right="0" w:rightChars="0" w:firstLine="640" w:firstLineChars="200"/>
        <w:jc w:val="left"/>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2.删除有效期限定：删除原办法第二十七条中“有效期五年”的规定，使办法生效方式更加灵活，便于根据实际需要适时修订。</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61007A87" w:usb1="80000000" w:usb2="00000008" w:usb3="00000000" w:csb0="200101FF" w:csb1="20280000"/>
  </w:font>
  <w:font w:name="方正小标宋简体">
    <w:panose1 w:val="02010601030101010101"/>
    <w:charset w:val="86"/>
    <w:family w:val="auto"/>
    <w:pitch w:val="default"/>
    <w:sig w:usb0="00000001" w:usb1="080E0000" w:usb2="00000000" w:usb3="00000000" w:csb0="00040000" w:csb1="00000000"/>
  </w:font>
  <w:font w:name="方正仿宋简体">
    <w:altName w:val="Arial Unicode MS"/>
    <w:panose1 w:val="0201060103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00000287" w:usb1="00000000"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952E93"/>
    <w:multiLevelType w:val="singleLevel"/>
    <w:tmpl w:val="6A952E93"/>
    <w:lvl w:ilvl="0" w:tentative="0">
      <w:start w:val="3"/>
      <w:numFmt w:val="chineseCounting"/>
      <w:suff w:val="nothing"/>
      <w:lvlText w:val="%1、"/>
      <w:lvlJc w:val="left"/>
    </w:lvl>
  </w:abstractNum>
  <w:abstractNum w:abstractNumId="1">
    <w:nsid w:val="6A9541B6"/>
    <w:multiLevelType w:val="singleLevel"/>
    <w:tmpl w:val="6A9541B6"/>
    <w:lvl w:ilvl="0" w:tentative="0">
      <w:start w:val="5"/>
      <w:numFmt w:val="chineseCounting"/>
      <w:suff w:val="nothing"/>
      <w:lvlText w:val="（%1）"/>
      <w:lvlJc w:val="left"/>
    </w:lvl>
  </w:abstractNum>
  <w:abstractNum w:abstractNumId="2">
    <w:nsid w:val="6A954212"/>
    <w:multiLevelType w:val="singleLevel"/>
    <w:tmpl w:val="6A954212"/>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0646D2"/>
    <w:rsid w:val="09A96317"/>
    <w:rsid w:val="114031E3"/>
    <w:rsid w:val="50E45A94"/>
    <w:rsid w:val="53421EA1"/>
    <w:rsid w:val="6E2F2FDE"/>
    <w:rsid w:val="780646D2"/>
    <w:rsid w:val="7E0D4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Body Text Indent"/>
    <w:basedOn w:val="1"/>
    <w:uiPriority w:val="0"/>
    <w:pPr>
      <w:spacing w:line="360" w:lineRule="auto"/>
      <w:ind w:firstLine="640" w:firstLineChars="200"/>
    </w:pPr>
    <w:rPr>
      <w:rFonts w:ascii="仿宋_GB2312" w:hAnsi="宋体" w:eastAsia="仿宋_GB2312"/>
      <w:kern w:val="0"/>
      <w:sz w:val="32"/>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Office_10.8.0.6308_F1E327BC-269C-435d-A152-05C5408002CA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2026-08-31T06:32:00Z</dcterms:created>
  <dc:creator>cywjfzx</dc:creator>
  <cp:lastModifiedBy>cywjfzx</cp:lastModifiedBy>
  <dcterms:modified xsi:type="dcterms:W3CDTF">2026-09-03T02:23:53Z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ies>
</file>