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绩效考评工作经费项目绩效评价报告</w:t>
      </w:r>
    </w:p>
    <w:p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（一）项目概况。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为贯彻落实“全面深化预算绩效管理，不断提高财政资金使用效益”和过“紧日子”要求，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朝阳区财政局</w:t>
      </w: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组织开展财政预算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绩效考评工作，涉及2024年</w:t>
      </w: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绩效考评工作经费483.96万元。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（二）项目绩效目标。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按照“全面实</w:t>
      </w: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施预算绩效管理”及各级政府关于预算绩效管理的工作要求，开展</w:t>
      </w:r>
      <w:r>
        <w:rPr>
          <w:rFonts w:hint="eastAsia" w:eastAsia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绩效考评工作，不断推进预算绩效管理工作向纵深发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展，着力提高财政资源配置效率和使用效益。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二、绩效评价工作开展情况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财政绩效评价工作是全面实施预算绩效管理的重要抓手，是优化财政资源配置、提升公共服务质量的关键举措。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2024年共开展119项目的绩效考评工作，考评范围涵盖政府性基金、国资预算等多领域。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绩效评价原则、评价指标体系、评价方法、评价标准等。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1.评价原则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一是客观公正原则。本次绩效评价工作本着实事求是的原则，站在客观、公正的立场发表评价意见。</w:t>
      </w:r>
    </w:p>
    <w:p>
      <w:pPr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二是科学规范原则。本次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绩效评价严格遵循《北京市项目支出绩效评价管理办法》（京财绩效〔2020〕2146号）等文件相关规定、要求组织实施。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三是突出绩效原则。重点关注绩效，兼顾决策和管理。</w:t>
      </w:r>
    </w:p>
    <w:p>
      <w:pPr>
        <w:pStyle w:val="2"/>
        <w:ind w:firstLine="0" w:firstLineChars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2.评价指标体系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结合该项目特点和预期绩效目标，以资金使用结果为导向，按照“相关性、重要性、可比性、系统性”原则，明确评价标准，按照《北京市项目支出绩效评价管理办法》（京财绩效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〔2020〕2146号）文件，确定了该项目绩效评价指标体系</w:t>
      </w:r>
      <w:r>
        <w:rPr>
          <w:rFonts w:hint="eastAsia" w:ascii="仿宋" w:hAnsi="仿宋" w:eastAsia="仿宋" w:cs="仿宋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绩效评价工作过程。</w:t>
      </w:r>
    </w:p>
    <w:p>
      <w:pPr>
        <w:pStyle w:val="2"/>
        <w:ind w:firstLine="640"/>
        <w:rPr>
          <w:rFonts w:ascii="楷体_GB2312" w:hAnsi="楷体_GB2312" w:eastAsia="楷体_GB2312" w:cs="楷体_GB2312"/>
          <w:bCs/>
          <w:color w:val="000000" w:themeColor="text1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为确保绩效评价工作的客观公正，评价工作组严格按照绩效评价工作程序组织实施绩效评价工作，包括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组建评价工作组</w:t>
      </w:r>
      <w:r>
        <w:rPr>
          <w:rFonts w:hint="eastAsia" w:ascii="仿宋_GB2312" w:eastAsia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调研、收集资料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研究制定指标体系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撰写绩效评价报告</w:t>
      </w:r>
      <w:r>
        <w:rPr>
          <w:rFonts w:hint="eastAsia" w:ascii="仿宋" w:hAnsi="仿宋" w:eastAsia="仿宋" w:cs="仿宋"/>
          <w:bCs/>
          <w:color w:val="000000" w:themeColor="text1"/>
          <w:kern w:val="44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/>
          <w:bCs/>
          <w:color w:val="000000" w:themeColor="text1"/>
          <w:kern w:val="44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三、综合评价情况及评价结论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绩效考评工作经费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已按计划使用，阶段性项目绩效目标完成良好，预算执行绩效与绩效目标未发生偏离。自评得分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绩效评定等级为“优”。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其中，项目决策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分、项目过程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分、项目产出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分、项目效益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分，项目综合绩效评定结论为“优”。具体情况详见下表。</w:t>
      </w:r>
    </w:p>
    <w:p>
      <w:pPr>
        <w:ind w:firstLine="641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9"/>
        <w:ind w:left="-141" w:leftChars="-67"/>
        <w:jc w:val="center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绩效考评工作经费</w:t>
      </w:r>
      <w:r>
        <w:rPr>
          <w:rFonts w:hint="eastAsi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</w:p>
    <w:p>
      <w:pPr>
        <w:pStyle w:val="9"/>
        <w:ind w:left="-141" w:leftChars="-67"/>
        <w:jc w:val="center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绩效评价结论一览表</w:t>
      </w:r>
    </w:p>
    <w:tbl>
      <w:tblPr>
        <w:tblStyle w:val="16"/>
        <w:tblW w:w="8485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C0C0C0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50"/>
        <w:gridCol w:w="3240"/>
        <w:gridCol w:w="299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C0C0C0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50" w:hRule="atLeast"/>
          <w:jc w:val="center"/>
        </w:trPr>
        <w:tc>
          <w:tcPr>
            <w:tcW w:w="2250" w:type="dxa"/>
            <w:tcBorders>
              <w:top w:val="single" w:color="FFFFFF" w:sz="4" w:space="0"/>
              <w:left w:val="single" w:color="FFFFFF" w:sz="4" w:space="0"/>
              <w:bottom w:val="single" w:color="FFFFFF" w:sz="6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spacing w:before="120" w:after="60" w:line="300" w:lineRule="auto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3240" w:type="dxa"/>
            <w:tcBorders>
              <w:top w:val="single" w:color="FFFFFF" w:sz="4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spacing w:before="120" w:after="60" w:line="300" w:lineRule="auto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995" w:type="dxa"/>
            <w:tcBorders>
              <w:top w:val="single" w:color="FFFFFF" w:sz="4" w:space="0"/>
              <w:left w:val="single" w:color="FFFFFF" w:sz="6" w:space="0"/>
              <w:bottom w:val="single" w:color="FFFFFF" w:sz="6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spacing w:before="120" w:after="60" w:line="300" w:lineRule="auto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评价得分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C0C0C0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FFFFFF" w:sz="6" w:space="0"/>
              <w:left w:val="single" w:color="FFFFFF" w:sz="4" w:space="0"/>
              <w:bottom w:val="single" w:color="FFFFFF" w:sz="6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pStyle w:val="5"/>
              <w:adjustRightInd w:val="0"/>
              <w:snapToGrid w:val="0"/>
              <w:spacing w:before="120" w:after="60" w:line="300" w:lineRule="auto"/>
              <w:ind w:firstLine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项目决策</w:t>
            </w:r>
          </w:p>
        </w:tc>
        <w:tc>
          <w:tcPr>
            <w:tcW w:w="324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299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C0C0C0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FFFFFF" w:sz="6" w:space="0"/>
              <w:left w:val="single" w:color="FFFFFF" w:sz="4" w:space="0"/>
              <w:bottom w:val="single" w:color="FFFFFF" w:sz="6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spacing w:before="120" w:after="60" w:line="300" w:lineRule="auto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过程</w:t>
            </w:r>
          </w:p>
        </w:tc>
        <w:tc>
          <w:tcPr>
            <w:tcW w:w="324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299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C0C0C0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FFFFFF" w:sz="6" w:space="0"/>
              <w:left w:val="single" w:color="FFFFFF" w:sz="4" w:space="0"/>
              <w:bottom w:val="single" w:color="FFFFFF" w:sz="4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spacing w:before="120" w:after="60" w:line="300" w:lineRule="auto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3240" w:type="dxa"/>
            <w:tcBorders>
              <w:top w:val="single" w:color="FFFFFF" w:sz="6" w:space="0"/>
              <w:left w:val="single" w:color="FFFFFF" w:sz="6" w:space="0"/>
              <w:bottom w:val="single" w:color="FFFFFF" w:sz="4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40.00</w:t>
            </w:r>
          </w:p>
        </w:tc>
        <w:tc>
          <w:tcPr>
            <w:tcW w:w="2995" w:type="dxa"/>
            <w:tcBorders>
              <w:top w:val="single" w:color="FFFFFF" w:sz="6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40.00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C0C0C0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FFFFFF" w:sz="6" w:space="0"/>
              <w:left w:val="single" w:color="FFFFFF" w:sz="4" w:space="0"/>
              <w:bottom w:val="single" w:color="FFFFFF" w:sz="4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spacing w:before="120" w:after="60" w:line="300" w:lineRule="auto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项目效益</w:t>
            </w:r>
          </w:p>
        </w:tc>
        <w:tc>
          <w:tcPr>
            <w:tcW w:w="3240" w:type="dxa"/>
            <w:tcBorders>
              <w:top w:val="single" w:color="FFFFFF" w:sz="6" w:space="0"/>
              <w:left w:val="single" w:color="FFFFFF" w:sz="6" w:space="0"/>
              <w:bottom w:val="single" w:color="FFFFFF" w:sz="4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  <w:tc>
          <w:tcPr>
            <w:tcW w:w="2995" w:type="dxa"/>
            <w:tcBorders>
              <w:top w:val="single" w:color="FFFFFF" w:sz="6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30.00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C0C0C0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atLeast"/>
          <w:jc w:val="center"/>
        </w:trPr>
        <w:tc>
          <w:tcPr>
            <w:tcW w:w="22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spacing w:before="120" w:after="60" w:line="300" w:lineRule="auto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综合得分</w:t>
            </w:r>
          </w:p>
        </w:tc>
        <w:tc>
          <w:tcPr>
            <w:tcW w:w="3240" w:type="dxa"/>
            <w:tcBorders>
              <w:top w:val="single" w:color="FFFFFF" w:sz="4" w:space="0"/>
              <w:left w:val="single" w:color="FFFFFF" w:sz="6" w:space="0"/>
              <w:bottom w:val="single" w:color="FFFFFF" w:sz="4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299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C0C0C0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5" w:hRule="atLeast"/>
          <w:jc w:val="center"/>
        </w:trPr>
        <w:tc>
          <w:tcPr>
            <w:tcW w:w="22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spacing w:before="120" w:after="60" w:line="300" w:lineRule="auto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绩效评定级别</w:t>
            </w:r>
          </w:p>
        </w:tc>
        <w:tc>
          <w:tcPr>
            <w:tcW w:w="6235" w:type="dxa"/>
            <w:gridSpan w:val="2"/>
            <w:tcBorders>
              <w:top w:val="single" w:color="FFFFFF" w:sz="4" w:space="0"/>
              <w:left w:val="single" w:color="FFFFFF" w:sz="6" w:space="0"/>
              <w:bottom w:val="single" w:color="FFFFFF" w:sz="4" w:space="0"/>
              <w:right w:val="single" w:color="FFFFFF" w:sz="4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</w:tc>
      </w:tr>
    </w:tbl>
    <w:p>
      <w:pPr>
        <w:pStyle w:val="2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（一）项目决策情况。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1.目标明确性分析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项目绩效目标基本科学、清晰，能够明确反应目标。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2.目标合理性分析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项目目标制定合理。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3.目标细化程度分析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依据项目内容，从项目产出数量、质量、时效、经济成本、社会效益、满意度等方面设定了具体指标，目标细化程度基本符合项目内容。 </w:t>
      </w:r>
    </w:p>
    <w:p>
      <w:pPr>
        <w:numPr>
          <w:ilvl w:val="0"/>
          <w:numId w:val="4"/>
        </w:num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项目过程情况。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1.资金使用及管理情况 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2024年项目申请预算504万元，实际批复预算金额483.96万元，截至2024年12月31日，项目实际支出483.96万元，无结余，预算执行100%。按照合同和财务管理等规定有效管理项目资金。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2.项目组织管理情况 </w:t>
      </w:r>
    </w:p>
    <w:p>
      <w:pPr>
        <w:spacing w:line="600" w:lineRule="exact"/>
        <w:ind w:firstLine="664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黑体"/>
          <w:spacing w:val="6"/>
          <w:sz w:val="32"/>
          <w:szCs w:val="32"/>
        </w:rPr>
        <w:t>朝阳区财政局按照市、区预算绩效管理制度，组织开展</w:t>
      </w:r>
      <w:r>
        <w:rPr>
          <w:rFonts w:hint="eastAsia" w:ascii="仿宋_GB2312" w:eastAsia="仿宋_GB2312"/>
          <w:sz w:val="32"/>
          <w:szCs w:val="32"/>
        </w:rPr>
        <w:t>财政绩效考评工作，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管理规范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4"/>
        </w:num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项目产出情况。</w:t>
      </w:r>
    </w:p>
    <w:p>
      <w:pPr>
        <w:spacing w:line="560" w:lineRule="exact"/>
        <w:ind w:firstLine="42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1.数量指标分析 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sz w:val="32"/>
          <w:szCs w:val="32"/>
        </w:rPr>
        <w:t>2024年根据实际业务情况，实际完成119个考评项目，符合绩效目标管理要求，数量产出指标完成较好。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2.质量指标分析 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质量指标已达到市、区绩效考评工作要求。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3.时效指标分析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2024年实际完成时间不多于12个月，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仿宋_GB2312" w:cs="仿宋_GB2312"/>
          <w:sz w:val="32"/>
          <w:szCs w:val="32"/>
        </w:rPr>
        <w:t>时效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符合绩效目标管理要求。 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4.成本指标分析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2024全年预算数年</w:t>
      </w: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483.96万元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，全年执行数</w:t>
      </w:r>
      <w:r>
        <w:rPr>
          <w:rFonts w:hint="eastAsia" w:eastAsia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483.96万元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，经济成本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控制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较好。</w:t>
      </w:r>
    </w:p>
    <w:p>
      <w:pPr>
        <w:numPr>
          <w:ilvl w:val="0"/>
          <w:numId w:val="4"/>
        </w:num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项目效益情况。</w:t>
      </w:r>
    </w:p>
    <w:p>
      <w:pPr>
        <w:pStyle w:val="2"/>
        <w:ind w:firstLine="64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1.经济效益分析</w:t>
      </w:r>
    </w:p>
    <w:p>
      <w:pPr>
        <w:pStyle w:val="2"/>
        <w:ind w:firstLine="64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通过绩效考评工作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督促部门完善项目管理，加强绩效管理意识，强化绩效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考评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结果应用，将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考评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结果与预算资金分配相关联，从而进一步优化支出结构，推动预算绩效管理提质增效。</w:t>
      </w:r>
    </w:p>
    <w:p>
      <w:pPr>
        <w:pStyle w:val="2"/>
        <w:ind w:firstLine="64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2.满意度分析</w:t>
      </w:r>
    </w:p>
    <w:p>
      <w:pPr>
        <w:pStyle w:val="2"/>
        <w:ind w:firstLine="64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服务对象满意度指标：受益对象满意度不低于95%。2024年，受益对象满意度100%。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五、主要经验及做法、存在的问题及原因分析</w:t>
      </w:r>
    </w:p>
    <w:p>
      <w:pPr>
        <w:pStyle w:val="4"/>
        <w:keepNext w:val="0"/>
        <w:keepLines w:val="0"/>
        <w:widowControl w:val="0"/>
        <w:numPr>
          <w:ilvl w:val="2"/>
          <w:numId w:val="0"/>
        </w:numPr>
        <w:rPr>
          <w:rFonts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Cs w:val="32"/>
          <w:lang w:eastAsia="zh-CN" w:bidi="ar"/>
          <w14:textFill>
            <w14:solidFill>
              <w14:schemeClr w14:val="tx1"/>
            </w14:solidFill>
          </w14:textFill>
        </w:rPr>
        <w:t xml:space="preserve">   一是持续扩大财政预算绩效考评范围和</w:t>
      </w:r>
      <w:r>
        <w:rPr>
          <w:rFonts w:eastAsia="仿宋_GB2312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资金规模</w:t>
      </w:r>
      <w:r>
        <w:rPr>
          <w:rFonts w:hint="eastAsia" w:eastAsia="仿宋_GB2312"/>
          <w:color w:val="000000" w:themeColor="text1"/>
          <w:szCs w:val="32"/>
          <w:lang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eastAsia="仿宋_GB2312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二是主动接受人大监督指导，全程融入事</w:t>
      </w:r>
      <w:r>
        <w:rPr>
          <w:rFonts w:hint="eastAsia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绩效考评</w:t>
      </w:r>
      <w:r>
        <w:rPr>
          <w:rFonts w:hint="eastAsia" w:eastAsia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eastAsia="仿宋_GB2312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5"/>
        </w:num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有关建议</w:t>
      </w:r>
    </w:p>
    <w:p>
      <w:pPr>
        <w:spacing w:line="580" w:lineRule="exact"/>
        <w:ind w:firstLine="630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继续夯实2025年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预算绩效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考评工作，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强化预算绩效的过程管理，</w:t>
      </w:r>
      <w:r>
        <w:rPr>
          <w:rFonts w:eastAsia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督促部门充分应用</w:t>
      </w:r>
      <w:r>
        <w:rPr>
          <w:rFonts w:hint="eastAsia" w:eastAsia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绩效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考评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结果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，发现问题及时纠偏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41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2D22"/>
    <w:multiLevelType w:val="multilevel"/>
    <w:tmpl w:val="65F92D22"/>
    <w:lvl w:ilvl="0" w:tentative="0">
      <w:start w:val="1"/>
      <w:numFmt w:val="chineseCounting"/>
      <w:suff w:val="space"/>
      <w:lvlText w:val="第%1节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32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0"/>
      </w:pPr>
      <w:rPr>
        <w:rFonts w:hint="eastAsia"/>
        <w:b w:val="0"/>
        <w:i w:val="0"/>
        <w:sz w:val="28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 w:ascii="Times New Roman" w:hAnsi="Times New Roman" w:cs="Times New Roman"/>
        <w:b/>
        <w:i w:val="0"/>
        <w:sz w:val="24"/>
      </w:rPr>
    </w:lvl>
    <w:lvl w:ilvl="4" w:tentative="0">
      <w:start w:val="1"/>
      <w:numFmt w:val="decimal"/>
      <w:suff w:val="nothing"/>
      <w:lvlText w:val="（%5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0"/>
      </w:pPr>
      <w:rPr>
        <w:rFonts w:hint="eastAsia" w:ascii="Times New Roman" w:hAnsi="Times New Roman" w:cs="Times New Roman"/>
        <w:b w:val="0"/>
        <w:i w:val="0"/>
        <w:sz w:val="24"/>
        <w:u w:val="none"/>
      </w:rPr>
    </w:lvl>
    <w:lvl w:ilvl="6" w:tentative="0">
      <w:start w:val="1"/>
      <w:numFmt w:val="decimalEnclosedCircle"/>
      <w:suff w:val="nothing"/>
      <w:lvlText w:val="%7"/>
      <w:lvlJc w:val="left"/>
      <w:pPr>
        <w:ind w:left="0" w:firstLine="0"/>
      </w:pPr>
      <w:rPr>
        <w:rFonts w:hint="eastAsia" w:ascii="Times New Roman" w:hAnsi="Times New Roman" w:cs="Times New Roman"/>
        <w:b w:val="0"/>
        <w:i w:val="0"/>
        <w:sz w:val="24"/>
        <w:lang w:val="en-US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7886A0B"/>
    <w:multiLevelType w:val="singleLevel"/>
    <w:tmpl w:val="67886A0B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7930265"/>
    <w:multiLevelType w:val="singleLevel"/>
    <w:tmpl w:val="67930265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67930B4C"/>
    <w:multiLevelType w:val="singleLevel"/>
    <w:tmpl w:val="67930B4C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7930BA7"/>
    <w:multiLevelType w:val="singleLevel"/>
    <w:tmpl w:val="67930BA7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1B3752"/>
    <w:rsid w:val="002028D4"/>
    <w:rsid w:val="005943BB"/>
    <w:rsid w:val="006A29A5"/>
    <w:rsid w:val="008226F1"/>
    <w:rsid w:val="00A25721"/>
    <w:rsid w:val="00BB3BDA"/>
    <w:rsid w:val="00DA4DC1"/>
    <w:rsid w:val="00F107FC"/>
    <w:rsid w:val="00F84B2A"/>
    <w:rsid w:val="037020ED"/>
    <w:rsid w:val="04030340"/>
    <w:rsid w:val="06381AF5"/>
    <w:rsid w:val="063E3CBB"/>
    <w:rsid w:val="083E51F8"/>
    <w:rsid w:val="08B6638F"/>
    <w:rsid w:val="0A8A585C"/>
    <w:rsid w:val="0B8E1843"/>
    <w:rsid w:val="0CF13EEE"/>
    <w:rsid w:val="142E6EF3"/>
    <w:rsid w:val="182A0BBC"/>
    <w:rsid w:val="1EF97D74"/>
    <w:rsid w:val="1FA31EA6"/>
    <w:rsid w:val="30F817CA"/>
    <w:rsid w:val="31AF3171"/>
    <w:rsid w:val="36F07395"/>
    <w:rsid w:val="37173543"/>
    <w:rsid w:val="393A2208"/>
    <w:rsid w:val="3FF76880"/>
    <w:rsid w:val="43744EF9"/>
    <w:rsid w:val="45811DDA"/>
    <w:rsid w:val="4A1E0477"/>
    <w:rsid w:val="50290C58"/>
    <w:rsid w:val="52CC6FC0"/>
    <w:rsid w:val="54636C0A"/>
    <w:rsid w:val="552D79E7"/>
    <w:rsid w:val="560F2E14"/>
    <w:rsid w:val="5C073259"/>
    <w:rsid w:val="5C8A21A4"/>
    <w:rsid w:val="60D57C55"/>
    <w:rsid w:val="624E5969"/>
    <w:rsid w:val="62AC2151"/>
    <w:rsid w:val="655F6BFE"/>
    <w:rsid w:val="6A234FFC"/>
    <w:rsid w:val="6AAB15B9"/>
    <w:rsid w:val="6B13196A"/>
    <w:rsid w:val="6C151BB4"/>
    <w:rsid w:val="6F0746A1"/>
    <w:rsid w:val="6FBD08DB"/>
    <w:rsid w:val="71AE6998"/>
    <w:rsid w:val="77384FBA"/>
    <w:rsid w:val="79A304E1"/>
    <w:rsid w:val="7AB7FF50"/>
    <w:rsid w:val="7BFEB0DB"/>
    <w:rsid w:val="7C9C77BF"/>
    <w:rsid w:val="7CA02A4E"/>
    <w:rsid w:val="7E555B82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next w:val="5"/>
    <w:unhideWhenUsed/>
    <w:qFormat/>
    <w:uiPriority w:val="0"/>
    <w:pPr>
      <w:keepNext/>
      <w:keepLines/>
      <w:numPr>
        <w:ilvl w:val="2"/>
        <w:numId w:val="1"/>
      </w:numPr>
      <w:spacing w:line="560" w:lineRule="exact"/>
      <w:ind w:firstLine="880" w:firstLineChars="200"/>
      <w:outlineLvl w:val="2"/>
    </w:pPr>
    <w:rPr>
      <w:rFonts w:ascii="Times New Roman" w:hAnsi="Times New Roman" w:eastAsia="楷体_GB2312" w:cs="Times New Roman"/>
      <w:bCs/>
      <w:color w:val="000000"/>
      <w:sz w:val="32"/>
      <w:szCs w:val="24"/>
      <w:lang w:val="en-US" w:eastAsia="ar-SA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spacing w:line="560" w:lineRule="exact"/>
      <w:ind w:firstLine="804" w:firstLineChars="200"/>
    </w:pPr>
    <w:rPr>
      <w:rFonts w:eastAsia="仿宋_GB2312" w:asciiTheme="minorHAnsi" w:hAnsiTheme="minorHAnsi"/>
      <w:sz w:val="32"/>
    </w:rPr>
  </w:style>
  <w:style w:type="paragraph" w:styleId="5">
    <w:name w:val="Normal Indent"/>
    <w:basedOn w:val="1"/>
    <w:qFormat/>
    <w:uiPriority w:val="0"/>
    <w:pPr>
      <w:ind w:firstLine="420"/>
    </w:pPr>
    <w:rPr>
      <w:szCs w:val="21"/>
    </w:rPr>
  </w:style>
  <w:style w:type="paragraph" w:styleId="6">
    <w:name w:val="annotation subject"/>
    <w:basedOn w:val="7"/>
    <w:next w:val="7"/>
    <w:link w:val="20"/>
    <w:qFormat/>
    <w:uiPriority w:val="0"/>
    <w:rPr>
      <w:b/>
      <w:bCs/>
    </w:rPr>
  </w:style>
  <w:style w:type="paragraph" w:styleId="7">
    <w:name w:val="annotation text"/>
    <w:basedOn w:val="1"/>
    <w:link w:val="19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10">
    <w:name w:val="Balloon Text"/>
    <w:basedOn w:val="1"/>
    <w:link w:val="18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  <w:rPr>
      <w:rFonts w:ascii="Calibri" w:hAnsi="Calibri" w:cs="Calibri"/>
      <w:szCs w:val="21"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8">
    <w:name w:val="批注框文本 字符"/>
    <w:basedOn w:val="14"/>
    <w:link w:val="10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4"/>
    <w:link w:val="7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2943</Characters>
  <Lines>24</Lines>
  <Paragraphs>6</Paragraphs>
  <ScaleCrop>false</ScaleCrop>
  <LinksUpToDate>false</LinksUpToDate>
  <CharactersWithSpaces>3453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bgslyt</cp:lastModifiedBy>
  <cp:lastPrinted>2025-01-16T07:21:00Z</cp:lastPrinted>
  <dcterms:modified xsi:type="dcterms:W3CDTF">2025-08-29T06:27:15Z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