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北京市朝阳区投资促进服务中心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年部门整体绩效评价报告</w:t>
      </w:r>
    </w:p>
    <w:p>
      <w:pPr>
        <w:jc w:val="center"/>
        <w:rPr>
          <w:rFonts w:ascii="仿宋_GB2312"/>
          <w:szCs w:val="30"/>
        </w:rPr>
      </w:pP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北京市朝阳区投资促进服务中心为区政府直属事业单位，机构规格相当正处级，经费形式财政补助（全额）。 内设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Cs/>
          <w:sz w:val="32"/>
          <w:szCs w:val="32"/>
        </w:rPr>
        <w:t>个科室，分别为办公室、综合科、项目促进一科、项目促进二科、项目促进三科、宣传推介科、联络科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、对外贸易促进服务科</w:t>
      </w:r>
      <w:r>
        <w:rPr>
          <w:rFonts w:hint="eastAsia" w:ascii="仿宋_GB2312" w:hAnsi="仿宋" w:eastAsia="仿宋_GB2312"/>
          <w:bCs/>
          <w:sz w:val="32"/>
          <w:szCs w:val="32"/>
        </w:rPr>
        <w:t>。</w:t>
      </w:r>
    </w:p>
    <w:p>
      <w:pPr>
        <w:pStyle w:val="2"/>
        <w:rPr>
          <w:rFonts w:hint="eastAsia" w:ascii="仿宋_GB2312" w:hAnsi="仿宋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kern w:val="2"/>
          <w:sz w:val="32"/>
          <w:szCs w:val="32"/>
          <w:lang w:val="en-US" w:eastAsia="zh-CN" w:bidi="ar-SA"/>
        </w:rPr>
        <w:t>单位主要职责为：落实区委区政府有关投资促进方面的措施，研究拟订本区投资促进工作的中长期发展规划和年度计划，并组织实施。负责围绕区域产业发展和投资促进等重点和热点问题开展研究，并提出完善优化投资环境和政策措施的意见和建议。负责本区投资促进业务工作的统筹协调。承担投资促进网络体系建设，整合本区投资促进资讯、区域商务承载空间信息和政策支持资源等工作。负责开展国际投资促进的交流与合作，提升本区国际化服务的能力和水平。负责宣传推介本区的产业发展规划、投资环境、投资促进政策，承担大型投资促进活动的组织、协调工作。负责洽谈、引进符合本区“高精尖”产业发展方向的重大企业和项目，协调落实对企业和项目的各项服务措施。负责组织社会机构开展投资促进工作。完成区委区政府交办的其他任务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（二）部门整体绩效目标设立情况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年度部门整体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绩效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目标是：落实区委区政府有关投资促进方面的措施，促进朝阳区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投资促进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工作，积极参与境内外商务交流活动，宣传推介朝阳区营商环境，搭建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投资促进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工作平台，协调促进重大项目落地，并对重大项目进行全程跟踪。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2024年全年预算数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1628.84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万元，其中，基本支出预算数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1102.80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万元，项目支出预算数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526.04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万元，其他支出预算数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万元。资金总体支出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1628.84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1102.80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万元，项目支出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526.04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万元。预算执行率为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2024年，区投促中心坚决贯彻区委、区政府决策部署，坚持按照 “八个统筹”“五带”的指示精神，充分发挥统筹、指导、协调、服务全区高质量项目促进、高标准企业服务、高水平活动举办的作用，深化产业链招商、资本化招商、国际化招商，与区内部门联合大招商，招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大商、招好商，形成招商合力，精准对接，整合资源，推动全区经济高质量发展。同时，结合202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年预算批复金额，根据实际情况统筹安排资金使用。</w:t>
      </w:r>
    </w:p>
    <w:p>
      <w:pP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（一）产出完成情况</w:t>
      </w:r>
    </w:p>
    <w:p>
      <w:pPr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yellow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1.产出数量。区投促中心积极对接国家级资源，全年主办了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场多种形式的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投资促进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推介活动，打造“与世界·共朝阳”特色活动品牌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成功举办了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场高水准对外投资促进活动。积极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参与国家级市级重大经贸活动平台，举办高质量招商推介活动，吸引重大产业项目落地。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2.产出质量。通过参加国家级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投资促进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活动、举办“与世界·共朝阳”品牌活动、开展资本市场投资动态调研、加大企业走访上门服务力度、沟通社会化招商机构等多种手段，新增落地项目。</w:t>
      </w:r>
    </w:p>
    <w:p>
      <w:pPr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3.产出进度。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各项目均按照年度计划执行，于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2024年年度时间限度内完成。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4.产出成本。按预算合理支配使用。在预算执行过程中，能够遵守相关政策法规的要求，严格财政支出的成本控制，提高了预算执行率，也进一步减少预算成本占用。</w:t>
      </w:r>
    </w:p>
    <w:p>
      <w:pP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（二）效果实现情况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1.经济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效益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部门预算资金较好保障了单位平稳运转及发挥主要工作职能，为投资促进工作顺利进行提供了经济基础。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仿宋" w:eastAsia="仿宋_GB2312" w:cs="仿宋"/>
          <w:bCs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2.社会效益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加大服务重点外资来源地及辖区重点企业，主动上门服务，提前了解掌握企业投资计划，促成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央企在我区新增投资，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辖区内多个重点央企、外企地区总部、重点新兴产业企业大幅增资；通过消博会、进博会、京港洽谈会等重量级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投资促进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平台，促成多个重点项目落户我区。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.服务对象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满意度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。举办或参与投资促进活动的满意度较好，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更加紧密的加强了与企业联系。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1.财务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管理制度健全性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为做好财务管理工作，强化财务内控监督，我中心持续完善财务制度体系，修订各类财务管理制度。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2.资金使用合规性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和安全性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2024年，中心严格落实资金管理使用相关制度，严格控制“三公经费”等一般性支出，通过加大执行环节控制，提高预算资金使用的合规性和安全性。严格按照部门预算批复执行，坚持统筹兼顾、指标控制、从严考核的原则，紧紧围绕部门发展需要确定基本支出和项目支出预算，严格执行预算管理制度，不挪用和挤占项目资金，确保资金使用安全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基础信息完善性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按照《政府会计制度》要求，开展会计核算工作，确保会计基础信息完善。加强会计核算基本工作，保证会计资料准确、完整。预算资金的使用与相关的预算财务管理制度相符，同时，符合国家财经法规和财务管理制度规定，以及有关专项资金管理办法的规定。根据财政局关于做好部门预决算公开的相关要求，本部门及时并完整的向社会公开部门的预决算信息。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（二）资产管理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严格按照《北京市朝阳区投资促进服务中心财务管理制度》、《北京市朝阳区投资促进服务中心固定资产管理办法》管理相关资产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，并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按时完成部门资产动态系统的年度报告工作。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（三）绩效</w:t>
      </w:r>
      <w:r>
        <w:rPr>
          <w:rFonts w:ascii="楷体_GB2312" w:eastAsia="楷体_GB2312"/>
          <w:sz w:val="32"/>
          <w:szCs w:val="32"/>
        </w:rPr>
        <w:t>管理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根据财政局关于绩效管理的相关要求，我中心于半年度、年度开展绩效自评管理工作，结合年初制定的《项目支出绩效目标表》，自评各项目的绩效完成情况，并完成《部门整体绩效评价报告》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及《项目支出绩效评价报告》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（四）结转结余率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2024年度，</w:t>
      </w:r>
      <w:r>
        <w:rPr>
          <w:rFonts w:hint="eastAsia" w:ascii="仿宋_GB2312" w:eastAsia="仿宋_GB2312"/>
          <w:sz w:val="32"/>
          <w:szCs w:val="32"/>
          <w:lang w:eastAsia="zh-CN"/>
        </w:rPr>
        <w:t>财政结转结余资金为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0元，</w:t>
      </w:r>
      <w:r>
        <w:rPr>
          <w:rFonts w:hint="eastAsia" w:ascii="仿宋_GB2312" w:eastAsia="仿宋_GB2312"/>
          <w:sz w:val="32"/>
          <w:szCs w:val="32"/>
        </w:rPr>
        <w:t>结转结余率为0%。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（五）部门</w:t>
      </w:r>
      <w:r>
        <w:rPr>
          <w:rFonts w:ascii="楷体_GB2312" w:eastAsia="楷体_GB2312"/>
          <w:sz w:val="32"/>
          <w:szCs w:val="32"/>
        </w:rPr>
        <w:t>预决算差异率</w:t>
      </w:r>
    </w:p>
    <w:p>
      <w:pPr>
        <w:spacing w:line="600" w:lineRule="exact"/>
        <w:ind w:left="105" w:leftChars="50" w:firstLine="480" w:firstLineChars="150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年预决算差异率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16.37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%，决算数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1628.84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年初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预算数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1399.74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万元。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spacing w:line="600" w:lineRule="exact"/>
        <w:ind w:left="105" w:leftChars="50" w:firstLine="480" w:firstLineChars="150"/>
        <w:rPr>
          <w:rFonts w:hint="default" w:ascii="仿宋_GB2312" w:hAnsi="Calibri" w:eastAsia="仿宋_GB2312"/>
          <w:sz w:val="32"/>
          <w:szCs w:val="32"/>
          <w:lang w:val="en-US"/>
        </w:rPr>
      </w:pPr>
      <w:r>
        <w:rPr>
          <w:rFonts w:hint="eastAsia" w:ascii="仿宋_GB2312" w:hAnsi="Calibri" w:eastAsia="仿宋_GB2312"/>
          <w:sz w:val="32"/>
          <w:szCs w:val="32"/>
        </w:rPr>
        <w:t>202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年度，我中心共有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1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个项目支出项目，绩效自评得分总体情况为：评分得</w:t>
      </w:r>
      <w:r>
        <w:rPr>
          <w:rFonts w:hint="eastAsia" w:ascii="仿宋_GB2312" w:hAnsi="Calibri" w:eastAsia="仿宋_GB2312"/>
          <w:b/>
          <w:sz w:val="32"/>
          <w:szCs w:val="32"/>
          <w:highlight w:val="none"/>
        </w:rPr>
        <w:t>优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的项目（90（含）-100分）有1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个</w:t>
      </w:r>
      <w:r>
        <w:rPr>
          <w:rFonts w:hint="eastAsia" w:ascii="仿宋_GB2312" w:hAnsi="Calibri" w:eastAsia="仿宋_GB2312"/>
          <w:sz w:val="32"/>
          <w:szCs w:val="32"/>
        </w:rPr>
        <w:t>，评分得</w:t>
      </w:r>
      <w:r>
        <w:rPr>
          <w:rFonts w:hint="eastAsia" w:ascii="仿宋_GB2312" w:hAnsi="Calibri" w:eastAsia="仿宋_GB2312"/>
          <w:b/>
          <w:sz w:val="32"/>
          <w:szCs w:val="32"/>
        </w:rPr>
        <w:t>良</w:t>
      </w:r>
      <w:r>
        <w:rPr>
          <w:rFonts w:hint="eastAsia" w:ascii="仿宋_GB2312" w:hAnsi="Calibri" w:eastAsia="仿宋_GB2312"/>
          <w:sz w:val="32"/>
          <w:szCs w:val="32"/>
        </w:rPr>
        <w:t>（80（含）-90分）的项目有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Calibri" w:eastAsia="仿宋_GB2312"/>
          <w:sz w:val="32"/>
          <w:szCs w:val="32"/>
        </w:rPr>
        <w:t>个，评分得</w:t>
      </w:r>
      <w:r>
        <w:rPr>
          <w:rFonts w:hint="eastAsia" w:ascii="仿宋_GB2312" w:hAnsi="Calibri" w:eastAsia="仿宋_GB2312"/>
          <w:b/>
          <w:sz w:val="32"/>
          <w:szCs w:val="32"/>
        </w:rPr>
        <w:t>中</w:t>
      </w:r>
      <w:r>
        <w:rPr>
          <w:rFonts w:hint="eastAsia" w:ascii="仿宋_GB2312" w:hAnsi="Calibri" w:eastAsia="仿宋_GB2312"/>
          <w:sz w:val="32"/>
          <w:szCs w:val="32"/>
        </w:rPr>
        <w:t>（60（含）-80分）的项目有0 个，评分得</w:t>
      </w:r>
      <w:r>
        <w:rPr>
          <w:rFonts w:hint="eastAsia" w:ascii="仿宋_GB2312" w:hAnsi="Calibri" w:eastAsia="仿宋_GB2312"/>
          <w:b/>
          <w:sz w:val="32"/>
          <w:szCs w:val="32"/>
        </w:rPr>
        <w:t>差</w:t>
      </w:r>
      <w:r>
        <w:rPr>
          <w:rFonts w:hint="eastAsia" w:ascii="仿宋_GB2312" w:hAnsi="Calibri" w:eastAsia="仿宋_GB2312"/>
          <w:sz w:val="32"/>
          <w:szCs w:val="32"/>
        </w:rPr>
        <w:t>（60分以下）的项目有0个。</w:t>
      </w:r>
    </w:p>
    <w:p>
      <w:pPr>
        <w:numPr>
          <w:ilvl w:val="0"/>
          <w:numId w:val="1"/>
        </w:num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存在的问题及原因分析</w:t>
      </w:r>
    </w:p>
    <w:p>
      <w:pPr>
        <w:pStyle w:val="2"/>
        <w:ind w:left="0" w:leftChars="0" w:firstLine="640" w:firstLineChars="200"/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2024年部门整体绩效总体目标绩效效果指标细化、量化不足，绩效目标指标设置不够完整，效益及满意度等指标设置过于笼统。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六、措施及建议</w:t>
      </w:r>
    </w:p>
    <w:p>
      <w:pPr>
        <w:pStyle w:val="2"/>
        <w:ind w:firstLine="56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进一步强化预算绩效管理理念，结合工作实际，科学合理设置绩效指标，合理有效编制项目预算，提高预算执行刚性约束。持续加强项目的全过程管理，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制定预算资金使用时间总体安排计划，统筹资金使用进度，跟进预算执行情况</w:t>
      </w:r>
      <w:r>
        <w:rPr>
          <w:rFonts w:hint="eastAsia" w:ascii="仿宋_GB2312" w:hAnsi="仿宋" w:eastAsia="仿宋_GB2312" w:cs="仿宋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decorative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97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8CC4"/>
    <w:multiLevelType w:val="singleLevel"/>
    <w:tmpl w:val="052C8CC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BF12E6"/>
    <w:rsid w:val="00024555"/>
    <w:rsid w:val="000C04FF"/>
    <w:rsid w:val="000C5912"/>
    <w:rsid w:val="000D4847"/>
    <w:rsid w:val="00111FB4"/>
    <w:rsid w:val="00167273"/>
    <w:rsid w:val="001779E9"/>
    <w:rsid w:val="001A7389"/>
    <w:rsid w:val="001F213A"/>
    <w:rsid w:val="002B3D3C"/>
    <w:rsid w:val="00301727"/>
    <w:rsid w:val="003D5E15"/>
    <w:rsid w:val="00412593"/>
    <w:rsid w:val="004812D4"/>
    <w:rsid w:val="004F7DCC"/>
    <w:rsid w:val="005135E8"/>
    <w:rsid w:val="005257FA"/>
    <w:rsid w:val="00552EEE"/>
    <w:rsid w:val="005E14B5"/>
    <w:rsid w:val="00662211"/>
    <w:rsid w:val="006A497C"/>
    <w:rsid w:val="006F30DB"/>
    <w:rsid w:val="00703ABB"/>
    <w:rsid w:val="007117E5"/>
    <w:rsid w:val="00736B04"/>
    <w:rsid w:val="00760E87"/>
    <w:rsid w:val="007F5EF7"/>
    <w:rsid w:val="00833637"/>
    <w:rsid w:val="008431B9"/>
    <w:rsid w:val="00845DFB"/>
    <w:rsid w:val="0085676D"/>
    <w:rsid w:val="00874487"/>
    <w:rsid w:val="00890C9D"/>
    <w:rsid w:val="008A4A3E"/>
    <w:rsid w:val="008B5117"/>
    <w:rsid w:val="008C3FCE"/>
    <w:rsid w:val="00964B57"/>
    <w:rsid w:val="00A11D2E"/>
    <w:rsid w:val="00A12B36"/>
    <w:rsid w:val="00A14E11"/>
    <w:rsid w:val="00A17DCE"/>
    <w:rsid w:val="00A60A8D"/>
    <w:rsid w:val="00A77AE8"/>
    <w:rsid w:val="00AF6FEA"/>
    <w:rsid w:val="00B044E4"/>
    <w:rsid w:val="00B11821"/>
    <w:rsid w:val="00B13573"/>
    <w:rsid w:val="00B22706"/>
    <w:rsid w:val="00CB23B6"/>
    <w:rsid w:val="00CB3F32"/>
    <w:rsid w:val="00CE5EA4"/>
    <w:rsid w:val="00D037F4"/>
    <w:rsid w:val="00D131A8"/>
    <w:rsid w:val="00DF70CB"/>
    <w:rsid w:val="00E42CC1"/>
    <w:rsid w:val="00E749DC"/>
    <w:rsid w:val="00E76028"/>
    <w:rsid w:val="00EC34FA"/>
    <w:rsid w:val="00EC65E3"/>
    <w:rsid w:val="00ED53BD"/>
    <w:rsid w:val="00F026D4"/>
    <w:rsid w:val="00F15DA1"/>
    <w:rsid w:val="00F31FFB"/>
    <w:rsid w:val="00F64DCA"/>
    <w:rsid w:val="01532108"/>
    <w:rsid w:val="082C206C"/>
    <w:rsid w:val="0FBD3F4C"/>
    <w:rsid w:val="10322A11"/>
    <w:rsid w:val="223105F4"/>
    <w:rsid w:val="24C7022C"/>
    <w:rsid w:val="2BF27103"/>
    <w:rsid w:val="2D142222"/>
    <w:rsid w:val="2E3F53AF"/>
    <w:rsid w:val="2FD45FB8"/>
    <w:rsid w:val="3A2164DA"/>
    <w:rsid w:val="3B317EAF"/>
    <w:rsid w:val="3DF70955"/>
    <w:rsid w:val="42737A64"/>
    <w:rsid w:val="466D4111"/>
    <w:rsid w:val="4C846E09"/>
    <w:rsid w:val="5018377F"/>
    <w:rsid w:val="53D24235"/>
    <w:rsid w:val="579E1B5C"/>
    <w:rsid w:val="585C45BE"/>
    <w:rsid w:val="585D7143"/>
    <w:rsid w:val="60BC25E9"/>
    <w:rsid w:val="62C62DB0"/>
    <w:rsid w:val="6706605C"/>
    <w:rsid w:val="69BF12E6"/>
    <w:rsid w:val="6C0866F5"/>
    <w:rsid w:val="71CE4D87"/>
    <w:rsid w:val="7723415C"/>
    <w:rsid w:val="77FF9557"/>
    <w:rsid w:val="79FF8E75"/>
    <w:rsid w:val="7BA93068"/>
    <w:rsid w:val="7BCA2B23"/>
    <w:rsid w:val="7CFA073E"/>
    <w:rsid w:val="7D5A26A2"/>
    <w:rsid w:val="7D93356B"/>
    <w:rsid w:val="7DB6990A"/>
    <w:rsid w:val="7EF7B186"/>
    <w:rsid w:val="7FAE20F1"/>
    <w:rsid w:val="9DDE7049"/>
    <w:rsid w:val="BDEFB41E"/>
    <w:rsid w:val="BE321B68"/>
    <w:rsid w:val="DEEFB59C"/>
    <w:rsid w:val="FEFDB5E0"/>
    <w:rsid w:val="FFFEE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549</Words>
  <Characters>3132</Characters>
  <Lines>26</Lines>
  <Paragraphs>7</Paragraphs>
  <TotalTime>132</TotalTime>
  <ScaleCrop>false</ScaleCrop>
  <LinksUpToDate>false</LinksUpToDate>
  <CharactersWithSpaces>3674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2023-01-12T01:12:00Z</dcterms:created>
  <dc:creator>Administrator</dc:creator>
  <cp:lastModifiedBy>Administrator</cp:lastModifiedBy>
  <cp:lastPrinted>2025-02-12T00:32:00Z</cp:lastPrinted>
  <dcterms:modified xsi:type="dcterms:W3CDTF">2025-09-11T06:51:09Z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