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4C63" w:rsidRDefault="00B948EF">
      <w:pPr>
        <w:adjustRightInd w:val="0"/>
        <w:snapToGrid w:val="0"/>
        <w:spacing w:line="600" w:lineRule="exact"/>
        <w:jc w:val="left"/>
        <w:rPr>
          <w:rFonts w:ascii="黑体" w:eastAsia="黑体" w:hAnsi="黑体" w:cs="仿宋_GB2312"/>
          <w:b w:val="0"/>
          <w:bCs w:val="0"/>
          <w:sz w:val="32"/>
          <w:szCs w:val="32"/>
        </w:rPr>
      </w:pPr>
      <w:bookmarkStart w:id="0" w:name="RiseOffice_body"/>
      <w:r>
        <w:rPr>
          <w:rFonts w:ascii="黑体" w:eastAsia="黑体" w:hAnsi="黑体" w:cs="仿宋_GB2312" w:hint="eastAsia"/>
          <w:b w:val="0"/>
          <w:bCs w:val="0"/>
          <w:sz w:val="32"/>
          <w:szCs w:val="32"/>
        </w:rPr>
        <w:t>附件1:</w:t>
      </w:r>
    </w:p>
    <w:tbl>
      <w:tblPr>
        <w:tblW w:w="9498" w:type="dxa"/>
        <w:tblInd w:w="-318" w:type="dxa"/>
        <w:tblCellMar>
          <w:top w:w="15" w:type="dxa"/>
          <w:bottom w:w="15" w:type="dxa"/>
        </w:tblCellMar>
        <w:tblLook w:val="04A0"/>
      </w:tblPr>
      <w:tblGrid>
        <w:gridCol w:w="1135"/>
        <w:gridCol w:w="908"/>
        <w:gridCol w:w="1094"/>
        <w:gridCol w:w="975"/>
        <w:gridCol w:w="1276"/>
        <w:gridCol w:w="1118"/>
        <w:gridCol w:w="441"/>
        <w:gridCol w:w="2551"/>
      </w:tblGrid>
      <w:tr w:rsidR="00F34C63">
        <w:trPr>
          <w:trHeight w:val="555"/>
        </w:trPr>
        <w:tc>
          <w:tcPr>
            <w:tcW w:w="9498" w:type="dxa"/>
            <w:gridSpan w:val="8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szCs w:val="24"/>
              </w:rPr>
              <w:t>项目支出绩效目标申报表</w:t>
            </w:r>
          </w:p>
        </w:tc>
      </w:tr>
      <w:tr w:rsidR="00F34C63">
        <w:trPr>
          <w:trHeight w:val="390"/>
        </w:trPr>
        <w:tc>
          <w:tcPr>
            <w:tcW w:w="1135" w:type="dxa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276" w:type="dxa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118" w:type="dxa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992" w:type="dxa"/>
            <w:gridSpan w:val="2"/>
            <w:vAlign w:val="center"/>
          </w:tcPr>
          <w:p w:rsidR="00F34C63" w:rsidRDefault="00B948EF">
            <w:pPr>
              <w:widowControl/>
              <w:jc w:val="righ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单位：万元</w:t>
            </w:r>
          </w:p>
        </w:tc>
      </w:tr>
      <w:tr w:rsidR="00F34C63">
        <w:trPr>
          <w:trHeight w:val="945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43C" w:rsidRDefault="00F9043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F9043C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2020年就业补助资金（直达资金）</w:t>
            </w:r>
          </w:p>
          <w:p w:rsidR="00F34C63" w:rsidRDefault="00F34C63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项目总投资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61935" w:rsidP="00C924E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15.45</w:t>
            </w:r>
            <w:r w:rsidR="00202D5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万</w:t>
            </w:r>
            <w:r w:rsidR="00F9043C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元</w:t>
            </w:r>
          </w:p>
        </w:tc>
        <w:tc>
          <w:tcPr>
            <w:tcW w:w="1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其中：使用特别国债/特殊转移支付金额</w:t>
            </w:r>
          </w:p>
        </w:tc>
        <w:tc>
          <w:tcPr>
            <w:tcW w:w="29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9043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0</w:t>
            </w:r>
          </w:p>
        </w:tc>
      </w:tr>
      <w:tr w:rsidR="00F34C63" w:rsidTr="00347C0F">
        <w:trPr>
          <w:trHeight w:val="737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主管部门</w:t>
            </w:r>
          </w:p>
        </w:tc>
        <w:tc>
          <w:tcPr>
            <w:tcW w:w="20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A24DA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A24DA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北京市朝阳区</w:t>
            </w:r>
            <w:r w:rsidR="00B61935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王四营乡</w:t>
            </w:r>
            <w:r w:rsidR="00AC19ED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人民</w:t>
            </w:r>
            <w:r w:rsidR="00B61935">
              <w:rPr>
                <w:rFonts w:ascii="宋体" w:hAnsi="宋体" w:cs="宋体" w:hint="eastAsia"/>
                <w:b w:val="0"/>
                <w:color w:val="000000"/>
                <w:kern w:val="0"/>
                <w:sz w:val="20"/>
                <w:szCs w:val="20"/>
              </w:rPr>
              <w:t>政府</w:t>
            </w:r>
          </w:p>
        </w:tc>
        <w:tc>
          <w:tcPr>
            <w:tcW w:w="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项目实施期</w:t>
            </w:r>
          </w:p>
        </w:tc>
        <w:tc>
          <w:tcPr>
            <w:tcW w:w="538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9043C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bookmarkStart w:id="1" w:name="_GoBack"/>
            <w:bookmarkEnd w:id="1"/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2020年</w:t>
            </w:r>
          </w:p>
        </w:tc>
      </w:tr>
      <w:tr w:rsidR="00F34C63">
        <w:trPr>
          <w:trHeight w:val="10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总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体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目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8363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34C63" w:rsidRDefault="00C924E0" w:rsidP="00C924E0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中央就业补助资金</w:t>
            </w:r>
            <w:r w:rsidR="00832FAA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专门用于</w:t>
            </w:r>
            <w:r w:rsidR="00832FAA" w:rsidRPr="00202D56">
              <w:rPr>
                <w:rFonts w:asciiTheme="minorEastAsia" w:eastAsiaTheme="minorEastAsia" w:hAnsiTheme="minorEastAsia" w:cs="仿宋_GB2312" w:hint="eastAsia"/>
                <w:b w:val="0"/>
                <w:bCs w:val="0"/>
                <w:color w:val="000000" w:themeColor="text1"/>
                <w:kern w:val="0"/>
                <w:sz w:val="20"/>
                <w:szCs w:val="20"/>
              </w:rPr>
              <w:t>公益性岗位人员</w:t>
            </w:r>
            <w:r w:rsidR="00832FAA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的工资、社会保险、住房公积金支出，保证就业困难人员的就业再就业，维持公益性就业组织的正常运转，维护社会稳定。</w:t>
            </w:r>
          </w:p>
        </w:tc>
      </w:tr>
      <w:tr w:rsidR="00F34C63" w:rsidTr="00347C0F">
        <w:trPr>
          <w:trHeight w:val="510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绩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效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9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一级指标</w:t>
            </w:r>
          </w:p>
        </w:tc>
        <w:tc>
          <w:tcPr>
            <w:tcW w:w="1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二级指标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三级指标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指标值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产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出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数量指标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BD7696" w:rsidRDefault="00B948EF" w:rsidP="00832FA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D769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指标1:</w:t>
            </w:r>
            <w:r w:rsidR="00832FAA" w:rsidRPr="00BD769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安置就业困难人员</w:t>
            </w:r>
            <w:r w:rsidR="00832FAA" w:rsidRPr="00BD7696"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BD7696" w:rsidRDefault="00B61935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6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指标2: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质量指标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指标1：</w:t>
            </w:r>
            <w:r w:rsidR="00832FAA"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保障公益性岗位补贴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680FCD">
            <w:pPr>
              <w:widowControl/>
              <w:jc w:val="left"/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发放到位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 w:rsidP="00832FA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指标2：</w:t>
            </w:r>
            <w:r w:rsidR="00832FAA" w:rsidRPr="00C571C2"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进度指标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指标1：</w:t>
            </w:r>
            <w:r w:rsidR="00832FAA"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拨付时间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9043C" w:rsidP="00832FA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2020年12月31日</w:t>
            </w:r>
            <w:r w:rsidR="00832FAA"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前全部拨付完毕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270C8">
        <w:trPr>
          <w:trHeight w:val="26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DD5DB9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成本指标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Pr="00E501B6" w:rsidRDefault="00DD5DB9" w:rsidP="0039673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指标1：工资成本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Pr="00E501B6" w:rsidRDefault="00B61935" w:rsidP="00B61935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31.97</w:t>
            </w:r>
            <w:r w:rsidR="00CD41C9"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万</w:t>
            </w:r>
            <w:r w:rsidR="00DD5DB9"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元</w:t>
            </w:r>
          </w:p>
        </w:tc>
      </w:tr>
      <w:tr w:rsidR="00DD5DB9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Pr="00E501B6" w:rsidRDefault="00DD5DB9" w:rsidP="0039673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指标2：住房公积金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Pr="00E501B6" w:rsidRDefault="00B61935" w:rsidP="00B61935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2.47</w:t>
            </w:r>
            <w:r w:rsidR="00CD41C9"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万元</w:t>
            </w:r>
          </w:p>
        </w:tc>
      </w:tr>
      <w:tr w:rsidR="00DD5DB9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Default="00DD5DB9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Pr="00E501B6" w:rsidRDefault="00DD5DB9" w:rsidP="0039673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指标3：社会保险费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DD5DB9" w:rsidRPr="00E501B6" w:rsidRDefault="00B61935" w:rsidP="0039673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8.22</w:t>
            </w:r>
            <w:r w:rsidR="00CD41C9" w:rsidRPr="00E501B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万元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效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果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指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标</w:t>
            </w: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效益指标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指标1：</w:t>
            </w:r>
            <w:r w:rsidR="00832FAA"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稳定辖区困难人员就业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832FA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达成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服务对象</w:t>
            </w: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br/>
              <w:t>满意度指标</w:t>
            </w: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 w:rsidP="00832FA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指标1：</w:t>
            </w:r>
            <w:r w:rsidR="00832FAA"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协管员满意度</w:t>
            </w:r>
            <w:r w:rsidR="00832FAA" w:rsidRPr="00C571C2"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832FAA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满意</w:t>
            </w:r>
          </w:p>
        </w:tc>
      </w:tr>
      <w:tr w:rsidR="00F34C63" w:rsidTr="00347C0F">
        <w:trPr>
          <w:trHeight w:val="39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指标2：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  <w:tr w:rsidR="00F34C63" w:rsidTr="003270C8">
        <w:trPr>
          <w:trHeight w:val="300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90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0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381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C571C2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20"/>
                <w:szCs w:val="20"/>
              </w:rPr>
              <w:t>……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34C63" w:rsidRPr="00C571C2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20"/>
                <w:szCs w:val="20"/>
              </w:rPr>
            </w:pPr>
          </w:p>
        </w:tc>
      </w:tr>
    </w:tbl>
    <w:bookmarkEnd w:id="0"/>
    <w:p w:rsidR="00F34C63" w:rsidRDefault="00B948EF">
      <w:pPr>
        <w:ind w:firstLineChars="200" w:firstLine="420"/>
        <w:rPr>
          <w:rFonts w:ascii="Calibri" w:hAnsi="Calibri"/>
          <w:b w:val="0"/>
          <w:bCs w:val="0"/>
          <w:color w:val="FF0000"/>
          <w:szCs w:val="24"/>
        </w:rPr>
      </w:pPr>
      <w:r>
        <w:rPr>
          <w:rFonts w:ascii="Calibri" w:hAnsi="Calibri" w:hint="eastAsia"/>
          <w:b w:val="0"/>
          <w:bCs w:val="0"/>
          <w:color w:val="FF0000"/>
          <w:szCs w:val="24"/>
        </w:rPr>
        <w:t>注：实际填报时，应按照中央、北京市相关工作要求据实填报。</w:t>
      </w:r>
    </w:p>
    <w:p w:rsidR="00F34C63" w:rsidRDefault="00B948EF">
      <w:pPr>
        <w:spacing w:line="560" w:lineRule="exact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sz w:val="32"/>
          <w:szCs w:val="32"/>
        </w:rPr>
        <w:lastRenderedPageBreak/>
        <w:t>附件2:</w:t>
      </w:r>
    </w:p>
    <w:p w:rsidR="00F34C63" w:rsidRDefault="00B948EF">
      <w:pPr>
        <w:jc w:val="center"/>
        <w:rPr>
          <w:rFonts w:ascii="宋体" w:hAnsi="宋体" w:cs="宋体"/>
          <w:sz w:val="36"/>
          <w:szCs w:val="36"/>
        </w:rPr>
      </w:pPr>
      <w:r>
        <w:rPr>
          <w:rFonts w:ascii="宋体" w:hAnsi="宋体" w:cs="宋体" w:hint="eastAsia"/>
          <w:sz w:val="36"/>
          <w:szCs w:val="36"/>
        </w:rPr>
        <w:t>项目支出绩效评价报告</w:t>
      </w:r>
    </w:p>
    <w:p w:rsidR="00F34C63" w:rsidRDefault="00F34C63">
      <w:pPr>
        <w:jc w:val="center"/>
        <w:rPr>
          <w:rFonts w:ascii="仿宋_GB2312"/>
          <w:b w:val="0"/>
          <w:bCs w:val="0"/>
          <w:szCs w:val="30"/>
        </w:rPr>
      </w:pP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一、基本情况</w:t>
      </w:r>
    </w:p>
    <w:p w:rsidR="005158EE" w:rsidRPr="00202D56" w:rsidRDefault="005158EE" w:rsidP="00D73E69">
      <w:pPr>
        <w:spacing w:line="600" w:lineRule="exact"/>
        <w:ind w:firstLineChars="200" w:firstLine="640"/>
        <w:outlineLvl w:val="0"/>
        <w:rPr>
          <w:rFonts w:ascii="仿宋_GB2312" w:eastAsia="仿宋_GB2312" w:hAnsi="仿宋_GB2312" w:cs="仿宋_GB2312"/>
          <w:b w:val="0"/>
          <w:bCs w:val="0"/>
          <w:color w:val="000000" w:themeColor="text1"/>
          <w:kern w:val="0"/>
          <w:sz w:val="32"/>
          <w:szCs w:val="32"/>
        </w:rPr>
      </w:pPr>
      <w:r w:rsidRPr="00202D56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（一）项目概况。</w:t>
      </w:r>
      <w:r w:rsidR="00B6193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王四营乡</w:t>
      </w:r>
      <w:r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公益性就业组织于2020年</w:t>
      </w:r>
      <w:r w:rsidR="00B6193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10</w:t>
      </w:r>
      <w:r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月收到中央就业补助资金</w:t>
      </w:r>
      <w:r w:rsidR="00B6193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15.45</w:t>
      </w:r>
      <w:r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万元</w:t>
      </w:r>
      <w:r w:rsidR="00202D56" w:rsidRPr="00773815">
        <w:rPr>
          <w:rFonts w:ascii="仿宋_GB2312" w:eastAsia="仿宋_GB2312" w:hAnsi="仿宋_GB2312" w:cs="仿宋_GB2312" w:hint="eastAsia"/>
          <w:b w:val="0"/>
          <w:color w:val="000000" w:themeColor="text1"/>
          <w:kern w:val="0"/>
          <w:sz w:val="32"/>
          <w:szCs w:val="32"/>
        </w:rPr>
        <w:t>。</w:t>
      </w:r>
      <w:r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收到上述资金后，</w:t>
      </w:r>
      <w:r w:rsidR="00AC19ED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乡</w:t>
      </w:r>
      <w:r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公益性就业组织将该款项用于公益性岗位人员的工资、社会保险、住房公积金等方面支出，2020年12月31日已全部拨付完毕，无结余结转。</w:t>
      </w:r>
    </w:p>
    <w:p w:rsidR="005158EE" w:rsidRPr="00773815" w:rsidRDefault="005158EE" w:rsidP="005158EE">
      <w:pPr>
        <w:numPr>
          <w:ilvl w:val="0"/>
          <w:numId w:val="1"/>
        </w:numPr>
        <w:spacing w:line="600" w:lineRule="exact"/>
        <w:ind w:firstLineChars="200" w:firstLine="640"/>
        <w:rPr>
          <w:rFonts w:ascii="仿宋_GB2312" w:eastAsia="仿宋_GB2312" w:hAnsi="仿宋_GB2312" w:cs="仿宋_GB2312"/>
          <w:b w:val="0"/>
          <w:bCs w:val="0"/>
          <w:color w:val="000000" w:themeColor="text1"/>
          <w:kern w:val="0"/>
          <w:sz w:val="32"/>
          <w:szCs w:val="32"/>
        </w:rPr>
      </w:pPr>
      <w:r w:rsidRPr="00202D56">
        <w:rPr>
          <w:rFonts w:ascii="仿宋_GB2312" w:eastAsia="仿宋_GB2312" w:hAnsi="仿宋_GB2312" w:cs="仿宋_GB2312" w:hint="eastAsia"/>
          <w:b w:val="0"/>
          <w:bCs w:val="0"/>
          <w:color w:val="000000"/>
          <w:kern w:val="0"/>
          <w:sz w:val="32"/>
          <w:szCs w:val="32"/>
        </w:rPr>
        <w:t>项目绩效目标。</w:t>
      </w:r>
      <w:r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中央就业补助资金专门用于公益性岗位人员的工资、社会保险、住房公积金支出，保证就业困难人员的就业再就业，维持公益性就业组织的正常运转，维护社会稳定。</w:t>
      </w: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二、绩效评价工作开展情况</w:t>
      </w:r>
    </w:p>
    <w:p w:rsidR="005158EE" w:rsidRPr="00202D56" w:rsidRDefault="005158EE" w:rsidP="005158EE">
      <w:pPr>
        <w:spacing w:line="520" w:lineRule="exact"/>
        <w:ind w:firstLineChars="200" w:firstLine="640"/>
        <w:rPr>
          <w:rFonts w:ascii="黑体" w:eastAsia="黑体" w:hAnsi="黑体" w:cs="黑体"/>
          <w:b w:val="0"/>
          <w:color w:val="000000" w:themeColor="text1"/>
          <w:kern w:val="0"/>
          <w:sz w:val="32"/>
          <w:szCs w:val="32"/>
        </w:rPr>
      </w:pPr>
      <w:r w:rsidRPr="00202D56">
        <w:rPr>
          <w:rFonts w:ascii="仿宋_GB2312" w:eastAsia="仿宋_GB2312" w:hint="eastAsia"/>
          <w:b w:val="0"/>
          <w:color w:val="000000" w:themeColor="text1"/>
          <w:sz w:val="32"/>
          <w:szCs w:val="32"/>
        </w:rPr>
        <w:t>本着科学公正、统筹兼顾、激励约束、公开透明的绩效评价原则，</w:t>
      </w:r>
      <w:r w:rsidR="00BA24DA">
        <w:rPr>
          <w:rFonts w:ascii="仿宋" w:eastAsia="仿宋" w:hAnsi="仿宋" w:cs="仿宋" w:hint="eastAsia"/>
          <w:b w:val="0"/>
          <w:sz w:val="32"/>
          <w:szCs w:val="32"/>
        </w:rPr>
        <w:t>北京市朝阳区</w:t>
      </w:r>
      <w:r w:rsidR="00B61935">
        <w:rPr>
          <w:rFonts w:ascii="仿宋" w:eastAsia="仿宋" w:hAnsi="仿宋" w:cs="仿宋" w:hint="eastAsia"/>
          <w:b w:val="0"/>
          <w:sz w:val="32"/>
          <w:szCs w:val="32"/>
        </w:rPr>
        <w:t>王四营乡</w:t>
      </w:r>
      <w:r w:rsidR="00AC19ED">
        <w:rPr>
          <w:rFonts w:ascii="仿宋" w:eastAsia="仿宋" w:hAnsi="仿宋" w:cs="仿宋" w:hint="eastAsia"/>
          <w:b w:val="0"/>
          <w:sz w:val="32"/>
          <w:szCs w:val="32"/>
        </w:rPr>
        <w:t>人民</w:t>
      </w:r>
      <w:r w:rsidR="00B61935">
        <w:rPr>
          <w:rFonts w:ascii="仿宋" w:eastAsia="仿宋" w:hAnsi="仿宋" w:cs="仿宋" w:hint="eastAsia"/>
          <w:b w:val="0"/>
          <w:sz w:val="32"/>
          <w:szCs w:val="32"/>
        </w:rPr>
        <w:t>政府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依照绩效考评相关规定，结合本部门内控管理办法，针对直达资金绩效跟踪工作</w:t>
      </w:r>
      <w:r w:rsidR="00813410"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进行分类管理、专人负责，集体分工协作，及时将专项资金拨付至北京</w:t>
      </w:r>
      <w:r w:rsidR="00B61935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市王四营九方乐业劳务派遣</w:t>
      </w:r>
      <w:r w:rsidR="00813410"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中心。在</w:t>
      </w:r>
      <w:r w:rsidR="00AC19ED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乡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党委、政府的领导下，</w:t>
      </w:r>
      <w:r w:rsidR="0039713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北京市</w:t>
      </w:r>
      <w:r w:rsidR="00B61935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九方乐业劳务派遣</w:t>
      </w:r>
      <w:r w:rsidR="0039713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中心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负责直达资金绩效跟踪工作，截至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2020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年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12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月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31</w:t>
      </w:r>
      <w:r w:rsidRPr="00202D5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日，资金按计划全部支出完毕。</w:t>
      </w: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三、综合评价情况及评价结论</w:t>
      </w:r>
    </w:p>
    <w:p w:rsidR="00813410" w:rsidRPr="00813410" w:rsidRDefault="00813410" w:rsidP="00DD5DB9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eastAsia="仿宋_GB2312" w:hint="eastAsia"/>
          <w:b w:val="0"/>
          <w:bCs w:val="0"/>
          <w:sz w:val="32"/>
          <w:szCs w:val="32"/>
        </w:rPr>
        <w:t>直达资金项目均已按计划使用，阶段性项目绩效目标完成良好，预算执行绩效与绩效目标未发生偏离。</w:t>
      </w: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四、绩效评价指标分析</w:t>
      </w:r>
    </w:p>
    <w:p w:rsidR="001A04F4" w:rsidRPr="001A04F4" w:rsidRDefault="001A04F4" w:rsidP="001A04F4">
      <w:pPr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1A04F4">
        <w:rPr>
          <w:rFonts w:eastAsia="仿宋_GB2312" w:hint="eastAsia"/>
          <w:b w:val="0"/>
          <w:bCs w:val="0"/>
          <w:sz w:val="32"/>
          <w:szCs w:val="32"/>
        </w:rPr>
        <w:lastRenderedPageBreak/>
        <w:t>（一）项目决策情况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: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北京市王四营九方乐业劳务派遣中心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经费来源于市、区两级拨款，严格依据《关于＜印发朝阳区社会公益性就业组织管理（试行）办法＞的通知》（朝人社发【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2015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】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31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号）文件精神和“三重一大”以及街道财务制度对项目决策。</w:t>
      </w:r>
    </w:p>
    <w:p w:rsidR="001A04F4" w:rsidRPr="001A04F4" w:rsidRDefault="001A04F4" w:rsidP="001A04F4">
      <w:pPr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1A04F4">
        <w:rPr>
          <w:rFonts w:eastAsia="仿宋_GB2312" w:hint="eastAsia"/>
          <w:b w:val="0"/>
          <w:bCs w:val="0"/>
          <w:sz w:val="32"/>
          <w:szCs w:val="32"/>
        </w:rPr>
        <w:t>（二）项目过程情况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 xml:space="preserve">: 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王四营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公益性组织严格依据《关于＜印发朝阳区社会公益性就业组织管理（试行）办法＞的通知》（朝人社发【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2015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】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31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号）文件精神，自下而上进行申请，专人负责，上报区劳服和区资金科审核批复后，项目资金由上而下进行拨付，区财政局先拨付至街道财政科，</w:t>
      </w:r>
      <w:r w:rsidRPr="009A6BE3">
        <w:rPr>
          <w:rFonts w:eastAsia="仿宋_GB2312" w:hint="eastAsia"/>
          <w:b w:val="0"/>
          <w:bCs w:val="0"/>
          <w:sz w:val="32"/>
          <w:szCs w:val="32"/>
        </w:rPr>
        <w:t>经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乡长办公</w:t>
      </w:r>
      <w:r w:rsidRPr="009A6BE3">
        <w:rPr>
          <w:rFonts w:eastAsia="仿宋_GB2312" w:hint="eastAsia"/>
          <w:b w:val="0"/>
          <w:bCs w:val="0"/>
          <w:sz w:val="32"/>
          <w:szCs w:val="32"/>
        </w:rPr>
        <w:t>会决议后由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乡</w:t>
      </w:r>
      <w:r w:rsidRPr="009A6BE3">
        <w:rPr>
          <w:rFonts w:eastAsia="仿宋_GB2312" w:hint="eastAsia"/>
          <w:b w:val="0"/>
          <w:bCs w:val="0"/>
          <w:sz w:val="32"/>
          <w:szCs w:val="32"/>
        </w:rPr>
        <w:t>财政</w:t>
      </w:r>
      <w:r w:rsidRPr="002B6651">
        <w:rPr>
          <w:rFonts w:eastAsia="仿宋_GB2312" w:hint="eastAsia"/>
          <w:b w:val="0"/>
          <w:bCs w:val="0"/>
          <w:sz w:val="32"/>
          <w:szCs w:val="32"/>
        </w:rPr>
        <w:t>转拨至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王四营</w:t>
      </w:r>
      <w:r w:rsidRPr="002B6651">
        <w:rPr>
          <w:rFonts w:eastAsia="仿宋_GB2312" w:hint="eastAsia"/>
          <w:b w:val="0"/>
          <w:bCs w:val="0"/>
          <w:sz w:val="32"/>
          <w:szCs w:val="32"/>
        </w:rPr>
        <w:t>公益性组织账户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，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2020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年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10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月收到公益性就业组织区级岗位补贴</w:t>
      </w:r>
      <w:r w:rsidR="00B61935">
        <w:rPr>
          <w:rFonts w:eastAsia="仿宋_GB2312" w:hint="eastAsia"/>
          <w:b w:val="0"/>
          <w:bCs w:val="0"/>
          <w:sz w:val="32"/>
          <w:szCs w:val="32"/>
        </w:rPr>
        <w:t>15.45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万元，严格按公益性资金使用规定，专款专用。</w:t>
      </w:r>
    </w:p>
    <w:p w:rsidR="001A04F4" w:rsidRPr="001A04F4" w:rsidRDefault="001A04F4" w:rsidP="001A04F4">
      <w:pPr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1A04F4">
        <w:rPr>
          <w:rFonts w:eastAsia="仿宋_GB2312" w:hint="eastAsia"/>
          <w:b w:val="0"/>
          <w:bCs w:val="0"/>
          <w:sz w:val="32"/>
          <w:szCs w:val="32"/>
        </w:rPr>
        <w:t>（三）项目产出情况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: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在项目执行期间，帮助就业困难人员</w:t>
      </w:r>
      <w:r w:rsidR="00370915">
        <w:rPr>
          <w:rFonts w:eastAsia="仿宋_GB2312" w:hint="eastAsia"/>
          <w:b w:val="0"/>
          <w:bCs w:val="0"/>
          <w:sz w:val="32"/>
          <w:szCs w:val="32"/>
        </w:rPr>
        <w:t>6</w:t>
      </w:r>
      <w:r w:rsidRPr="009A6BE3">
        <w:rPr>
          <w:rFonts w:eastAsia="仿宋_GB2312" w:hint="eastAsia"/>
          <w:b w:val="0"/>
          <w:bCs w:val="0"/>
          <w:sz w:val="32"/>
          <w:szCs w:val="32"/>
        </w:rPr>
        <w:t>人实现了就业再就业，项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目直达资金</w:t>
      </w:r>
      <w:r w:rsidR="00370915">
        <w:rPr>
          <w:rFonts w:eastAsia="仿宋_GB2312" w:hint="eastAsia"/>
          <w:b w:val="0"/>
          <w:bCs w:val="0"/>
          <w:sz w:val="32"/>
          <w:szCs w:val="32"/>
        </w:rPr>
        <w:t>15.45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万元全部用于支付公益性就业人员</w:t>
      </w:r>
      <w:r w:rsidR="009A6BE3"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工资、社会保险、住房公积金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等方面支出，保证了公益性组织正常运转，稳定了辖区困难就业人员就业，维护了社会稳定。</w:t>
      </w:r>
    </w:p>
    <w:p w:rsidR="001A04F4" w:rsidRPr="00D404C5" w:rsidRDefault="001A04F4" w:rsidP="00D404C5">
      <w:pPr>
        <w:spacing w:line="600" w:lineRule="exact"/>
        <w:ind w:firstLineChars="200" w:firstLine="640"/>
        <w:rPr>
          <w:rFonts w:eastAsia="仿宋_GB2312"/>
          <w:b w:val="0"/>
          <w:bCs w:val="0"/>
          <w:sz w:val="32"/>
          <w:szCs w:val="32"/>
        </w:rPr>
      </w:pPr>
      <w:r w:rsidRPr="001A04F4">
        <w:rPr>
          <w:rFonts w:eastAsia="仿宋_GB2312" w:hint="eastAsia"/>
          <w:b w:val="0"/>
          <w:bCs w:val="0"/>
          <w:sz w:val="32"/>
          <w:szCs w:val="32"/>
        </w:rPr>
        <w:t>（四）项目效益情况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: 2020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年，</w:t>
      </w:r>
      <w:r w:rsidR="00D404C5" w:rsidRPr="00D404C5">
        <w:rPr>
          <w:rFonts w:eastAsia="仿宋_GB2312" w:hint="eastAsia"/>
          <w:b w:val="0"/>
          <w:bCs w:val="0"/>
          <w:sz w:val="32"/>
          <w:szCs w:val="32"/>
        </w:rPr>
        <w:t>就业补助资金（直达资金）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绩效目标基本完成。项目资金充分保障了地区公益性人员工资、社会保险</w:t>
      </w:r>
      <w:r w:rsidR="00D404C5">
        <w:rPr>
          <w:rFonts w:eastAsia="仿宋_GB2312" w:hint="eastAsia"/>
          <w:b w:val="0"/>
          <w:bCs w:val="0"/>
          <w:sz w:val="32"/>
          <w:szCs w:val="32"/>
        </w:rPr>
        <w:t>、</w:t>
      </w:r>
      <w:r w:rsidR="00D404C5"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住房公积金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缴纳等方面支出，服务对象满意度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100%</w:t>
      </w:r>
      <w:r w:rsidRPr="001A04F4">
        <w:rPr>
          <w:rFonts w:eastAsia="仿宋_GB2312" w:hint="eastAsia"/>
          <w:b w:val="0"/>
          <w:bCs w:val="0"/>
          <w:sz w:val="32"/>
          <w:szCs w:val="32"/>
        </w:rPr>
        <w:t>。</w:t>
      </w:r>
    </w:p>
    <w:p w:rsidR="00F34C63" w:rsidRDefault="00B948EF" w:rsidP="001A04F4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五、主要经验及做法、存在的问题及原因分析</w:t>
      </w:r>
    </w:p>
    <w:p w:rsidR="00813410" w:rsidRDefault="00813410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无</w:t>
      </w: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六、有关建议</w:t>
      </w:r>
    </w:p>
    <w:p w:rsidR="00813410" w:rsidRDefault="00813410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lastRenderedPageBreak/>
        <w:t>无</w:t>
      </w: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七、其他需要说明的问题</w:t>
      </w:r>
    </w:p>
    <w:p w:rsidR="00813410" w:rsidRDefault="00813410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无</w:t>
      </w:r>
    </w:p>
    <w:p w:rsidR="00F34C63" w:rsidRDefault="00B948EF">
      <w:pPr>
        <w:spacing w:line="600" w:lineRule="exact"/>
        <w:ind w:firstLineChars="200" w:firstLine="640"/>
        <w:rPr>
          <w:rFonts w:ascii="黑体" w:eastAsia="黑体" w:hAnsi="黑体" w:cs="黑体"/>
          <w:b w:val="0"/>
          <w:color w:val="000000"/>
          <w:kern w:val="0"/>
          <w:sz w:val="32"/>
          <w:szCs w:val="32"/>
        </w:rPr>
      </w:pPr>
      <w:r>
        <w:rPr>
          <w:rFonts w:ascii="黑体" w:eastAsia="黑体" w:hAnsi="黑体" w:cs="黑体" w:hint="eastAsia"/>
          <w:b w:val="0"/>
          <w:color w:val="000000"/>
          <w:kern w:val="0"/>
          <w:sz w:val="32"/>
          <w:szCs w:val="32"/>
        </w:rPr>
        <w:t>八、项目支出绩效评价评分表</w:t>
      </w:r>
    </w:p>
    <w:p w:rsidR="00F34C63" w:rsidRDefault="00B948EF">
      <w:pPr>
        <w:spacing w:line="360" w:lineRule="auto"/>
        <w:rPr>
          <w:b w:val="0"/>
          <w:bCs w:val="0"/>
          <w:color w:val="FF0000"/>
          <w:szCs w:val="24"/>
        </w:rPr>
      </w:pPr>
      <w:r>
        <w:rPr>
          <w:rFonts w:hint="eastAsia"/>
          <w:b w:val="0"/>
          <w:bCs w:val="0"/>
          <w:color w:val="FF0000"/>
          <w:szCs w:val="24"/>
        </w:rPr>
        <w:t>注：实际填报时，应按照中央、北京市相关工作要求据实填报。</w:t>
      </w:r>
    </w:p>
    <w:p w:rsidR="00F34C63" w:rsidRDefault="00B948EF">
      <w:pPr>
        <w:widowControl/>
        <w:jc w:val="center"/>
        <w:rPr>
          <w:b w:val="0"/>
          <w:bCs w:val="0"/>
          <w:color w:val="FF0000"/>
          <w:szCs w:val="24"/>
        </w:rPr>
      </w:pPr>
      <w:r>
        <w:rPr>
          <w:b w:val="0"/>
          <w:bCs w:val="0"/>
          <w:color w:val="FF0000"/>
          <w:szCs w:val="24"/>
        </w:rPr>
        <w:br w:type="page"/>
      </w:r>
      <w:r>
        <w:rPr>
          <w:rFonts w:ascii="宋体" w:hAnsi="宋体" w:cs="宋体" w:hint="eastAsia"/>
          <w:color w:val="000000"/>
          <w:kern w:val="0"/>
          <w:sz w:val="36"/>
          <w:szCs w:val="36"/>
        </w:rPr>
        <w:lastRenderedPageBreak/>
        <w:t>项目支出绩效评价评分表</w:t>
      </w:r>
    </w:p>
    <w:tbl>
      <w:tblPr>
        <w:tblW w:w="9259" w:type="dxa"/>
        <w:tblInd w:w="118" w:type="dxa"/>
        <w:tblLayout w:type="fixed"/>
        <w:tblLook w:val="04A0"/>
      </w:tblPr>
      <w:tblGrid>
        <w:gridCol w:w="719"/>
        <w:gridCol w:w="700"/>
        <w:gridCol w:w="720"/>
        <w:gridCol w:w="720"/>
        <w:gridCol w:w="700"/>
        <w:gridCol w:w="3200"/>
        <w:gridCol w:w="900"/>
        <w:gridCol w:w="1600"/>
      </w:tblGrid>
      <w:tr w:rsidR="00F34C63">
        <w:trPr>
          <w:trHeight w:val="61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一级指标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二级指标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分值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三级指标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分值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指标解释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得分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color w:val="000000"/>
                <w:kern w:val="0"/>
                <w:sz w:val="22"/>
                <w:szCs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2"/>
                <w:szCs w:val="24"/>
              </w:rPr>
              <w:t>扣分理由</w:t>
            </w:r>
          </w:p>
        </w:tc>
      </w:tr>
      <w:tr w:rsidR="00F34C63">
        <w:trPr>
          <w:trHeight w:val="540"/>
        </w:trPr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决策</w:t>
            </w:r>
          </w:p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(15分)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项目立项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立项依据充分性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项目立项是否符合法律法规、相关政策、发展规划以及部门职责，用以反映和考核项目立项依据情况。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  <w:r w:rsidR="00B948E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32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312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612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32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372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立项程序规范性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项目申请、设立过程是否符合相关要求，用以反映和考核项目立项的规范情况。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32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534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1661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绩效目标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5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绩效目标合理性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项目所设定的绩效目标是否依据充分，是否符合客观实际，用以反映和考核项目绩效目标与项目实施的相符情况。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  <w:r w:rsidR="00B948E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1357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绩效指标明确性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依据绩效目标设定的绩效指标是否清晰、细化、可衡量等，用以反映和考核项目绩效目标的明细化情况。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 w:rsidP="00813410">
            <w:pPr>
              <w:widowControl/>
              <w:ind w:firstLineChars="150" w:firstLine="270"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资金投入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预算编制科学性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项目预算编制是否经过科学论证、有明确标准，资金额度与年度目标是否相适应，用以反映和考核项目预算编制的科学性、合理性情况。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3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69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50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资金分配合理性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项目预算资金分配是否有测算依据，与补助单位或地方实际是否相适应，用以反映和考核项目预算资金分配的科学性、合理性情况。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89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528"/>
        </w:trPr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过程</w:t>
            </w:r>
          </w:p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资金管理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资金到位率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实际到位资金与预算资金的比率，用以反映和考核资金落实情况对项目实施的总体保障程度。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612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709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28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预算执行率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项目预算资金是否按照计划执行，用以反映或考核项目预算执行情况。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813410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424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68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资金使用合规性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项目资金使用是否符合相关的财务管理制度规定，用以反映和考核项目资金的规范运行情况。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组织实施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15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管理制度健全性</w:t>
            </w:r>
          </w:p>
        </w:tc>
        <w:tc>
          <w:tcPr>
            <w:tcW w:w="7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32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项目实施单位的财务和业务管理制度是否健全，用以反映和考核财务和业务管理制度对项目顺利实施的保障情况。</w:t>
            </w:r>
          </w:p>
        </w:tc>
        <w:tc>
          <w:tcPr>
            <w:tcW w:w="9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610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制度执行有效性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10　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项目实施是否符合相关管理规定，用以反映和考核相关管理制度的有效执行情况。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32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18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345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43"/>
        </w:trPr>
        <w:tc>
          <w:tcPr>
            <w:tcW w:w="71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产出</w:t>
            </w:r>
          </w:p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（30分）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产出数量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10</w:t>
            </w:r>
          </w:p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实际完成率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10</w:t>
            </w:r>
          </w:p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项目实施的实际产出数与计划产出数的比率，用以反映和考核项目产出数量目标的实现程度。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563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312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399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产出质量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10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质量达标率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10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项目完成的质量达标产出数与实际产出数的比率，用以反映和考核项目产出质量目标的实现程度。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10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1185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468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产出时效</w:t>
            </w:r>
          </w:p>
        </w:tc>
        <w:tc>
          <w:tcPr>
            <w:tcW w:w="72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5</w:t>
            </w:r>
          </w:p>
        </w:tc>
        <w:tc>
          <w:tcPr>
            <w:tcW w:w="7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完成及时性</w:t>
            </w:r>
          </w:p>
        </w:tc>
        <w:tc>
          <w:tcPr>
            <w:tcW w:w="7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5</w:t>
            </w:r>
          </w:p>
        </w:tc>
        <w:tc>
          <w:tcPr>
            <w:tcW w:w="32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项目实际完成时间与计划完成时间的比较，用以反映和考核项目产出时效目标的实现程度。</w:t>
            </w:r>
          </w:p>
        </w:tc>
        <w:tc>
          <w:tcPr>
            <w:tcW w:w="900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202D56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  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345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32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90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</w:tr>
      <w:tr w:rsidR="00F34C63">
        <w:trPr>
          <w:trHeight w:val="1606"/>
        </w:trPr>
        <w:tc>
          <w:tcPr>
            <w:tcW w:w="71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产出成本</w:t>
            </w: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5</w:t>
            </w:r>
          </w:p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7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成本节约率</w:t>
            </w:r>
          </w:p>
        </w:tc>
        <w:tc>
          <w:tcPr>
            <w:tcW w:w="70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32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完成项目计划工作目标的实际节约成本与计划成本的比率，用以反映和考核项目的成本节约程度。</w:t>
            </w:r>
          </w:p>
        </w:tc>
        <w:tc>
          <w:tcPr>
            <w:tcW w:w="9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</w:p>
        </w:tc>
        <w:tc>
          <w:tcPr>
            <w:tcW w:w="160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583"/>
        </w:trPr>
        <w:tc>
          <w:tcPr>
            <w:tcW w:w="719" w:type="dxa"/>
            <w:vMerge w:val="restart"/>
            <w:tcBorders>
              <w:top w:val="nil"/>
              <w:left w:val="single" w:sz="8" w:space="0" w:color="000000"/>
              <w:bottom w:val="single" w:sz="4" w:space="0" w:color="auto"/>
              <w:right w:val="nil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效益</w:t>
            </w:r>
          </w:p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（25分）　</w:t>
            </w:r>
          </w:p>
        </w:tc>
        <w:tc>
          <w:tcPr>
            <w:tcW w:w="7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项目效益　</w:t>
            </w:r>
          </w:p>
        </w:tc>
        <w:tc>
          <w:tcPr>
            <w:tcW w:w="720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25　</w:t>
            </w:r>
          </w:p>
        </w:tc>
        <w:tc>
          <w:tcPr>
            <w:tcW w:w="7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实施效益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20　</w:t>
            </w:r>
          </w:p>
        </w:tc>
        <w:tc>
          <w:tcPr>
            <w:tcW w:w="3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项目实施所产生的效益。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202D56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  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20</w:t>
            </w:r>
            <w:r w:rsidR="00B948E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624"/>
        </w:trPr>
        <w:tc>
          <w:tcPr>
            <w:tcW w:w="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F34C63">
            <w:pPr>
              <w:widowControl/>
              <w:jc w:val="left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F34C63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满意度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5　</w:t>
            </w:r>
          </w:p>
        </w:tc>
        <w:tc>
          <w:tcPr>
            <w:tcW w:w="3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社会公众或服务对象对项目实施效果的满意程度。</w:t>
            </w:r>
          </w:p>
        </w:tc>
        <w:tc>
          <w:tcPr>
            <w:tcW w:w="9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202D56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 </w:t>
            </w:r>
            <w:r w:rsidR="00813410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5</w:t>
            </w:r>
            <w:r w:rsidR="00B948EF"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  <w:tc>
          <w:tcPr>
            <w:tcW w:w="1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 xml:space="preserve">　</w:t>
            </w:r>
          </w:p>
        </w:tc>
      </w:tr>
      <w:tr w:rsidR="00F34C63">
        <w:trPr>
          <w:trHeight w:val="624"/>
        </w:trPr>
        <w:tc>
          <w:tcPr>
            <w:tcW w:w="67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34C63" w:rsidRDefault="00B948EF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合计（100分）</w:t>
            </w:r>
          </w:p>
        </w:tc>
        <w:tc>
          <w:tcPr>
            <w:tcW w:w="25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F34C63" w:rsidRDefault="00202D56">
            <w:pPr>
              <w:widowControl/>
              <w:jc w:val="center"/>
              <w:rPr>
                <w:rFonts w:ascii="宋体" w:hAnsi="宋体" w:cs="宋体"/>
                <w:b w:val="0"/>
                <w:bCs w:val="0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b w:val="0"/>
                <w:bCs w:val="0"/>
                <w:color w:val="000000"/>
                <w:kern w:val="0"/>
                <w:sz w:val="18"/>
                <w:szCs w:val="18"/>
              </w:rPr>
              <w:t>100</w:t>
            </w:r>
          </w:p>
        </w:tc>
      </w:tr>
    </w:tbl>
    <w:p w:rsidR="00F34C63" w:rsidRDefault="00F34C63">
      <w:pPr>
        <w:spacing w:line="360" w:lineRule="auto"/>
        <w:rPr>
          <w:b w:val="0"/>
          <w:bCs w:val="0"/>
          <w:szCs w:val="24"/>
        </w:rPr>
      </w:pPr>
    </w:p>
    <w:p w:rsidR="00F34C63" w:rsidRDefault="00B948EF">
      <w:pPr>
        <w:widowControl/>
        <w:jc w:val="left"/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F34C63" w:rsidRDefault="00B948EF">
      <w:pPr>
        <w:spacing w:line="560" w:lineRule="exact"/>
        <w:rPr>
          <w:rFonts w:ascii="黑体" w:eastAsia="黑体" w:hAnsi="黑体"/>
          <w:b w:val="0"/>
          <w:bCs w:val="0"/>
          <w:sz w:val="32"/>
          <w:szCs w:val="32"/>
        </w:rPr>
      </w:pPr>
      <w:r>
        <w:rPr>
          <w:rFonts w:ascii="黑体" w:eastAsia="黑体" w:hAnsi="黑体" w:hint="eastAsia"/>
          <w:b w:val="0"/>
          <w:bCs w:val="0"/>
          <w:sz w:val="32"/>
          <w:szCs w:val="32"/>
        </w:rPr>
        <w:lastRenderedPageBreak/>
        <w:t>附件3:</w:t>
      </w:r>
    </w:p>
    <w:p w:rsidR="00397136" w:rsidRDefault="00397136" w:rsidP="00D73E69">
      <w:pPr>
        <w:spacing w:line="560" w:lineRule="exact"/>
        <w:jc w:val="center"/>
        <w:rPr>
          <w:rFonts w:ascii="宋体" w:hAnsi="宋体"/>
          <w:sz w:val="36"/>
          <w:szCs w:val="36"/>
        </w:rPr>
      </w:pPr>
      <w:r w:rsidRPr="00397136">
        <w:rPr>
          <w:rFonts w:ascii="宋体" w:hAnsi="宋体" w:hint="eastAsia"/>
          <w:sz w:val="36"/>
          <w:szCs w:val="36"/>
        </w:rPr>
        <w:t>北京市</w:t>
      </w:r>
      <w:r w:rsidR="006856CC">
        <w:rPr>
          <w:rFonts w:ascii="宋体" w:hAnsi="宋体" w:hint="eastAsia"/>
          <w:sz w:val="36"/>
          <w:szCs w:val="36"/>
        </w:rPr>
        <w:t>王四营九方乐业劳务派遣</w:t>
      </w:r>
      <w:r w:rsidRPr="00397136">
        <w:rPr>
          <w:rFonts w:ascii="宋体" w:hAnsi="宋体" w:hint="eastAsia"/>
          <w:sz w:val="36"/>
          <w:szCs w:val="36"/>
        </w:rPr>
        <w:t>中心</w:t>
      </w:r>
    </w:p>
    <w:p w:rsidR="00D73E69" w:rsidRDefault="00D73E69" w:rsidP="00D73E69">
      <w:pPr>
        <w:spacing w:line="560" w:lineRule="exact"/>
        <w:jc w:val="center"/>
        <w:rPr>
          <w:rFonts w:ascii="宋体" w:hAnsi="宋体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关于2020年直达资金</w:t>
      </w:r>
    </w:p>
    <w:p w:rsidR="00D73E69" w:rsidRDefault="00D73E69" w:rsidP="00D73E69">
      <w:pPr>
        <w:spacing w:line="560" w:lineRule="exact"/>
        <w:jc w:val="center"/>
        <w:rPr>
          <w:rFonts w:asciiTheme="majorEastAsia" w:eastAsiaTheme="majorEastAsia" w:hAnsiTheme="majorEastAsia"/>
          <w:sz w:val="36"/>
          <w:szCs w:val="36"/>
        </w:rPr>
      </w:pPr>
      <w:r>
        <w:rPr>
          <w:rFonts w:ascii="宋体" w:hAnsi="宋体" w:hint="eastAsia"/>
          <w:sz w:val="36"/>
          <w:szCs w:val="36"/>
        </w:rPr>
        <w:t>绩效监控和绩效评价情况的总结</w:t>
      </w:r>
    </w:p>
    <w:p w:rsidR="00F34C63" w:rsidRDefault="00F34C63" w:rsidP="00D73E69">
      <w:pPr>
        <w:rPr>
          <w:rFonts w:ascii="仿宋_GB2312" w:eastAsia="仿宋_GB2312" w:hAnsi="仿宋_GB2312" w:cs="仿宋_GB2312"/>
          <w:b w:val="0"/>
          <w:bCs w:val="0"/>
          <w:sz w:val="32"/>
          <w:szCs w:val="32"/>
        </w:rPr>
      </w:pPr>
    </w:p>
    <w:p w:rsidR="00F34C63" w:rsidRDefault="00B948EF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bookmarkStart w:id="2" w:name="_Toc169183181"/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一、直达资金绩效管理工作组织实施情况</w:t>
      </w:r>
    </w:p>
    <w:p w:rsidR="00202D56" w:rsidRPr="00202D56" w:rsidRDefault="00BA24DA" w:rsidP="004C68D1">
      <w:pPr>
        <w:spacing w:line="520" w:lineRule="exact"/>
        <w:ind w:firstLineChars="200" w:firstLine="640"/>
        <w:rPr>
          <w:rFonts w:ascii="仿宋_GB2312" w:eastAsia="仿宋_GB2312" w:hAnsi="宋体"/>
          <w:b w:val="0"/>
          <w:bCs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sz w:val="32"/>
          <w:szCs w:val="32"/>
        </w:rPr>
        <w:t>北京市朝阳区</w:t>
      </w:r>
      <w:r w:rsidR="006856CC">
        <w:rPr>
          <w:rFonts w:ascii="仿宋" w:eastAsia="仿宋" w:hAnsi="仿宋" w:cs="仿宋" w:hint="eastAsia"/>
          <w:b w:val="0"/>
          <w:sz w:val="32"/>
          <w:szCs w:val="32"/>
        </w:rPr>
        <w:t>王四营乡人民政府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依照绩效考评相关规定，结合本部门内控管理办法，针对直达资金绩效跟踪工作进行分</w:t>
      </w:r>
      <w:r w:rsidR="00D73E69">
        <w:rPr>
          <w:rFonts w:eastAsia="仿宋_GB2312" w:hint="eastAsia"/>
          <w:b w:val="0"/>
          <w:bCs w:val="0"/>
          <w:sz w:val="32"/>
          <w:szCs w:val="32"/>
        </w:rPr>
        <w:t>类管理、专人负责，集体分工协作。在</w:t>
      </w:r>
      <w:r w:rsidR="006856CC">
        <w:rPr>
          <w:rFonts w:eastAsia="仿宋_GB2312" w:hint="eastAsia"/>
          <w:b w:val="0"/>
          <w:bCs w:val="0"/>
          <w:sz w:val="32"/>
          <w:szCs w:val="32"/>
        </w:rPr>
        <w:t>乡</w:t>
      </w:r>
      <w:r w:rsidR="00773815">
        <w:rPr>
          <w:rFonts w:eastAsia="仿宋_GB2312" w:hint="eastAsia"/>
          <w:b w:val="0"/>
          <w:bCs w:val="0"/>
          <w:sz w:val="32"/>
          <w:szCs w:val="32"/>
        </w:rPr>
        <w:t>党委、政府的领导下，</w:t>
      </w:r>
      <w:r w:rsidR="0039713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北京市</w:t>
      </w:r>
      <w:r w:rsidR="006856CC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王四营九方乐业劳务派遣</w:t>
      </w:r>
      <w:r w:rsidR="00397136">
        <w:rPr>
          <w:rFonts w:eastAsia="仿宋_GB2312" w:hint="eastAsia"/>
          <w:b w:val="0"/>
          <w:bCs w:val="0"/>
          <w:color w:val="000000" w:themeColor="text1"/>
          <w:sz w:val="32"/>
          <w:szCs w:val="32"/>
        </w:rPr>
        <w:t>中心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负责直达资金绩效跟踪工作，截至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2020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年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12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月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31</w:t>
      </w:r>
      <w:r w:rsidR="00202D56">
        <w:rPr>
          <w:rFonts w:eastAsia="仿宋_GB2312" w:hint="eastAsia"/>
          <w:b w:val="0"/>
          <w:bCs w:val="0"/>
          <w:sz w:val="32"/>
          <w:szCs w:val="32"/>
        </w:rPr>
        <w:t>日，资金按计划支出。</w:t>
      </w:r>
    </w:p>
    <w:p w:rsidR="004C68D1" w:rsidRDefault="00B948EF" w:rsidP="004C68D1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二、直达资金年度预算执行情况</w:t>
      </w:r>
    </w:p>
    <w:p w:rsidR="004C68D1" w:rsidRPr="00773815" w:rsidRDefault="006856CC" w:rsidP="00773815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王四营乡</w:t>
      </w:r>
      <w:r w:rsidR="004C68D1"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公益性就业组织于2020年</w:t>
      </w:r>
      <w:r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10</w:t>
      </w:r>
      <w:r w:rsidR="004C68D1"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月收到中央就业补助资金</w:t>
      </w:r>
      <w:r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15.45</w:t>
      </w:r>
      <w:r w:rsidR="004C68D1" w:rsidRPr="00773815">
        <w:rPr>
          <w:rFonts w:ascii="仿宋_GB2312" w:eastAsia="仿宋_GB2312" w:hAnsi="仿宋_GB2312" w:cs="仿宋_GB2312" w:hint="eastAsia"/>
          <w:b w:val="0"/>
          <w:bCs w:val="0"/>
          <w:color w:val="000000" w:themeColor="text1"/>
          <w:kern w:val="0"/>
          <w:sz w:val="32"/>
          <w:szCs w:val="32"/>
        </w:rPr>
        <w:t>万元</w:t>
      </w:r>
      <w:r w:rsidR="004C68D1" w:rsidRPr="00773815">
        <w:rPr>
          <w:rFonts w:ascii="仿宋_GB2312" w:eastAsia="仿宋_GB2312" w:hAnsi="仿宋_GB2312" w:cs="仿宋_GB2312" w:hint="eastAsia"/>
          <w:b w:val="0"/>
          <w:color w:val="000000" w:themeColor="text1"/>
          <w:kern w:val="0"/>
          <w:sz w:val="32"/>
          <w:szCs w:val="32"/>
        </w:rPr>
        <w:t>。</w:t>
      </w:r>
      <w:r w:rsidR="004C68D1" w:rsidRPr="00773815">
        <w:rPr>
          <w:rFonts w:ascii="仿宋_GB2312" w:eastAsia="仿宋_GB2312" w:hAnsi="宋体" w:hint="eastAsia"/>
          <w:b w:val="0"/>
          <w:bCs w:val="0"/>
          <w:sz w:val="32"/>
          <w:szCs w:val="32"/>
        </w:rPr>
        <w:t>截至2020年12月31日，中央就业补助资金</w:t>
      </w:r>
      <w:r w:rsidR="004C68D1" w:rsidRPr="00773815">
        <w:rPr>
          <w:rFonts w:eastAsia="仿宋_GB2312" w:hint="eastAsia"/>
          <w:b w:val="0"/>
          <w:bCs w:val="0"/>
          <w:sz w:val="32"/>
          <w:szCs w:val="32"/>
        </w:rPr>
        <w:t>已全额拨付，无结转结余情况。</w:t>
      </w:r>
    </w:p>
    <w:p w:rsidR="00F34C63" w:rsidRDefault="00B948EF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三、</w:t>
      </w:r>
      <w:bookmarkEnd w:id="2"/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直达资金绩效监控情况</w:t>
      </w:r>
    </w:p>
    <w:p w:rsidR="004C68D1" w:rsidRPr="004C68D1" w:rsidRDefault="004C68D1" w:rsidP="004C68D1">
      <w:pPr>
        <w:spacing w:line="520" w:lineRule="exact"/>
        <w:ind w:firstLineChars="200" w:firstLine="640"/>
        <w:rPr>
          <w:rFonts w:ascii="仿宋_GB2312" w:eastAsia="仿宋_GB2312" w:hAnsi="宋体"/>
          <w:b w:val="0"/>
          <w:bCs w:val="0"/>
          <w:sz w:val="32"/>
          <w:szCs w:val="32"/>
        </w:rPr>
      </w:pP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开展直达资金绩效监控的项目</w:t>
      </w:r>
      <w:r w:rsidR="00C924E0">
        <w:rPr>
          <w:rFonts w:ascii="仿宋_GB2312" w:eastAsia="仿宋_GB2312" w:hAnsi="宋体" w:hint="eastAsia"/>
          <w:b w:val="0"/>
          <w:bCs w:val="0"/>
          <w:sz w:val="32"/>
          <w:szCs w:val="32"/>
        </w:rPr>
        <w:t>1</w:t>
      </w: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个，金额</w:t>
      </w:r>
      <w:r w:rsidR="00773815">
        <w:rPr>
          <w:rFonts w:ascii="仿宋_GB2312" w:eastAsia="仿宋_GB2312" w:hAnsi="宋体" w:hint="eastAsia"/>
          <w:b w:val="0"/>
          <w:bCs w:val="0"/>
          <w:sz w:val="32"/>
          <w:szCs w:val="32"/>
        </w:rPr>
        <w:t>合计</w:t>
      </w: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为</w:t>
      </w:r>
      <w:r w:rsidR="006856CC">
        <w:rPr>
          <w:rFonts w:ascii="仿宋_GB2312" w:eastAsia="仿宋_GB2312" w:hAnsi="宋体" w:hint="eastAsia"/>
          <w:b w:val="0"/>
          <w:bCs w:val="0"/>
          <w:sz w:val="32"/>
          <w:szCs w:val="32"/>
        </w:rPr>
        <w:t>15.45</w:t>
      </w: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万元，绩效目标截至2020年12月31日已经完成。</w:t>
      </w:r>
    </w:p>
    <w:p w:rsidR="00F34C63" w:rsidRDefault="00B948EF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四、直达资金绩效评价情况</w:t>
      </w:r>
    </w:p>
    <w:p w:rsidR="004C68D1" w:rsidRDefault="004C68D1" w:rsidP="004C68D1">
      <w:pPr>
        <w:spacing w:line="520" w:lineRule="exact"/>
        <w:ind w:firstLineChars="200" w:firstLine="640"/>
        <w:rPr>
          <w:rFonts w:ascii="仿宋_GB2312" w:eastAsia="仿宋_GB2312" w:hAnsi="宋体"/>
          <w:b w:val="0"/>
          <w:bCs w:val="0"/>
          <w:sz w:val="32"/>
          <w:szCs w:val="32"/>
        </w:rPr>
      </w:pP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开展直达资金绩效评价的项目</w:t>
      </w:r>
      <w:r w:rsidR="00C924E0">
        <w:rPr>
          <w:rFonts w:ascii="仿宋_GB2312" w:eastAsia="仿宋_GB2312" w:hAnsi="宋体" w:hint="eastAsia"/>
          <w:b w:val="0"/>
          <w:bCs w:val="0"/>
          <w:sz w:val="32"/>
          <w:szCs w:val="32"/>
        </w:rPr>
        <w:t>1</w:t>
      </w: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个，金额</w:t>
      </w:r>
      <w:r w:rsidR="00773815">
        <w:rPr>
          <w:rFonts w:ascii="仿宋_GB2312" w:eastAsia="仿宋_GB2312" w:hAnsi="宋体" w:hint="eastAsia"/>
          <w:b w:val="0"/>
          <w:bCs w:val="0"/>
          <w:sz w:val="32"/>
          <w:szCs w:val="32"/>
        </w:rPr>
        <w:t>合计</w:t>
      </w:r>
      <w:r w:rsidR="006856CC">
        <w:rPr>
          <w:rFonts w:ascii="仿宋_GB2312" w:eastAsia="仿宋_GB2312" w:hAnsi="宋体" w:hint="eastAsia"/>
          <w:b w:val="0"/>
          <w:bCs w:val="0"/>
          <w:sz w:val="32"/>
          <w:szCs w:val="32"/>
        </w:rPr>
        <w:t>15.45</w:t>
      </w:r>
      <w:r>
        <w:rPr>
          <w:rFonts w:ascii="仿宋_GB2312" w:eastAsia="仿宋_GB2312" w:hAnsi="宋体" w:hint="eastAsia"/>
          <w:b w:val="0"/>
          <w:bCs w:val="0"/>
          <w:sz w:val="32"/>
          <w:szCs w:val="32"/>
        </w:rPr>
        <w:t>万元，绩效目标截至2020年12月31日已经完成。</w:t>
      </w:r>
    </w:p>
    <w:p w:rsidR="00F34C63" w:rsidRDefault="00B948EF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lastRenderedPageBreak/>
        <w:t>五、存在问题及原因分析</w:t>
      </w:r>
    </w:p>
    <w:p w:rsidR="004C68D1" w:rsidRDefault="004C68D1">
      <w:pPr>
        <w:keepNext/>
        <w:keepLines/>
        <w:snapToGrid w:val="0"/>
        <w:spacing w:line="520" w:lineRule="exact"/>
        <w:ind w:firstLineChars="200" w:firstLine="640"/>
        <w:outlineLvl w:val="0"/>
        <w:rPr>
          <w:rFonts w:eastAsia="仿宋_GB2312"/>
          <w:b w:val="0"/>
          <w:bCs w:val="0"/>
          <w:sz w:val="32"/>
          <w:szCs w:val="32"/>
        </w:rPr>
      </w:pPr>
      <w:bookmarkStart w:id="3" w:name="_Toc169183188"/>
      <w:r>
        <w:rPr>
          <w:rFonts w:eastAsia="仿宋_GB2312" w:hint="eastAsia"/>
          <w:b w:val="0"/>
          <w:bCs w:val="0"/>
          <w:sz w:val="32"/>
          <w:szCs w:val="32"/>
        </w:rPr>
        <w:t>直达资金均已按计划使用，阶段性项目绩效目标完成良好，预算执行绩效与绩效目标未发生偏离。</w:t>
      </w:r>
    </w:p>
    <w:p w:rsidR="00F34C63" w:rsidRDefault="00B948EF">
      <w:pPr>
        <w:keepNext/>
        <w:keepLines/>
        <w:snapToGrid w:val="0"/>
        <w:spacing w:line="520" w:lineRule="exact"/>
        <w:ind w:firstLineChars="200" w:firstLine="640"/>
        <w:outlineLvl w:val="0"/>
        <w:rPr>
          <w:rFonts w:ascii="黑体" w:eastAsia="黑体" w:hAnsi="黑体" w:cs="宋体"/>
          <w:b w:val="0"/>
          <w:kern w:val="0"/>
          <w:sz w:val="32"/>
          <w:szCs w:val="32"/>
        </w:rPr>
      </w:pPr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六、</w:t>
      </w:r>
      <w:bookmarkEnd w:id="3"/>
      <w:r>
        <w:rPr>
          <w:rFonts w:ascii="黑体" w:eastAsia="黑体" w:hAnsi="黑体" w:cs="宋体" w:hint="eastAsia"/>
          <w:b w:val="0"/>
          <w:kern w:val="0"/>
          <w:sz w:val="32"/>
          <w:szCs w:val="32"/>
        </w:rPr>
        <w:t>意见和建议</w:t>
      </w:r>
    </w:p>
    <w:p w:rsidR="00F34C63" w:rsidRDefault="004C68D1">
      <w:pPr>
        <w:keepNext/>
        <w:keepLines/>
        <w:snapToGrid w:val="0"/>
        <w:spacing w:line="520" w:lineRule="exact"/>
        <w:ind w:firstLineChars="200" w:firstLine="640"/>
        <w:outlineLvl w:val="0"/>
        <w:rPr>
          <w:b w:val="0"/>
        </w:rPr>
      </w:pPr>
      <w:bookmarkStart w:id="4" w:name="_Toc169183194"/>
      <w:r>
        <w:rPr>
          <w:rFonts w:eastAsia="仿宋_GB2312" w:hint="eastAsia"/>
          <w:b w:val="0"/>
          <w:bCs w:val="0"/>
          <w:sz w:val="32"/>
          <w:szCs w:val="32"/>
        </w:rPr>
        <w:t>针对下一步绩效跟踪工作，一是进一步加强与上级有关部门沟通，细化资金支出计划，增强计划灵活性与应变能力；二是深化项目事中、事后绩效考评，着力侧重资金使用针对性、实效性。</w:t>
      </w:r>
      <w:r w:rsidR="00B948EF">
        <w:rPr>
          <w:rFonts w:ascii="黑体" w:eastAsia="黑体" w:hAnsi="黑体" w:cs="宋体" w:hint="eastAsia"/>
          <w:b w:val="0"/>
          <w:kern w:val="0"/>
          <w:sz w:val="32"/>
          <w:szCs w:val="32"/>
        </w:rPr>
        <w:t>七、</w:t>
      </w:r>
      <w:bookmarkEnd w:id="4"/>
      <w:r w:rsidR="00B948EF">
        <w:rPr>
          <w:rFonts w:ascii="黑体" w:eastAsia="黑体" w:hAnsi="黑体" w:cs="宋体" w:hint="eastAsia"/>
          <w:b w:val="0"/>
          <w:kern w:val="0"/>
          <w:sz w:val="32"/>
          <w:szCs w:val="32"/>
        </w:rPr>
        <w:t>其他需要说明的问题</w:t>
      </w:r>
      <w:bookmarkStart w:id="5" w:name="chaosong"/>
      <w:bookmarkEnd w:id="5"/>
    </w:p>
    <w:p w:rsidR="00F34C63" w:rsidRDefault="004C68D1" w:rsidP="004C68D1">
      <w:pPr>
        <w:tabs>
          <w:tab w:val="center" w:pos="4422"/>
          <w:tab w:val="right" w:pos="8844"/>
        </w:tabs>
        <w:ind w:firstLineChars="200" w:firstLine="640"/>
        <w:rPr>
          <w:rFonts w:eastAsia="仿宋_GB2312"/>
          <w:b w:val="0"/>
          <w:sz w:val="32"/>
          <w:szCs w:val="32"/>
        </w:rPr>
      </w:pPr>
      <w:r>
        <w:rPr>
          <w:rFonts w:eastAsia="仿宋_GB2312" w:hint="eastAsia"/>
          <w:b w:val="0"/>
          <w:sz w:val="32"/>
          <w:szCs w:val="32"/>
        </w:rPr>
        <w:t>无</w:t>
      </w:r>
    </w:p>
    <w:p w:rsidR="004C68D1" w:rsidRDefault="004C68D1" w:rsidP="004C68D1">
      <w:pPr>
        <w:tabs>
          <w:tab w:val="center" w:pos="4422"/>
          <w:tab w:val="right" w:pos="8844"/>
        </w:tabs>
        <w:ind w:firstLineChars="200" w:firstLine="640"/>
        <w:rPr>
          <w:rFonts w:eastAsia="仿宋_GB2312"/>
          <w:b w:val="0"/>
          <w:sz w:val="32"/>
          <w:szCs w:val="32"/>
        </w:rPr>
      </w:pPr>
    </w:p>
    <w:p w:rsidR="004C68D1" w:rsidRDefault="004C68D1" w:rsidP="004C68D1">
      <w:pPr>
        <w:tabs>
          <w:tab w:val="center" w:pos="4422"/>
          <w:tab w:val="right" w:pos="8844"/>
        </w:tabs>
        <w:ind w:firstLineChars="200" w:firstLine="640"/>
        <w:rPr>
          <w:rFonts w:eastAsia="仿宋_GB2312"/>
          <w:b w:val="0"/>
          <w:sz w:val="32"/>
          <w:szCs w:val="32"/>
        </w:rPr>
      </w:pPr>
    </w:p>
    <w:p w:rsidR="004C68D1" w:rsidRDefault="004C68D1" w:rsidP="004C68D1">
      <w:pPr>
        <w:tabs>
          <w:tab w:val="center" w:pos="4422"/>
          <w:tab w:val="right" w:pos="8844"/>
        </w:tabs>
        <w:ind w:firstLineChars="200" w:firstLine="640"/>
        <w:rPr>
          <w:rFonts w:eastAsia="仿宋_GB2312"/>
          <w:b w:val="0"/>
          <w:sz w:val="32"/>
          <w:szCs w:val="32"/>
        </w:rPr>
      </w:pPr>
    </w:p>
    <w:p w:rsidR="004C68D1" w:rsidRDefault="004C68D1" w:rsidP="004C68D1">
      <w:pPr>
        <w:spacing w:line="560" w:lineRule="exact"/>
        <w:jc w:val="right"/>
        <w:rPr>
          <w:rFonts w:ascii="仿宋" w:eastAsia="仿宋" w:hAnsi="仿宋" w:cs="仿宋"/>
          <w:b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sz w:val="32"/>
          <w:szCs w:val="32"/>
        </w:rPr>
        <w:t xml:space="preserve">  北京市朝阳区</w:t>
      </w:r>
      <w:r w:rsidR="006856CC">
        <w:rPr>
          <w:rFonts w:ascii="仿宋" w:eastAsia="仿宋" w:hAnsi="仿宋" w:cs="仿宋" w:hint="eastAsia"/>
          <w:b w:val="0"/>
          <w:sz w:val="32"/>
          <w:szCs w:val="32"/>
        </w:rPr>
        <w:t>王四营乡人民政府</w:t>
      </w:r>
    </w:p>
    <w:p w:rsidR="004C68D1" w:rsidRDefault="004C68D1" w:rsidP="004C68D1">
      <w:pPr>
        <w:spacing w:line="560" w:lineRule="exact"/>
        <w:rPr>
          <w:rFonts w:ascii="仿宋" w:eastAsia="仿宋" w:hAnsi="仿宋" w:cs="仿宋"/>
          <w:b w:val="0"/>
          <w:sz w:val="32"/>
          <w:szCs w:val="32"/>
        </w:rPr>
      </w:pPr>
      <w:r>
        <w:rPr>
          <w:rFonts w:ascii="仿宋" w:eastAsia="仿宋" w:hAnsi="仿宋" w:cs="仿宋" w:hint="eastAsia"/>
          <w:b w:val="0"/>
          <w:sz w:val="32"/>
          <w:szCs w:val="32"/>
        </w:rPr>
        <w:t xml:space="preserve">                                2021年</w:t>
      </w:r>
      <w:r w:rsidR="006856CC">
        <w:rPr>
          <w:rFonts w:ascii="仿宋" w:eastAsia="仿宋" w:hAnsi="仿宋" w:cs="仿宋" w:hint="eastAsia"/>
          <w:b w:val="0"/>
          <w:sz w:val="32"/>
          <w:szCs w:val="32"/>
        </w:rPr>
        <w:t>3</w:t>
      </w:r>
      <w:r>
        <w:rPr>
          <w:rFonts w:ascii="仿宋" w:eastAsia="仿宋" w:hAnsi="仿宋" w:cs="仿宋" w:hint="eastAsia"/>
          <w:b w:val="0"/>
          <w:sz w:val="32"/>
          <w:szCs w:val="32"/>
        </w:rPr>
        <w:t>月</w:t>
      </w:r>
      <w:r w:rsidR="006856CC">
        <w:rPr>
          <w:rFonts w:ascii="仿宋" w:eastAsia="仿宋" w:hAnsi="仿宋" w:cs="仿宋" w:hint="eastAsia"/>
          <w:b w:val="0"/>
          <w:sz w:val="32"/>
          <w:szCs w:val="32"/>
        </w:rPr>
        <w:t>5</w:t>
      </w:r>
      <w:r>
        <w:rPr>
          <w:rFonts w:ascii="仿宋" w:eastAsia="仿宋" w:hAnsi="仿宋" w:cs="仿宋" w:hint="eastAsia"/>
          <w:b w:val="0"/>
          <w:sz w:val="32"/>
          <w:szCs w:val="32"/>
        </w:rPr>
        <w:t>日</w:t>
      </w:r>
    </w:p>
    <w:p w:rsidR="004C68D1" w:rsidRDefault="004C68D1" w:rsidP="004C68D1">
      <w:pPr>
        <w:tabs>
          <w:tab w:val="center" w:pos="4422"/>
          <w:tab w:val="right" w:pos="8844"/>
        </w:tabs>
        <w:ind w:firstLineChars="200" w:firstLine="640"/>
        <w:rPr>
          <w:rFonts w:eastAsia="仿宋_GB2312"/>
          <w:b w:val="0"/>
          <w:sz w:val="32"/>
          <w:szCs w:val="32"/>
        </w:rPr>
      </w:pPr>
    </w:p>
    <w:p w:rsidR="00F34C63" w:rsidRDefault="00F34C63">
      <w:pPr>
        <w:spacing w:line="560" w:lineRule="exact"/>
        <w:rPr>
          <w:rFonts w:ascii="黑体" w:eastAsia="黑体" w:hAnsiTheme="majorEastAsia"/>
          <w:b w:val="0"/>
          <w:sz w:val="32"/>
          <w:szCs w:val="32"/>
        </w:rPr>
      </w:pPr>
    </w:p>
    <w:sectPr w:rsidR="00F34C63" w:rsidSect="00F34C63">
      <w:pgSz w:w="11906" w:h="16838"/>
      <w:pgMar w:top="1418" w:right="1418" w:bottom="1418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F2ED2" w:rsidRDefault="003F2ED2" w:rsidP="00F9043C">
      <w:r>
        <w:separator/>
      </w:r>
    </w:p>
  </w:endnote>
  <w:endnote w:type="continuationSeparator" w:id="1">
    <w:p w:rsidR="003F2ED2" w:rsidRDefault="003F2ED2" w:rsidP="00F9043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F2ED2" w:rsidRDefault="003F2ED2" w:rsidP="00F9043C">
      <w:r>
        <w:separator/>
      </w:r>
    </w:p>
  </w:footnote>
  <w:footnote w:type="continuationSeparator" w:id="1">
    <w:p w:rsidR="003F2ED2" w:rsidRDefault="003F2ED2" w:rsidP="00F9043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EC3709"/>
    <w:multiLevelType w:val="singleLevel"/>
    <w:tmpl w:val="5FEC3709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bordersDoNotSurroundHeader/>
  <w:bordersDoNotSurroundFooter/>
  <w:defaultTabStop w:val="420"/>
  <w:drawingGridHorizontalSpacing w:val="211"/>
  <w:drawingGridVerticalSpacing w:val="156"/>
  <w:displayHorizontalDrawingGridEvery w:val="0"/>
  <w:displayVerticalDrawingGridEvery w:val="2"/>
  <w:characterSpacingControl w:val="compressPunctuation"/>
  <w:hdrShapeDefaults>
    <o:shapedefaults v:ext="edit" spidmax="30722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03B81"/>
    <w:rsid w:val="000465D0"/>
    <w:rsid w:val="000867E1"/>
    <w:rsid w:val="000A072A"/>
    <w:rsid w:val="000A2DD7"/>
    <w:rsid w:val="000E350A"/>
    <w:rsid w:val="001056A2"/>
    <w:rsid w:val="00114092"/>
    <w:rsid w:val="00127DDC"/>
    <w:rsid w:val="00140263"/>
    <w:rsid w:val="0016405C"/>
    <w:rsid w:val="0018244C"/>
    <w:rsid w:val="001A04F4"/>
    <w:rsid w:val="001A62C1"/>
    <w:rsid w:val="001C0326"/>
    <w:rsid w:val="001C6B51"/>
    <w:rsid w:val="001D1996"/>
    <w:rsid w:val="00202D56"/>
    <w:rsid w:val="00203B81"/>
    <w:rsid w:val="00264FAA"/>
    <w:rsid w:val="002B287A"/>
    <w:rsid w:val="002B6651"/>
    <w:rsid w:val="002F0166"/>
    <w:rsid w:val="00313158"/>
    <w:rsid w:val="003270C8"/>
    <w:rsid w:val="00347C0F"/>
    <w:rsid w:val="00352360"/>
    <w:rsid w:val="003607AC"/>
    <w:rsid w:val="00370915"/>
    <w:rsid w:val="003720F5"/>
    <w:rsid w:val="00376B71"/>
    <w:rsid w:val="00391044"/>
    <w:rsid w:val="00397136"/>
    <w:rsid w:val="003D6286"/>
    <w:rsid w:val="003F2ED2"/>
    <w:rsid w:val="003F4CCC"/>
    <w:rsid w:val="00427DB0"/>
    <w:rsid w:val="0045775B"/>
    <w:rsid w:val="004943A1"/>
    <w:rsid w:val="004C68D1"/>
    <w:rsid w:val="004D69EF"/>
    <w:rsid w:val="00511D83"/>
    <w:rsid w:val="005158EE"/>
    <w:rsid w:val="00550F8E"/>
    <w:rsid w:val="005A234A"/>
    <w:rsid w:val="005B01CC"/>
    <w:rsid w:val="005D0CB8"/>
    <w:rsid w:val="00621510"/>
    <w:rsid w:val="00621C9C"/>
    <w:rsid w:val="00635DFB"/>
    <w:rsid w:val="00673444"/>
    <w:rsid w:val="00680FCD"/>
    <w:rsid w:val="00682D7F"/>
    <w:rsid w:val="006856CC"/>
    <w:rsid w:val="0073505B"/>
    <w:rsid w:val="00773815"/>
    <w:rsid w:val="007918E4"/>
    <w:rsid w:val="007A0B89"/>
    <w:rsid w:val="007A3104"/>
    <w:rsid w:val="007D2433"/>
    <w:rsid w:val="007E00F5"/>
    <w:rsid w:val="007F20D9"/>
    <w:rsid w:val="00811202"/>
    <w:rsid w:val="00813410"/>
    <w:rsid w:val="0081709E"/>
    <w:rsid w:val="00824CFD"/>
    <w:rsid w:val="00832FAA"/>
    <w:rsid w:val="0084061A"/>
    <w:rsid w:val="008418F8"/>
    <w:rsid w:val="00855A7C"/>
    <w:rsid w:val="00865E55"/>
    <w:rsid w:val="00875BF7"/>
    <w:rsid w:val="008766D7"/>
    <w:rsid w:val="008845E6"/>
    <w:rsid w:val="008F649A"/>
    <w:rsid w:val="00937139"/>
    <w:rsid w:val="00950B47"/>
    <w:rsid w:val="00994C02"/>
    <w:rsid w:val="009A6BE3"/>
    <w:rsid w:val="009A78D5"/>
    <w:rsid w:val="009B4DB8"/>
    <w:rsid w:val="009B53DD"/>
    <w:rsid w:val="009F6C31"/>
    <w:rsid w:val="00A07E99"/>
    <w:rsid w:val="00A23465"/>
    <w:rsid w:val="00A2745B"/>
    <w:rsid w:val="00A3235D"/>
    <w:rsid w:val="00A54F72"/>
    <w:rsid w:val="00A559D3"/>
    <w:rsid w:val="00A5737C"/>
    <w:rsid w:val="00A64D8C"/>
    <w:rsid w:val="00AB34E8"/>
    <w:rsid w:val="00AC19ED"/>
    <w:rsid w:val="00AD4096"/>
    <w:rsid w:val="00B61935"/>
    <w:rsid w:val="00B635E5"/>
    <w:rsid w:val="00B948EF"/>
    <w:rsid w:val="00BA24DA"/>
    <w:rsid w:val="00BC7E5D"/>
    <w:rsid w:val="00BD7696"/>
    <w:rsid w:val="00BE51A1"/>
    <w:rsid w:val="00BF20B7"/>
    <w:rsid w:val="00C11EEA"/>
    <w:rsid w:val="00C3775A"/>
    <w:rsid w:val="00C571C2"/>
    <w:rsid w:val="00C727AA"/>
    <w:rsid w:val="00C924E0"/>
    <w:rsid w:val="00CD41C9"/>
    <w:rsid w:val="00D404C5"/>
    <w:rsid w:val="00D61AC2"/>
    <w:rsid w:val="00D73E69"/>
    <w:rsid w:val="00DA06CB"/>
    <w:rsid w:val="00DD5DB9"/>
    <w:rsid w:val="00DE442D"/>
    <w:rsid w:val="00DF5C6C"/>
    <w:rsid w:val="00E11EE2"/>
    <w:rsid w:val="00E501B6"/>
    <w:rsid w:val="00E661CF"/>
    <w:rsid w:val="00E753FE"/>
    <w:rsid w:val="00E85749"/>
    <w:rsid w:val="00E916C9"/>
    <w:rsid w:val="00EB47F0"/>
    <w:rsid w:val="00F03E1D"/>
    <w:rsid w:val="00F24718"/>
    <w:rsid w:val="00F31138"/>
    <w:rsid w:val="00F34C63"/>
    <w:rsid w:val="00F3582B"/>
    <w:rsid w:val="00F77A2F"/>
    <w:rsid w:val="00F9043C"/>
    <w:rsid w:val="00F92AFB"/>
    <w:rsid w:val="00FC3AF2"/>
    <w:rsid w:val="00FD2D40"/>
    <w:rsid w:val="00FD2F20"/>
    <w:rsid w:val="00FF3BAC"/>
    <w:rsid w:val="04F26986"/>
    <w:rsid w:val="08E03B25"/>
    <w:rsid w:val="11C564EB"/>
    <w:rsid w:val="25FA0793"/>
    <w:rsid w:val="3C2D4873"/>
    <w:rsid w:val="673D71AC"/>
    <w:rsid w:val="77005F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22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63"/>
    <w:pPr>
      <w:widowControl w:val="0"/>
      <w:jc w:val="both"/>
    </w:pPr>
    <w:rPr>
      <w:rFonts w:ascii="Times New Roman" w:eastAsia="宋体" w:hAnsi="Times New Roman" w:cs="Times New Roman"/>
      <w:b/>
      <w:bCs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qFormat/>
    <w:rsid w:val="00F34C63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rsid w:val="00F34C6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b w:val="0"/>
      <w:bCs w:val="0"/>
      <w:sz w:val="18"/>
      <w:szCs w:val="18"/>
    </w:rPr>
  </w:style>
  <w:style w:type="character" w:customStyle="1" w:styleId="Char0">
    <w:name w:val="页眉 Char"/>
    <w:basedOn w:val="a0"/>
    <w:link w:val="a4"/>
    <w:uiPriority w:val="99"/>
    <w:qFormat/>
    <w:rsid w:val="00F34C63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qFormat/>
    <w:rsid w:val="00F34C6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0D5534F0-AEB5-4AC6-97F4-B00E1F48D50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8</Pages>
  <Words>561</Words>
  <Characters>3202</Characters>
  <Application>Microsoft Office Word</Application>
  <DocSecurity>0</DocSecurity>
  <Lines>26</Lines>
  <Paragraphs>7</Paragraphs>
  <ScaleCrop>false</ScaleCrop>
  <Company>China</Company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Microsoft</cp:lastModifiedBy>
  <cp:revision>5</cp:revision>
  <cp:lastPrinted>2021-01-15T05:44:00Z</cp:lastPrinted>
  <dcterms:created xsi:type="dcterms:W3CDTF">2021-03-05T02:17:00Z</dcterms:created>
  <dcterms:modified xsi:type="dcterms:W3CDTF">2021-03-11T06:51:00Z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