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病媒消杀经费项目支出绩效评价报告</w:t>
      </w:r>
    </w:p>
    <w:p>
      <w:pPr>
        <w:jc w:val="center"/>
        <w:rPr>
          <w:rFonts w:ascii="仿宋_GB2312" w:eastAsia="仿宋_GB2312"/>
          <w:sz w:val="32"/>
          <w:szCs w:val="32"/>
        </w:rPr>
      </w:pP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为切实做好病媒生物防治工作，安贞街道2024年聘请专业的病媒生物防制公司（即pco公司），针对不同环境及重点行业开展病媒生物消杀、孳生地调查治理、密度监测、宣传培训、安装和维护防蝇设施、梳理病媒生物防制工作档案等内容，开展病媒生物综合防制服务项目工作。资金投入40.46万元。通过降低病媒生物传播疾病风险，积极改善环境卫生状况有效控制病媒生物密度和滋生率，筑牢公共卫生安全防护网，助力文明城区建设，确保创卫复审顺利验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安贞街道2024年病媒生物综合防制服务项目对10个社区内老旧小区和公共区域（面积合计约1920000平米）、道路、公园绿地等进行日常消杀控制，孳生地调查治理、结合春季统一灭鼠、夏季统一灭蚊蝇、秋冬季统一灭蟑鼠和越冬蚊等市区统一要求开展专项病媒消杀控制活动，病媒生物日常密度监测。应急消杀及宣传培训配套服务包括公共区域以及特殊家庭应急消杀、重大活动保障点位周边的应急消杀、协助街道开展病媒生物知识培训和宣传活动、安装和维护防蝇设施、梳理病媒生物防制工作档案。质量达到国家C级标准，居民满意度达到80%以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为提升预算管理水平、增强资金支出责任、节约公共支出成本,提高公共产品的服务质量，从成本、产出、效益、满意度等方面对病媒消杀经费全年的使用情况展开绩效评价工作。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（二）绩效评价原则、评价指标体系、评价方法、评价标准等。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病媒消杀经费绩效评价原则包含：目标导向原则。以公共服务的需求为导向，确保病媒消杀经费预算安排与绩效目标紧密相连；系统性原则。对病媒消杀经费使用全过程，包括预算编制、执行、监督和结果反馈等各个环节；公正公开原则。确保评价结果的公正性和客观性；定量与定性相结合原则。全面反映预算绩效的多个方面；经济性原则。注重病媒消杀经费的成本效益分析，确保评价活动本身的投入与产出相匹配，避免资源的浪费；可操作性原则。方法和指标应具有可操作性，能够在病媒消杀实际工作中有效应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楷体_GB2312" w:hAnsi="楷体_GB2312" w:eastAsia="楷体_GB2312" w:cs="楷体_GB2312"/>
          <w:sz w:val="32"/>
          <w:szCs w:val="32"/>
          <w:highlight w:val="none"/>
          <w:lang w:eastAsia="zh-CN"/>
        </w:rPr>
      </w:pPr>
      <w:r>
        <w:rPr>
          <w:rFonts w:hint="eastAsia" w:ascii="仿宋_GB2312" w:hAnsi="仿宋" w:eastAsia="仿宋_GB2312" w:cs="仿宋"/>
          <w:color w:val="auto"/>
          <w:sz w:val="32"/>
          <w:szCs w:val="32"/>
          <w:lang w:val="en-US" w:eastAsia="zh-CN"/>
        </w:rPr>
        <w:t>评价指标体系：</w:t>
      </w:r>
    </w:p>
    <w:tbl>
      <w:tblPr>
        <w:tblStyle w:val="6"/>
        <w:tblW w:w="763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78"/>
        <w:gridCol w:w="1800"/>
        <w:gridCol w:w="1665"/>
        <w:gridCol w:w="810"/>
        <w:gridCol w:w="645"/>
        <w:gridCol w:w="900"/>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95"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一级指标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二级指标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三级指标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指标性质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指标值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度量单位</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b/>
                <w:i w:val="0"/>
                <w:color w:val="000000"/>
                <w:sz w:val="18"/>
                <w:szCs w:val="18"/>
                <w:highlight w:val="none"/>
                <w:u w:val="none"/>
              </w:rPr>
            </w:pPr>
            <w:r>
              <w:rPr>
                <w:rFonts w:hint="default" w:ascii="等线" w:hAnsi="等线" w:eastAsia="等线" w:cs="等线"/>
                <w:b/>
                <w:i w:val="0"/>
                <w:color w:val="000000"/>
                <w:kern w:val="0"/>
                <w:sz w:val="18"/>
                <w:szCs w:val="18"/>
                <w:highlight w:val="none"/>
                <w:u w:val="none"/>
                <w:lang w:val="en-US" w:eastAsia="zh-CN" w:bidi="ar"/>
              </w:rPr>
              <w:t>权重（%）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产出指标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数量指标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10</w:t>
            </w:r>
            <w:r>
              <w:rPr>
                <w:rFonts w:hint="eastAsia" w:ascii="等线" w:hAnsi="等线" w:eastAsia="等线" w:cs="等线"/>
                <w:i w:val="0"/>
                <w:color w:val="000000"/>
                <w:kern w:val="0"/>
                <w:sz w:val="18"/>
                <w:szCs w:val="18"/>
                <w:highlight w:val="none"/>
                <w:u w:val="none"/>
                <w:lang w:val="en-US" w:eastAsia="zh-CN" w:bidi="ar"/>
              </w:rPr>
              <w:t>个</w:t>
            </w:r>
            <w:r>
              <w:rPr>
                <w:rFonts w:hint="default" w:ascii="等线" w:hAnsi="等线" w:eastAsia="等线" w:cs="等线"/>
                <w:i w:val="0"/>
                <w:color w:val="000000"/>
                <w:kern w:val="0"/>
                <w:sz w:val="18"/>
                <w:szCs w:val="18"/>
                <w:highlight w:val="none"/>
                <w:u w:val="none"/>
                <w:lang w:val="en-US" w:eastAsia="zh-CN" w:bidi="ar"/>
              </w:rPr>
              <w:t>社区病媒防制</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个</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产出指标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质量指标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达到国家</w:t>
            </w:r>
            <w:r>
              <w:rPr>
                <w:rFonts w:hint="default" w:ascii="Times New Roman" w:hAnsi="Times New Roman" w:eastAsia="等线" w:cs="Times New Roman"/>
                <w:i w:val="0"/>
                <w:color w:val="000000"/>
                <w:kern w:val="0"/>
                <w:sz w:val="18"/>
                <w:szCs w:val="18"/>
                <w:highlight w:val="none"/>
                <w:u w:val="none"/>
                <w:lang w:val="en-US" w:eastAsia="zh-CN" w:bidi="ar"/>
              </w:rPr>
              <w:t>C</w:t>
            </w:r>
            <w:r>
              <w:rPr>
                <w:rFonts w:hint="default" w:ascii="等线" w:hAnsi="等线" w:eastAsia="等线" w:cs="等线"/>
                <w:i w:val="0"/>
                <w:color w:val="000000"/>
                <w:kern w:val="0"/>
                <w:sz w:val="18"/>
                <w:szCs w:val="18"/>
                <w:highlight w:val="none"/>
                <w:u w:val="none"/>
                <w:lang w:val="en-US" w:eastAsia="zh-CN" w:bidi="ar"/>
              </w:rPr>
              <w:t>级标准</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级</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产出指标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时效指标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全年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年</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效益指标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生态效益指标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达到国家</w:t>
            </w:r>
            <w:r>
              <w:rPr>
                <w:rFonts w:hint="default" w:ascii="Times New Roman" w:hAnsi="Times New Roman" w:eastAsia="等线" w:cs="Times New Roman"/>
                <w:i w:val="0"/>
                <w:color w:val="000000"/>
                <w:kern w:val="0"/>
                <w:sz w:val="18"/>
                <w:szCs w:val="18"/>
                <w:highlight w:val="none"/>
                <w:u w:val="none"/>
                <w:lang w:val="en-US" w:eastAsia="zh-CN" w:bidi="ar"/>
              </w:rPr>
              <w:t>C</w:t>
            </w:r>
            <w:r>
              <w:rPr>
                <w:rFonts w:hint="default" w:ascii="等线" w:hAnsi="等线" w:eastAsia="等线" w:cs="等线"/>
                <w:i w:val="0"/>
                <w:color w:val="000000"/>
                <w:kern w:val="0"/>
                <w:sz w:val="18"/>
                <w:szCs w:val="18"/>
                <w:highlight w:val="none"/>
                <w:u w:val="none"/>
                <w:lang w:val="en-US" w:eastAsia="zh-CN" w:bidi="ar"/>
              </w:rPr>
              <w:t>级标准</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级</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满意度指标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服务对象满意度指标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居民群众满意度</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80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成本指标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经济成本指标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经济成本控制</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90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等线" w:hAnsi="等线" w:eastAsia="等线" w:cs="等线"/>
                <w:i w:val="0"/>
                <w:color w:val="000000"/>
                <w:sz w:val="18"/>
                <w:szCs w:val="18"/>
                <w:highlight w:val="none"/>
                <w:u w:val="none"/>
              </w:rPr>
            </w:pPr>
            <w:r>
              <w:rPr>
                <w:rFonts w:hint="default" w:ascii="Times New Roman" w:hAnsi="Times New Roman" w:eastAsia="等线" w:cs="Times New Roman"/>
                <w:i w:val="0"/>
                <w:color w:val="000000"/>
                <w:kern w:val="0"/>
                <w:sz w:val="18"/>
                <w:szCs w:val="18"/>
                <w:highlight w:val="none"/>
                <w:u w:val="none"/>
                <w:lang w:val="en-US" w:eastAsia="zh-CN" w:bidi="ar"/>
              </w:rPr>
              <w:t>20</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评价方法包括：成本效益分析。通过比较病媒消杀经费的投入与产出的效益，评估经费使用的经济性。具体指标包括消杀成本、疾病控制率等；对比分析：与去年同期的预算执行情况、经费使用情况进行对比，评估本年情况；公众满意度调查。收集公众对病媒消杀工作的满意度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评价标准包含：经济性标准。病媒消杀经费的投入应合理控制，避免浪费。同时，应注重成本效益，确保经费使用的经济效益最大化；效率性标准。病媒消杀工作应高效开展，确保消杀工作的及时性和有效性。具体指标包括消杀覆盖率、响应时间等；效果性标准。病媒消杀工作应取得显著成效，有效减少病媒生物的数量和传播疾病的风险，具体指标包括病媒生物密度等；可持续性标准。病媒消杀工作应具有可持续性，能够长期维护消杀效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（三</w:t>
      </w:r>
      <w:bookmarkStart w:id="0" w:name="_GoBack"/>
      <w:bookmarkEnd w:id="0"/>
      <w:r>
        <w:rPr>
          <w:rFonts w:hint="eastAsia" w:ascii="仿宋_GB2312" w:hAnsi="仿宋" w:eastAsia="仿宋_GB2312" w:cs="仿宋"/>
          <w:color w:val="auto"/>
          <w:sz w:val="32"/>
          <w:szCs w:val="32"/>
          <w:lang w:val="en-US" w:eastAsia="zh-CN"/>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在编制病媒消杀经费预算编制阶段，确定评价对象和目标以及建立评价指标体系。明确病媒消杀经费绩效评价的目标，确保评价工作有针对性。根据评价对象和目标，设计合理的绩效评价指标，充分反映病媒消杀经费使用的各个方面，包括经济性、效益性和满意度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在病媒消杀经费绩效评价阶段，收集从相关科室收集与病媒消杀经费相关的数据和信息，包括财务数据、项目资料、政策文件等。对收集到的数据和信息进行分析，评估预算绩效的达成情况，找出存在的问题和不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在病媒消杀经费绩效评价阶段后形成病媒消杀经费评价报告，客观反映评价对象的绩效情况，提出改进意见和建议。将评价报告反馈给相关科室和单位，督促其根据评价结果进行整改和改进，提高预算绩效水平。</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w:t>
      </w:r>
    </w:p>
    <w:p>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 w:eastAsia="仿宋_GB2312" w:cs="仿宋"/>
          <w:color w:val="auto"/>
          <w:sz w:val="32"/>
          <w:szCs w:val="32"/>
          <w:lang w:val="en-US" w:eastAsia="zh-CN"/>
        </w:rPr>
        <w:t>安贞街道2024年病媒生物综合防制服务项目通过进行系列病媒生物防制措施，有效控制病媒生物密度，减少病媒生物对辖区居民造成的侵扰，保护辖区居民的身体健康，各项病媒生物密度均达到国家A级标准。社区满意度调查满意率达到80%。应急消杀保障特殊群体实际需求，有效降低12345投诉率。通过病媒生物密度监测更好的了解辖区病媒生物的种类、密度和分布情况，建立长期有效的病媒生物防制工作机制，及时控制了病媒生物侵害事件发生风险，保障了广大人民群众的身体健康。病媒生物孳生地治理工作，防制病媒生物的孳生，使各项病媒生物密度达到国家A级标准。对辖区各物业单位、重点行业单位的负责人进行创卫知识培训，加强病媒防治效果的持续性。同时完成了居民宣传、灭蝇、重点单位督导检查等工作。通过项目改善公众的生活质量社会的和谐稳定。实现了项目的绩效目标。</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br w:type="page"/>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绩效评分表：</w:t>
      </w:r>
    </w:p>
    <w:p>
      <w:pPr>
        <w:spacing w:line="600" w:lineRule="exact"/>
        <w:ind w:firstLine="420" w:firstLineChars="200"/>
        <w:rPr>
          <w:rFonts w:hint="eastAsia" w:ascii="楷体_GB2312" w:hAnsi="楷体_GB2312" w:eastAsia="楷体_GB2312" w:cs="楷体_GB2312"/>
          <w:sz w:val="32"/>
          <w:szCs w:val="32"/>
        </w:rPr>
      </w:pPr>
      <w:r>
        <w:drawing>
          <wp:anchor distT="0" distB="0" distL="114300" distR="114300" simplePos="0" relativeHeight="251658240" behindDoc="0" locked="0" layoutInCell="1" allowOverlap="1">
            <wp:simplePos x="0" y="0"/>
            <wp:positionH relativeFrom="column">
              <wp:posOffset>3175</wp:posOffset>
            </wp:positionH>
            <wp:positionV relativeFrom="paragraph">
              <wp:posOffset>53340</wp:posOffset>
            </wp:positionV>
            <wp:extent cx="5268595" cy="4706620"/>
            <wp:effectExtent l="0" t="0" r="8255" b="1778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8595" cy="4706620"/>
                    </a:xfrm>
                    <a:prstGeom prst="rect">
                      <a:avLst/>
                    </a:prstGeom>
                    <a:noFill/>
                    <a:ln w="9525">
                      <a:noFill/>
                    </a:ln>
                  </pic:spPr>
                </pic:pic>
              </a:graphicData>
            </a:graphic>
          </wp:anchor>
        </w:drawing>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严格按照安贞街道“三重一大”决策要求，落实项目立项、比选、签订合同、资金支付、结项等各项工作环节要求。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按照标准、规范建立公司层级的质量监控检查记录表。建立现场作业记录，内容包括作业时间、地点（小区名称）、天气情况（晴天、下雨）、分项作业方法、使用药品品名及数量、布放器械数量，以及存在（出现）问题、改进或整改情况等。对每个小区、每轮作业、每个分项要留存照片资料。建立质控体系和记录，如密度监测体系、质量管理及检查体系、登记记录体系，并形成详实、可追溯的资料。在质控体系的运行下，对现场作业监督和施工效果考核以及发现的问题及时做好记录、及时处理，项目完成后将相关资料及项目执行情况总结报告整理装订。按照合同及财务要求及时支出项目经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经过多轮次消杀作业，外环境蟑鼠密度显著降低；对重点区域蚊蝇进行滞留喷洒、空间喷洒降低成虫密度外，还针对社区外环境进行调查，对蚊蝇类孳生地进行投放灭幼剂、垃圾清理等治理措施，以减少蚊蝇孳生，减少了环境蚊蝇压力。将蚊蝇类密度保持在较低程度范围内。通过消除病媒生物的栖息地和繁殖场所，减少了病媒生物的数量，降低了由病媒生物传播的疾病的风险。通过开展病媒生物防制工作，减少病媒生物的数量，降低公众感染由病媒生物传播的疾病的风险，提高了公众的健康水平。通过清理垃圾、清除病媒生物的栖息地和繁殖场所，有效地改善环境卫生状况，提高了环境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通过进行系列病媒生物防制措施，有效控制病媒生物密度，减少病媒生物对辖区居民造成的侵扰，保护辖区居民的身体健康，各项病媒生物密度均达到国家A级标准。社区满意度调查满意率80%。在减少疾病传播、保障公众健康、提高环境质量、促进社会和谐等方面成效显著。</w:t>
      </w:r>
    </w:p>
    <w:p>
      <w:pPr>
        <w:numPr>
          <w:ilvl w:val="0"/>
          <w:numId w:val="2"/>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项目按照方案要求，根据多年病媒生物防制工作经验，通过社区孳生地调查及治理、日常消杀、病媒生物密度日常监测、病媒生物知识培训、病媒生物宣传等多种方式，完成安贞街道老旧小区、道路、公园的病媒生物消杀；特殊家庭的入户灭虫；公共区域、公厕、垃圾中转站、农贸市场的应急消杀；捕笼的安装与维护等项目任务。通过服务的开展，降低了病媒虫害对辖区居民的侵扰，改善了居民的生活公共环境卫生状况，保护了人民群众身体健康。</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 w:eastAsia="仿宋_GB2312" w:cs="仿宋"/>
          <w:color w:val="auto"/>
          <w:sz w:val="32"/>
          <w:szCs w:val="32"/>
          <w:lang w:val="en-US" w:eastAsia="zh-CN"/>
        </w:rPr>
        <w:t>项目活动的成效总结较为宏观，缺少前后对比、量化的数据呈现。原因为活动总结分析不够具体化，活动过程留痕、复盘记录等资料应更加完整规范。</w:t>
      </w:r>
    </w:p>
    <w:p>
      <w:pPr>
        <w:numPr>
          <w:ilvl w:val="0"/>
          <w:numId w:val="2"/>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 w:eastAsia="仿宋_GB2312" w:cs="仿宋"/>
          <w:color w:val="auto"/>
          <w:sz w:val="32"/>
          <w:szCs w:val="32"/>
          <w:lang w:val="en-US" w:eastAsia="zh-CN"/>
        </w:rPr>
        <w:t>建议未来增加针对利益相关方进行满意度调查，以体现社区、物业的满意度，并做满意度分析报告。</w:t>
      </w:r>
    </w:p>
    <w:p>
      <w:pPr>
        <w:numPr>
          <w:ilvl w:val="0"/>
          <w:numId w:val="2"/>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无。</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Calibri Light">
    <w:panose1 w:val="020F0302020204030204"/>
    <w:charset w:val="00"/>
    <w:family w:val="decorative"/>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
    <w:altName w:val="黑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serif">
    <w:altName w:val="Segoe Print"/>
    <w:panose1 w:val="00000000000000000000"/>
    <w:charset w:val="00"/>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PingFang-SC-Regular">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等线">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avid">
    <w:panose1 w:val="020E0502060401010101"/>
    <w:charset w:val="00"/>
    <w:family w:val="auto"/>
    <w:pitch w:val="default"/>
    <w:sig w:usb0="00000801" w:usb1="00000000" w:usb2="00000000" w:usb3="00000000" w:csb0="00000020" w:csb1="00200000"/>
  </w:font>
  <w:font w:name="DaunPenh">
    <w:panose1 w:val="01010101010101010101"/>
    <w:charset w:val="00"/>
    <w:family w:val="auto"/>
    <w:pitch w:val="default"/>
    <w:sig w:usb0="00000003" w:usb1="00000000" w:usb2="00010000" w:usb3="00000000" w:csb0="00000001" w:csb1="00000000"/>
  </w:font>
  <w:font w:name="Utsaah">
    <w:panose1 w:val="020B0604020202020204"/>
    <w:charset w:val="00"/>
    <w:family w:val="auto"/>
    <w:pitch w:val="default"/>
    <w:sig w:usb0="00008003"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3" w:usb2="00000000" w:usb3="00000000" w:csb0="2000009F" w:csb1="00000000"/>
  </w:font>
  <w:font w:name="Traditional Arabic">
    <w:panose1 w:val="02020603050405020304"/>
    <w:charset w:val="00"/>
    <w:family w:val="auto"/>
    <w:pitch w:val="default"/>
    <w:sig w:usb0="00006003" w:usb1="80000000"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25C1C"/>
    <w:multiLevelType w:val="singleLevel"/>
    <w:tmpl w:val="66825C1C"/>
    <w:lvl w:ilvl="0" w:tentative="0">
      <w:start w:val="1"/>
      <w:numFmt w:val="chineseCounting"/>
      <w:suff w:val="nothing"/>
      <w:lvlText w:val="%1、"/>
      <w:lvlJc w:val="left"/>
    </w:lvl>
  </w:abstractNum>
  <w:abstractNum w:abstractNumId="1">
    <w:nsid w:val="68B54BFE"/>
    <w:multiLevelType w:val="singleLevel"/>
    <w:tmpl w:val="68B54BFE"/>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27AF"/>
    <w:rsid w:val="00161C76"/>
    <w:rsid w:val="005678A8"/>
    <w:rsid w:val="00B40A65"/>
    <w:rsid w:val="00BB3BDA"/>
    <w:rsid w:val="00D33560"/>
    <w:rsid w:val="00F84B2A"/>
    <w:rsid w:val="0D2072BE"/>
    <w:rsid w:val="1B5616FC"/>
    <w:rsid w:val="37173543"/>
    <w:rsid w:val="3FF76880"/>
    <w:rsid w:val="43744EF9"/>
    <w:rsid w:val="4FF85C41"/>
    <w:rsid w:val="50290C58"/>
    <w:rsid w:val="5C073259"/>
    <w:rsid w:val="6E344C6F"/>
    <w:rsid w:val="71AE6998"/>
    <w:rsid w:val="73BD6240"/>
    <w:rsid w:val="79A304E1"/>
    <w:rsid w:val="79B87E5A"/>
    <w:rsid w:val="7AB7FF50"/>
    <w:rsid w:val="7BFEB0DB"/>
    <w:rsid w:val="7D25045C"/>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character" w:customStyle="1" w:styleId="8">
    <w:name w:val="font81"/>
    <w:basedOn w:val="5"/>
    <w:uiPriority w:val="0"/>
    <w:rPr>
      <w:rFonts w:hint="eastAsia" w:ascii="宋体" w:hAnsi="宋体" w:eastAsia="宋体" w:cs="宋体"/>
      <w:b/>
      <w:color w:val="000000"/>
      <w:sz w:val="18"/>
      <w:szCs w:val="18"/>
      <w:u w:val="none"/>
    </w:rPr>
  </w:style>
  <w:style w:type="character" w:customStyle="1" w:styleId="9">
    <w:name w:val="font21"/>
    <w:basedOn w:val="5"/>
    <w:uiPriority w:val="0"/>
    <w:rPr>
      <w:rFonts w:hint="default" w:ascii="Times New Roman" w:hAnsi="Times New Roman" w:cs="Times New Roman"/>
      <w:b/>
      <w:color w:val="000000"/>
      <w:sz w:val="18"/>
      <w:szCs w:val="18"/>
      <w:u w:val="none"/>
    </w:rPr>
  </w:style>
  <w:style w:type="character" w:customStyle="1" w:styleId="10">
    <w:name w:val="font41"/>
    <w:basedOn w:val="5"/>
    <w:uiPriority w:val="0"/>
    <w:rPr>
      <w:rFonts w:hint="eastAsia" w:ascii="宋体" w:hAnsi="宋体" w:eastAsia="宋体" w:cs="宋体"/>
      <w:color w:val="000000"/>
      <w:sz w:val="18"/>
      <w:szCs w:val="18"/>
      <w:u w:val="none"/>
    </w:rPr>
  </w:style>
  <w:style w:type="character" w:customStyle="1" w:styleId="11">
    <w:name w:val="font31"/>
    <w:basedOn w:val="5"/>
    <w:uiPriority w:val="0"/>
    <w:rPr>
      <w:rFonts w:hint="default" w:ascii="Times New Roman" w:hAnsi="Times New Roman" w:cs="Times New Roman"/>
      <w:color w:val="000000"/>
      <w:sz w:val="18"/>
      <w:szCs w:val="18"/>
      <w:u w:val="none"/>
    </w:rPr>
  </w:style>
  <w:style w:type="character" w:customStyle="1" w:styleId="12">
    <w:name w:val="font11"/>
    <w:basedOn w:val="5"/>
    <w:uiPriority w:val="0"/>
    <w:rPr>
      <w:rFonts w:hint="eastAsia" w:ascii="宋体" w:hAnsi="宋体" w:eastAsia="宋体" w:cs="宋体"/>
      <w:b/>
      <w:color w:val="000000"/>
      <w:sz w:val="18"/>
      <w:szCs w:val="18"/>
      <w:u w:val="none"/>
    </w:rPr>
  </w:style>
  <w:style w:type="character" w:customStyle="1" w:styleId="13">
    <w:name w:val="font71"/>
    <w:basedOn w:val="5"/>
    <w:uiPriority w:val="0"/>
    <w:rPr>
      <w:rFonts w:hint="default" w:ascii="Times New Roman" w:hAnsi="Times New Roman" w:cs="Times New Roman"/>
      <w:b/>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257</Characters>
  <Lines>2</Lines>
  <Paragraphs>1</Paragraphs>
  <ScaleCrop>false</ScaleCrop>
  <LinksUpToDate>false</LinksUpToDate>
  <CharactersWithSpaces>301</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zhiyaqian</cp:lastModifiedBy>
  <cp:lastPrinted>2024-02-27T08:26:00Z</cp:lastPrinted>
  <dcterms:modified xsi:type="dcterms:W3CDTF">2025-09-01T07:33:56Z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