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  <w14:ligatures w14:val="standardContextual"/>
        </w:rPr>
      </w:pPr>
      <w:r>
        <w:rPr>
          <w:rFonts w:ascii="Times New Roman" w:hAnsi="Times New Roman" w:eastAsia="方正小标宋简体" w:cs="Times New Roman"/>
          <w:sz w:val="44"/>
          <w:szCs w:val="44"/>
          <w14:ligatures w14:val="standardContextual"/>
        </w:rPr>
        <w:t>朝阳区促进服务消费高质量发展三年行动</w:t>
      </w:r>
      <w:r>
        <w:rPr>
          <w:rFonts w:hint="default" w:ascii="Times New Roman" w:hAnsi="Times New Roman" w:eastAsia="方正小标宋简体" w:cs="Times New Roman"/>
          <w:sz w:val="44"/>
          <w:szCs w:val="44"/>
          <w14:ligatures w14:val="standardContextual"/>
        </w:rPr>
        <w:t>计划</w:t>
      </w:r>
      <w:r>
        <w:rPr>
          <w:rFonts w:hint="default" w:ascii="Times New Roman" w:hAnsi="Times New Roman" w:eastAsia="楷体_GB2312" w:cs="Times New Roman"/>
          <w:sz w:val="44"/>
          <w:szCs w:val="44"/>
          <w14:ligatures w14:val="standardContextual"/>
        </w:rPr>
        <w:t>（2026-2028年）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center"/>
        <w:textAlignment w:val="auto"/>
        <w:rPr>
          <w:rFonts w:ascii="楷体_GB2312" w:hAnsi="楷体_GB2312" w:eastAsia="楷体_GB2312" w:cs="楷体_GB2312"/>
          <w:sz w:val="32"/>
          <w:szCs w:val="22"/>
          <w14:ligatures w14:val="standardContextual"/>
        </w:rPr>
      </w:pPr>
      <w:r>
        <w:rPr>
          <w:rFonts w:hint="eastAsia" w:ascii="楷体_GB2312" w:hAnsi="楷体_GB2312" w:eastAsia="楷体_GB2312" w:cs="楷体_GB2312"/>
          <w:sz w:val="32"/>
          <w:szCs w:val="22"/>
          <w14:ligatures w14:val="standardContextual"/>
        </w:rPr>
        <w:t>（</w:t>
      </w:r>
      <w:r>
        <w:rPr>
          <w:rFonts w:hint="eastAsia" w:ascii="楷体_GB2312" w:hAnsi="楷体_GB2312" w:eastAsia="楷体_GB2312" w:cs="楷体_GB2312"/>
          <w:sz w:val="32"/>
          <w:szCs w:val="22"/>
          <w:lang w:eastAsia="zh-CN"/>
          <w14:ligatures w14:val="standardContextual"/>
        </w:rPr>
        <w:t>征求意见</w:t>
      </w:r>
      <w:r>
        <w:rPr>
          <w:rFonts w:hint="eastAsia" w:ascii="楷体_GB2312" w:hAnsi="楷体_GB2312" w:eastAsia="楷体_GB2312" w:cs="楷体_GB2312"/>
          <w:sz w:val="32"/>
          <w:szCs w:val="22"/>
          <w14:ligatures w14:val="standardContextual"/>
        </w:rPr>
        <w:t>稿）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24"/>
          <w14:ligatures w14:val="none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14:ligatures w14:val="standardContextual"/>
        </w:rPr>
      </w:pPr>
      <w:r>
        <w:rPr>
          <w:rFonts w:hint="eastAsia" w:ascii="Times New Roman" w:hAnsi="Times New Roman" w:eastAsia="仿宋_GB2312" w:cs="Times New Roman"/>
          <w:sz w:val="32"/>
          <w:szCs w:val="24"/>
          <w14:ligatures w14:val="none"/>
        </w:rPr>
        <w:t>服务消费是促进民生改善的重要支撑，也是消费转型升级的重要方向，在推动经济高质量发展中发挥重要作用</w:t>
      </w:r>
      <w:r>
        <w:rPr>
          <w:rFonts w:ascii="Times New Roman" w:hAnsi="Times New Roman" w:eastAsia="仿宋_GB2312" w:cs="Times New Roman"/>
          <w:sz w:val="32"/>
          <w:szCs w:val="24"/>
          <w14:ligatures w14:val="none"/>
        </w:rPr>
        <w:t>。为深入贯彻</w:t>
      </w:r>
      <w:r>
        <w:rPr>
          <w:rFonts w:hint="eastAsia" w:ascii="Times New Roman" w:hAnsi="Times New Roman" w:eastAsia="仿宋_GB2312" w:cs="Times New Roman"/>
          <w:sz w:val="32"/>
          <w:szCs w:val="24"/>
          <w14:ligatures w14:val="none"/>
        </w:rPr>
        <w:t>落实国家、北京市关于扩大消费、促进服务消费提质惠民系列决策部署</w:t>
      </w:r>
      <w:r>
        <w:rPr>
          <w:rFonts w:ascii="Times New Roman" w:hAnsi="Times New Roman" w:eastAsia="仿宋_GB2312" w:cs="Times New Roman"/>
          <w:sz w:val="32"/>
          <w:szCs w:val="24"/>
          <w14:ligatures w14:val="none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14:ligatures w14:val="standardContextual"/>
        </w:rPr>
        <w:t>推动服务消费高质量发展，更好满足人民群众高品质、多样化服务消费需求，</w:t>
      </w:r>
      <w:r>
        <w:rPr>
          <w:rFonts w:ascii="Times New Roman" w:hAnsi="Times New Roman" w:eastAsia="仿宋_GB2312" w:cs="Times New Roman"/>
          <w:sz w:val="32"/>
          <w:szCs w:val="24"/>
          <w14:ligatures w14:val="none"/>
        </w:rPr>
        <w:t>特制定本计划。</w:t>
      </w:r>
    </w:p>
    <w:p>
      <w:pPr>
        <w:keepNext/>
        <w:keepLines/>
        <w:widowControl w:val="0"/>
        <w:adjustRightInd w:val="0"/>
        <w:snapToGrid w:val="0"/>
        <w:spacing w:line="560" w:lineRule="exact"/>
        <w:ind w:firstLine="640" w:firstLineChars="200"/>
        <w:jc w:val="both"/>
        <w:outlineLvl w:val="1"/>
        <w:rPr>
          <w:rFonts w:ascii="Times New Roman" w:hAnsi="Times New Roman" w:eastAsia="黑体" w:cs="Times New Roman"/>
          <w:bCs/>
          <w:kern w:val="2"/>
          <w:sz w:val="32"/>
          <w:szCs w:val="32"/>
          <w:lang w:val="en-US" w:eastAsia="zh-CN" w:bidi="ar-SA"/>
          <w14:ligatures w14:val="standardContextual"/>
        </w:rPr>
      </w:pPr>
      <w:bookmarkStart w:id="0" w:name="_Toc235547338"/>
      <w:r>
        <w:rPr>
          <w:rFonts w:ascii="Times New Roman" w:hAnsi="Times New Roman" w:eastAsia="黑体" w:cs="Times New Roman"/>
          <w:bCs/>
          <w:kern w:val="2"/>
          <w:sz w:val="32"/>
          <w:szCs w:val="32"/>
          <w:lang w:val="en-US" w:eastAsia="zh-CN" w:bidi="ar-SA"/>
          <w14:ligatures w14:val="standardContextual"/>
        </w:rPr>
        <w:t>一、指导思想</w:t>
      </w:r>
      <w:bookmarkEnd w:id="0"/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14:ligatures w14:val="standardContextual"/>
        </w:rPr>
      </w:pPr>
      <w:r>
        <w:rPr>
          <w:rFonts w:hint="eastAsia" w:ascii="Times New Roman" w:hAnsi="Times New Roman" w:eastAsia="仿宋_GB2312" w:cs="Times New Roman"/>
          <w:sz w:val="32"/>
          <w:szCs w:val="32"/>
          <w14:ligatures w14:val="standardContextual"/>
        </w:rPr>
        <w:t>以习近平新时代中国特色社会主义思想为指导，全面落实《提振消费专项行动方案》《加快培育服务消费新增长点工作方案》《北京市深化改革提振消费专项行动方案》等文件要求，立足国际消费中心城市主承载区功能定位，以服务消费提质惠民为主线，统筹扩大内需与供给侧结构性改革，深化服务业对外开放，促进生产性服务、生活性服务协同发展，持续丰富高品质服务供给，创新多元服务消费场景，构建全域全时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  <w14:ligatures w14:val="standardContextual"/>
        </w:rPr>
        <w:t>全龄友好、</w:t>
      </w:r>
      <w:r>
        <w:rPr>
          <w:rFonts w:hint="eastAsia" w:ascii="Times New Roman" w:hAnsi="Times New Roman" w:eastAsia="仿宋_GB2312" w:cs="Times New Roman"/>
          <w:sz w:val="32"/>
          <w:szCs w:val="32"/>
          <w14:ligatures w14:val="standardContextual"/>
        </w:rPr>
        <w:t>业态融合、内外联动的服务消费生态，更好满足人民群众高品质、多元化消费需求，为推动首都服务消费高质量发展、引领全国服务消费升级贡献朝阳力量。</w:t>
      </w:r>
    </w:p>
    <w:p>
      <w:pPr>
        <w:keepNext/>
        <w:keepLines/>
        <w:widowControl w:val="0"/>
        <w:adjustRightInd w:val="0"/>
        <w:snapToGrid w:val="0"/>
        <w:spacing w:line="560" w:lineRule="exact"/>
        <w:ind w:firstLine="640" w:firstLineChars="200"/>
        <w:jc w:val="both"/>
        <w:outlineLvl w:val="1"/>
        <w:rPr>
          <w:rFonts w:ascii="Times New Roman" w:hAnsi="Times New Roman" w:eastAsia="黑体" w:cs="Times New Roman"/>
          <w:bCs/>
          <w:kern w:val="2"/>
          <w:sz w:val="32"/>
          <w:szCs w:val="32"/>
          <w:lang w:val="en-US" w:eastAsia="zh-CN" w:bidi="ar-SA"/>
          <w14:ligatures w14:val="standardContextual"/>
        </w:rPr>
      </w:pPr>
      <w:bookmarkStart w:id="1" w:name="_Toc235547339"/>
      <w:r>
        <w:rPr>
          <w:rFonts w:ascii="Times New Roman" w:hAnsi="Times New Roman" w:eastAsia="黑体" w:cs="Times New Roman"/>
          <w:bCs/>
          <w:kern w:val="2"/>
          <w:sz w:val="32"/>
          <w:szCs w:val="32"/>
          <w:lang w:val="en-US" w:eastAsia="zh-CN" w:bidi="ar-SA"/>
          <w14:ligatures w14:val="standardContextual"/>
        </w:rPr>
        <w:t>二、发展目标</w:t>
      </w:r>
      <w:bookmarkEnd w:id="1"/>
    </w:p>
    <w:p>
      <w:pPr>
        <w:suppressAutoHyphens/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  <w14:ligatures w14:val="standardContextual"/>
        </w:rPr>
      </w:pPr>
      <w:r>
        <w:rPr>
          <w:rFonts w:hint="eastAsia" w:ascii="Times New Roman" w:hAnsi="Times New Roman" w:eastAsia="仿宋_GB2312" w:cs="Times New Roman"/>
          <w:sz w:val="32"/>
          <w:szCs w:val="32"/>
          <w14:ligatures w14:val="standardContextual"/>
        </w:rPr>
        <w:t>到2028年，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  <w14:ligatures w14:val="standardContextual"/>
        </w:rPr>
        <w:t>朝阳区服务</w:t>
      </w:r>
      <w:r>
        <w:rPr>
          <w:rFonts w:hint="eastAsia" w:ascii="Times New Roman" w:hAnsi="Times New Roman" w:eastAsia="仿宋_GB2312" w:cs="Times New Roman"/>
          <w:sz w:val="32"/>
          <w:szCs w:val="32"/>
          <w14:ligatures w14:val="standardContextual"/>
        </w:rPr>
        <w:t>消费规模和质量显著提升，多元化、品质化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  <w14:ligatures w14:val="standardContextual"/>
        </w:rPr>
        <w:t>、特色化、</w:t>
      </w:r>
      <w:r>
        <w:rPr>
          <w:rFonts w:hint="eastAsia" w:ascii="Times New Roman" w:hAnsi="Times New Roman" w:eastAsia="仿宋_GB2312" w:cs="Times New Roman"/>
          <w:sz w:val="32"/>
          <w:szCs w:val="32"/>
          <w14:ligatures w14:val="standardContextual"/>
        </w:rPr>
        <w:t>国际化的服务消费格局加速形成。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22"/>
          <w14:ligatures w14:val="standardContextual"/>
        </w:rPr>
        <w:t>基础型服务消费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22"/>
          <w:lang w:eastAsia="zh-CN"/>
          <w14:ligatures w14:val="standardContextual"/>
        </w:rPr>
        <w:t>从“有供给”到“更多元”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22"/>
          <w14:ligatures w14:val="standardContextual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22"/>
          <w14:ligatures w14:val="standardContextual"/>
        </w:rPr>
        <w:t>打造3个特色鲜明的国别餐饮集聚区，培育3家“家政+养老”融合发展企业</w:t>
      </w:r>
      <w:r>
        <w:rPr>
          <w:rFonts w:hint="eastAsia" w:ascii="Times New Roman" w:hAnsi="Times New Roman" w:eastAsia="仿宋_GB2312" w:cs="Times New Roman"/>
          <w:sz w:val="32"/>
          <w:szCs w:val="22"/>
          <w:lang w:eastAsia="zh-CN"/>
          <w14:ligatures w14:val="standardContextual"/>
        </w:rPr>
        <w:t>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22"/>
          <w14:ligatures w14:val="standardContextual"/>
        </w:rPr>
        <w:t>改善型服务消费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22"/>
          <w:lang w:eastAsia="zh-CN"/>
          <w14:ligatures w14:val="standardContextual"/>
        </w:rPr>
        <w:t>从“有体验”到“高品质”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22"/>
          <w14:ligatures w14:val="standardContextual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22"/>
          <w14:ligatures w14:val="standardContextual"/>
        </w:rPr>
        <w:t>年均举办或承办区级及以上赛事活动数量100场，引进1家成人语言类教培机构，力争实现2-3家医院新建项目开工</w:t>
      </w:r>
      <w:r>
        <w:rPr>
          <w:rFonts w:hint="eastAsia" w:ascii="Times New Roman" w:hAnsi="Times New Roman" w:eastAsia="仿宋_GB2312" w:cs="Times New Roman"/>
          <w:sz w:val="32"/>
          <w:szCs w:val="22"/>
          <w:lang w:eastAsia="zh-CN"/>
          <w14:ligatures w14:val="standardContextual"/>
        </w:rPr>
        <w:t>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22"/>
          <w14:ligatures w14:val="standardContextual"/>
        </w:rPr>
        <w:t>服务消费新增长点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22"/>
          <w:lang w:eastAsia="zh-CN"/>
          <w14:ligatures w14:val="standardContextual"/>
        </w:rPr>
        <w:t>从“有突破”到“强引领”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22"/>
          <w14:ligatures w14:val="standardContextual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22"/>
          <w14:ligatures w14:val="standardContextual"/>
        </w:rPr>
        <w:t>开发精品入境旅游线路15条，落地离境退税商店</w:t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  <w14:ligatures w14:val="standardContextual"/>
        </w:rPr>
        <w:t>7</w:t>
      </w:r>
      <w:r>
        <w:rPr>
          <w:rFonts w:hint="eastAsia" w:ascii="Times New Roman" w:hAnsi="Times New Roman" w:eastAsia="仿宋_GB2312" w:cs="Times New Roman"/>
          <w:sz w:val="32"/>
          <w:szCs w:val="22"/>
          <w14:ligatures w14:val="standardContextual"/>
        </w:rPr>
        <w:t>00家，打造1个汽车后市场特色消费集群，引进1</w:t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  <w14:ligatures w14:val="standardContextual"/>
        </w:rPr>
        <w:t>-</w:t>
      </w:r>
      <w:r>
        <w:rPr>
          <w:rFonts w:hint="eastAsia" w:ascii="Times New Roman" w:hAnsi="Times New Roman" w:eastAsia="仿宋_GB2312" w:cs="Times New Roman"/>
          <w:sz w:val="32"/>
          <w:szCs w:val="22"/>
          <w14:ligatures w14:val="standardContextual"/>
        </w:rPr>
        <w:t>2个国际品牌展览、会议</w:t>
      </w:r>
      <w:r>
        <w:rPr>
          <w:rFonts w:hint="eastAsia" w:ascii="Times New Roman" w:hAnsi="Times New Roman" w:eastAsia="仿宋_GB2312" w:cs="Times New Roman"/>
          <w:sz w:val="32"/>
          <w:szCs w:val="22"/>
          <w:lang w:eastAsia="zh-CN"/>
          <w14:ligatures w14:val="standardContextual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22"/>
          <w14:ligatures w14:val="standardContextual"/>
        </w:rPr>
        <w:t>努力建成全市服务消费创新引领高地</w:t>
      </w:r>
      <w:r>
        <w:rPr>
          <w:rFonts w:hint="eastAsia" w:ascii="Times New Roman" w:hAnsi="Times New Roman" w:eastAsia="仿宋_GB2312" w:cs="Times New Roman"/>
          <w:sz w:val="32"/>
          <w:szCs w:val="22"/>
          <w:lang w:eastAsia="zh-CN"/>
          <w14:ligatures w14:val="standardContextual"/>
        </w:rPr>
        <w:t>。</w:t>
      </w:r>
    </w:p>
    <w:p>
      <w:pPr>
        <w:keepNext/>
        <w:keepLines/>
        <w:widowControl w:val="0"/>
        <w:adjustRightInd w:val="0"/>
        <w:snapToGrid w:val="0"/>
        <w:spacing w:line="560" w:lineRule="exact"/>
        <w:ind w:firstLine="640" w:firstLineChars="200"/>
        <w:jc w:val="both"/>
        <w:outlineLvl w:val="1"/>
        <w:rPr>
          <w:rFonts w:ascii="Times New Roman" w:hAnsi="Times New Roman" w:eastAsia="黑体" w:cs="Times New Roman"/>
          <w:bCs/>
          <w:kern w:val="2"/>
          <w:sz w:val="32"/>
          <w:szCs w:val="32"/>
          <w:lang w:val="en-US" w:eastAsia="zh-CN" w:bidi="ar-SA"/>
          <w14:ligatures w14:val="standardContextual"/>
        </w:rPr>
      </w:pPr>
      <w:bookmarkStart w:id="2" w:name="_Toc235547340"/>
      <w:r>
        <w:rPr>
          <w:rFonts w:ascii="Times New Roman" w:hAnsi="Times New Roman" w:eastAsia="黑体" w:cs="Times New Roman"/>
          <w:bCs/>
          <w:kern w:val="2"/>
          <w:sz w:val="32"/>
          <w:szCs w:val="32"/>
          <w:lang w:val="en-US" w:eastAsia="zh-CN" w:bidi="ar-SA"/>
          <w14:ligatures w14:val="standardContextual"/>
        </w:rPr>
        <w:t>三、重点任务</w:t>
      </w:r>
      <w:bookmarkEnd w:id="2"/>
    </w:p>
    <w:p>
      <w:pPr>
        <w:suppressAutoHyphens/>
        <w:adjustRightInd w:val="0"/>
        <w:snapToGrid w:val="0"/>
        <w:spacing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22"/>
          <w14:ligatures w14:val="standardContextual"/>
        </w:rPr>
      </w:pPr>
      <w:bookmarkStart w:id="3" w:name="_Toc235547341"/>
      <w:r>
        <w:rPr>
          <w:rFonts w:hint="eastAsia" w:ascii="楷体_GB2312" w:hAnsi="楷体_GB2312" w:eastAsia="楷体_GB2312" w:cs="楷体_GB2312"/>
          <w:sz w:val="32"/>
          <w:szCs w:val="22"/>
          <w14:ligatures w14:val="standardContextual"/>
        </w:rPr>
        <w:t>（一）挖掘基础型消费潜力</w:t>
      </w:r>
    </w:p>
    <w:p>
      <w:pPr>
        <w:suppressAutoHyphens/>
        <w:adjustRightInd w:val="0"/>
        <w:snapToGrid w:val="0"/>
        <w:spacing w:line="560" w:lineRule="exact"/>
        <w:ind w:firstLine="642" w:firstLineChars="200"/>
        <w:rPr>
          <w:rFonts w:ascii="Times New Roman" w:hAnsi="Times New Roman" w:eastAsia="仿宋_GB2312" w:cs="仿宋_GB2312"/>
          <w:color w:val="000000"/>
          <w:sz w:val="32"/>
          <w:szCs w:val="22"/>
          <w14:ligatures w14:val="none"/>
        </w:rPr>
      </w:pPr>
      <w:r>
        <w:rPr>
          <w:rFonts w:hint="eastAsia" w:ascii="Times New Roman" w:hAnsi="Times New Roman" w:eastAsia="仿宋_GB2312" w:cs="仿宋_GB2312"/>
          <w:b/>
          <w:bCs w:val="0"/>
          <w:sz w:val="32"/>
          <w:szCs w:val="22"/>
          <w14:ligatures w14:val="standardContextual"/>
        </w:rPr>
        <w:t>1.提升国际化餐饮消费能级。</w:t>
      </w:r>
      <w:r>
        <w:rPr>
          <w:rFonts w:hint="eastAsia" w:ascii="Times New Roman" w:hAnsi="Times New Roman" w:eastAsia="仿宋_GB2312" w:cs="仿宋_GB2312"/>
          <w:sz w:val="32"/>
          <w:szCs w:val="22"/>
          <w14:ligatures w14:val="none"/>
        </w:rPr>
        <w:t>鼓励企业打造“米其林”“黑珍珠”“钻级酒家”等品质餐厅，吸引</w:t>
      </w:r>
      <w:r>
        <w:rPr>
          <w:rFonts w:hint="eastAsia" w:ascii="Times New Roman" w:hAnsi="Times New Roman" w:eastAsia="仿宋_GB2312" w:cs="仿宋_GB2312"/>
          <w:sz w:val="32"/>
          <w:szCs w:val="22"/>
          <w:lang w:eastAsia="zh-CN"/>
          <w14:ligatures w14:val="none"/>
        </w:rPr>
        <w:t>全球知名</w:t>
      </w:r>
      <w:r>
        <w:rPr>
          <w:rFonts w:hint="eastAsia" w:ascii="Times New Roman" w:hAnsi="Times New Roman" w:eastAsia="仿宋_GB2312" w:cs="仿宋_GB2312"/>
          <w:sz w:val="32"/>
          <w:szCs w:val="22"/>
          <w14:ligatures w14:val="none"/>
        </w:rPr>
        <w:t>餐饮品牌落地首店、旗舰店</w:t>
      </w:r>
      <w:r>
        <w:rPr>
          <w:rFonts w:hint="eastAsia" w:ascii="Times New Roman" w:hAnsi="Times New Roman" w:eastAsia="仿宋_GB2312" w:cs="仿宋_GB2312"/>
          <w:sz w:val="32"/>
          <w:szCs w:val="22"/>
          <w:lang w:eastAsia="zh-CN"/>
          <w14:ligatures w14:val="none"/>
        </w:rPr>
        <w:t>，孵化新锐餐饮品牌，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  <w14:ligatures w14:val="standardContextual"/>
        </w:rPr>
        <w:t>打造</w:t>
      </w:r>
      <w:r>
        <w:rPr>
          <w:rFonts w:hint="eastAsia" w:ascii="Times New Roman" w:hAnsi="Times New Roman" w:eastAsia="仿宋_GB2312" w:cs="Times New Roman"/>
          <w:sz w:val="32"/>
          <w:szCs w:val="32"/>
          <w14:ligatures w14:val="standardContextual"/>
        </w:rPr>
        <w:t>“东西荟萃、南北交融”的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  <w14:ligatures w14:val="standardContextual"/>
        </w:rPr>
        <w:t>美食之城、茶香之城、咖啡之城</w:t>
      </w:r>
      <w:r>
        <w:rPr>
          <w:rFonts w:hint="eastAsia" w:ascii="Times New Roman" w:hAnsi="Times New Roman" w:eastAsia="仿宋_GB2312" w:cs="仿宋_GB2312"/>
          <w:sz w:val="32"/>
          <w:szCs w:val="22"/>
          <w14:ligatures w14:val="none"/>
        </w:rPr>
        <w:t>。发挥</w:t>
      </w:r>
      <w:r>
        <w:rPr>
          <w:rFonts w:ascii="Times New Roman" w:hAnsi="Times New Roman" w:eastAsia="仿宋_GB2312" w:cs="Times New Roman"/>
          <w:sz w:val="32"/>
          <w:szCs w:val="22"/>
          <w14:ligatures w14:val="none"/>
        </w:rPr>
        <w:t>CBD、三</w:t>
      </w:r>
      <w:r>
        <w:rPr>
          <w:rFonts w:hint="eastAsia" w:ascii="Times New Roman" w:hAnsi="Times New Roman" w:eastAsia="仿宋_GB2312" w:cs="仿宋_GB2312"/>
          <w:sz w:val="32"/>
          <w:szCs w:val="22"/>
          <w14:ligatures w14:val="none"/>
        </w:rPr>
        <w:t>里屯、麦子店、望京等片区优势，打造国别</w:t>
      </w:r>
      <w:r>
        <w:rPr>
          <w:rFonts w:hint="eastAsia" w:ascii="Times New Roman" w:hAnsi="Times New Roman" w:eastAsia="仿宋_GB2312" w:cs="仿宋_GB2312"/>
          <w:sz w:val="32"/>
          <w:szCs w:val="22"/>
          <w:lang w:eastAsia="zh-CN"/>
          <w14:ligatures w14:val="none"/>
        </w:rPr>
        <w:t>餐饮</w:t>
      </w:r>
      <w:r>
        <w:rPr>
          <w:rFonts w:hint="eastAsia" w:ascii="Times New Roman" w:hAnsi="Times New Roman" w:eastAsia="仿宋_GB2312" w:cs="仿宋_GB2312"/>
          <w:sz w:val="32"/>
          <w:szCs w:val="22"/>
          <w14:ligatures w14:val="none"/>
        </w:rPr>
        <w:t>聚集区。支持餐饮企业进驻公园、文博场馆及旅游景区，创新餐饮消费场景</w:t>
      </w:r>
      <w:r>
        <w:rPr>
          <w:rFonts w:ascii="Times New Roman" w:hAnsi="Times New Roman" w:eastAsia="仿宋_GB2312" w:cs="Times New Roman"/>
          <w:sz w:val="32"/>
          <w:szCs w:val="22"/>
          <w14:ligatures w14:val="none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22"/>
          <w14:ligatures w14:val="none"/>
        </w:rPr>
        <w:t>持续打造“深夜食堂”特色餐饮街区。发挥各类行业组织、商圈联盟力量</w:t>
      </w:r>
      <w:r>
        <w:rPr>
          <w:rFonts w:ascii="Times New Roman" w:hAnsi="Times New Roman" w:eastAsia="仿宋_GB2312" w:cs="Times New Roman"/>
          <w:sz w:val="32"/>
          <w:szCs w:val="22"/>
          <w14:ligatures w14:val="none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22"/>
          <w:lang w:eastAsia="zh-CN"/>
          <w14:ligatures w14:val="none"/>
        </w:rPr>
        <w:t>落地国际知名美食榜单发布活动，</w:t>
      </w:r>
      <w:r>
        <w:rPr>
          <w:rFonts w:hint="eastAsia" w:ascii="Times New Roman" w:hAnsi="Times New Roman" w:eastAsia="仿宋_GB2312" w:cs="Times New Roman"/>
          <w:sz w:val="32"/>
          <w:szCs w:val="22"/>
          <w14:ligatures w14:val="none"/>
        </w:rPr>
        <w:t>支持举办</w:t>
      </w:r>
      <w:r>
        <w:rPr>
          <w:rFonts w:ascii="Times New Roman" w:hAnsi="Times New Roman" w:eastAsia="仿宋_GB2312" w:cs="Times New Roman"/>
          <w:sz w:val="32"/>
          <w:szCs w:val="22"/>
          <w14:ligatures w14:val="none"/>
        </w:rPr>
        <w:t>茶咖、烘焙、中西餐等主题</w:t>
      </w:r>
      <w:r>
        <w:rPr>
          <w:rFonts w:hint="eastAsia" w:ascii="Times New Roman" w:hAnsi="Times New Roman" w:eastAsia="仿宋_GB2312" w:cs="Times New Roman"/>
          <w:sz w:val="32"/>
          <w:szCs w:val="22"/>
          <w14:ligatures w14:val="none"/>
        </w:rPr>
        <w:t>促消费</w:t>
      </w:r>
      <w:r>
        <w:rPr>
          <w:rFonts w:ascii="Times New Roman" w:hAnsi="Times New Roman" w:eastAsia="仿宋_GB2312" w:cs="Times New Roman"/>
          <w:sz w:val="32"/>
          <w:szCs w:val="22"/>
          <w14:ligatures w14:val="none"/>
        </w:rPr>
        <w:t>活动。</w:t>
      </w:r>
      <w:r>
        <w:rPr>
          <w:rFonts w:ascii="Times New Roman" w:hAnsi="Times New Roman" w:eastAsia="楷体_GB2312" w:cs="Times New Roman"/>
          <w:sz w:val="32"/>
          <w:szCs w:val="22"/>
          <w14:ligatures w14:val="standardContextual"/>
        </w:rPr>
        <w:t>（责任</w:t>
      </w:r>
      <w:r>
        <w:rPr>
          <w:rFonts w:hint="eastAsia" w:ascii="Times New Roman" w:hAnsi="Times New Roman" w:eastAsia="楷体_GB2312" w:cs="Times New Roman"/>
          <w:sz w:val="32"/>
          <w:szCs w:val="22"/>
          <w14:ligatures w14:val="standardContextual"/>
        </w:rPr>
        <w:t>单位</w:t>
      </w:r>
      <w:r>
        <w:rPr>
          <w:rFonts w:ascii="Times New Roman" w:hAnsi="Times New Roman" w:eastAsia="楷体_GB2312" w:cs="Times New Roman"/>
          <w:sz w:val="32"/>
          <w:szCs w:val="22"/>
          <w14:ligatures w14:val="standardContextual"/>
        </w:rPr>
        <w:t>：</w:t>
      </w:r>
      <w:r>
        <w:rPr>
          <w:rFonts w:hint="eastAsia" w:ascii="Times New Roman" w:hAnsi="Times New Roman" w:eastAsia="楷体_GB2312" w:cs="Times New Roman"/>
          <w:sz w:val="32"/>
          <w:szCs w:val="22"/>
          <w14:ligatures w14:val="standardContextual"/>
        </w:rPr>
        <w:t>区商务局、CBD管委会、区文化和旅游局、</w:t>
      </w:r>
      <w:r>
        <w:rPr>
          <w:rFonts w:hint="eastAsia" w:ascii="Times New Roman" w:hAnsi="Times New Roman" w:eastAsia="楷体_GB2312" w:cs="Times New Roman"/>
          <w:sz w:val="32"/>
          <w:szCs w:val="22"/>
          <w:lang w:eastAsia="zh-CN"/>
          <w14:ligatures w14:val="standardContextual"/>
        </w:rPr>
        <w:t>区园林绿化局、</w:t>
      </w:r>
      <w:r>
        <w:rPr>
          <w:rFonts w:hint="eastAsia" w:ascii="Times New Roman" w:hAnsi="Times New Roman" w:eastAsia="楷体_GB2312" w:cs="Times New Roman"/>
          <w:sz w:val="32"/>
          <w:szCs w:val="22"/>
          <w14:ligatures w14:val="standardContextual"/>
        </w:rPr>
        <w:t>区体育局、三里屯街道办事处、麦子店街道办事处、望京街道办事处、朝外街道办事处</w:t>
      </w:r>
      <w:r>
        <w:rPr>
          <w:rFonts w:ascii="Times New Roman" w:hAnsi="Times New Roman" w:eastAsia="楷体_GB2312" w:cs="Times New Roman"/>
          <w:sz w:val="32"/>
          <w:szCs w:val="22"/>
          <w14:ligatures w14:val="standardContextual"/>
        </w:rPr>
        <w:t>）</w:t>
      </w:r>
    </w:p>
    <w:p>
      <w:pPr>
        <w:adjustRightInd w:val="0"/>
        <w:snapToGrid w:val="0"/>
        <w:spacing w:line="560" w:lineRule="exact"/>
        <w:ind w:firstLine="642" w:firstLineChars="200"/>
        <w:rPr>
          <w:rFonts w:ascii="Times New Roman" w:hAnsi="Times New Roman" w:eastAsia="仿宋_GB2312" w:cs="Times New Roman"/>
          <w:sz w:val="32"/>
          <w:szCs w:val="22"/>
          <w14:ligatures w14:val="standardContextual"/>
        </w:rPr>
      </w:pPr>
      <w:r>
        <w:rPr>
          <w:rFonts w:hint="eastAsia" w:ascii="Times New Roman" w:hAnsi="Times New Roman" w:eastAsia="仿宋_GB2312" w:cs="仿宋_GB2312"/>
          <w:b/>
          <w:sz w:val="32"/>
          <w:szCs w:val="22"/>
          <w14:ligatures w14:val="standardContextual"/>
        </w:rPr>
        <w:t>2.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22"/>
          <w14:ligatures w14:val="standardContextual"/>
        </w:rPr>
        <w:t>推进家政和养老服务提质。</w:t>
      </w:r>
      <w:r>
        <w:rPr>
          <w:rFonts w:hint="eastAsia" w:ascii="Times New Roman" w:hAnsi="Times New Roman" w:eastAsia="仿宋_GB2312" w:cs="Times New Roman"/>
          <w:sz w:val="32"/>
          <w:szCs w:val="22"/>
          <w14:ligatures w14:val="standardContextual"/>
        </w:rPr>
        <w:t>深入实施“北京家政”专项职业能力培训。推</w:t>
      </w:r>
      <w:r>
        <w:rPr>
          <w:rFonts w:hint="eastAsia" w:ascii="Times New Roman" w:hAnsi="Times New Roman" w:eastAsia="仿宋_GB2312" w:cs="Times New Roman"/>
          <w:sz w:val="32"/>
          <w:szCs w:val="22"/>
          <w:lang w:eastAsia="zh-CN"/>
          <w14:ligatures w14:val="standardContextual"/>
        </w:rPr>
        <w:t>动家政服务市场规范化发展</w:t>
      </w:r>
      <w:r>
        <w:rPr>
          <w:rFonts w:hint="eastAsia" w:ascii="Times New Roman" w:hAnsi="Times New Roman" w:eastAsia="仿宋_GB2312" w:cs="Times New Roman"/>
          <w:sz w:val="32"/>
          <w:szCs w:val="22"/>
          <w14:ligatures w14:val="standardContextual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22"/>
          <w:lang w:eastAsia="zh-CN"/>
          <w14:ligatures w14:val="standardContextual"/>
        </w:rPr>
        <w:t>引导有条件的家政企业向员工制转型。</w:t>
      </w:r>
      <w:r>
        <w:rPr>
          <w:rFonts w:hint="eastAsia" w:ascii="Times New Roman" w:hAnsi="Times New Roman" w:eastAsia="仿宋_GB2312" w:cs="Times New Roman"/>
          <w:sz w:val="32"/>
          <w:szCs w:val="22"/>
          <w14:ligatures w14:val="standardContextual"/>
        </w:rPr>
        <w:t>推广“嵌入式”发展模式，推动家政服务与社区综合服务中心、老年助餐点等现有便民载体深度融合。支持企业持续发展助医陪诊、助浴、助行等养老服务新业态。推广商务部家政信用信息平台，完善从业人员信用档案。</w:t>
      </w:r>
      <w:r>
        <w:rPr>
          <w:rFonts w:ascii="Times New Roman" w:hAnsi="Times New Roman" w:eastAsia="仿宋_GB2312" w:cs="Times New Roman"/>
          <w:sz w:val="32"/>
          <w:szCs w:val="22"/>
          <w14:ligatures w14:val="standardContextual"/>
        </w:rPr>
        <w:t>深化</w:t>
      </w:r>
      <w:r>
        <w:rPr>
          <w:rFonts w:hint="eastAsia" w:ascii="Times New Roman" w:hAnsi="Times New Roman" w:eastAsia="仿宋_GB2312" w:cs="Times New Roman"/>
          <w:sz w:val="32"/>
          <w:szCs w:val="22"/>
          <w14:ligatures w14:val="standardContextual"/>
        </w:rPr>
        <w:t>“</w:t>
      </w:r>
      <w:r>
        <w:rPr>
          <w:rFonts w:ascii="Times New Roman" w:hAnsi="Times New Roman" w:eastAsia="仿宋_GB2312" w:cs="Times New Roman"/>
          <w:sz w:val="32"/>
          <w:szCs w:val="22"/>
          <w14:ligatures w14:val="standardContextual"/>
        </w:rPr>
        <w:t>适居行动</w:t>
      </w:r>
      <w:r>
        <w:rPr>
          <w:rFonts w:hint="eastAsia" w:ascii="Times New Roman" w:hAnsi="Times New Roman" w:eastAsia="仿宋_GB2312" w:cs="Times New Roman"/>
          <w:sz w:val="32"/>
          <w:szCs w:val="22"/>
          <w14:ligatures w14:val="standardContextual"/>
        </w:rPr>
        <w:t>”</w:t>
      </w:r>
      <w:r>
        <w:rPr>
          <w:rFonts w:ascii="Times New Roman" w:hAnsi="Times New Roman" w:eastAsia="仿宋_GB2312" w:cs="Times New Roman"/>
          <w:sz w:val="32"/>
          <w:szCs w:val="22"/>
          <w14:ligatures w14:val="standardContextual"/>
        </w:rPr>
        <w:t>精准帮扶，加快推进</w:t>
      </w:r>
      <w:r>
        <w:rPr>
          <w:rFonts w:hint="eastAsia" w:ascii="Times New Roman" w:hAnsi="Times New Roman" w:eastAsia="仿宋_GB2312" w:cs="Times New Roman"/>
          <w:sz w:val="32"/>
          <w:szCs w:val="22"/>
          <w14:ligatures w14:val="standardContextual"/>
        </w:rPr>
        <w:t>“</w:t>
      </w:r>
      <w:r>
        <w:rPr>
          <w:rFonts w:ascii="Times New Roman" w:hAnsi="Times New Roman" w:eastAsia="仿宋_GB2312" w:cs="Times New Roman"/>
          <w:sz w:val="32"/>
          <w:szCs w:val="22"/>
          <w14:ligatures w14:val="standardContextual"/>
        </w:rPr>
        <w:t>一间房</w:t>
      </w:r>
      <w:r>
        <w:rPr>
          <w:rFonts w:hint="eastAsia" w:ascii="Times New Roman" w:hAnsi="Times New Roman" w:eastAsia="仿宋_GB2312" w:cs="Times New Roman"/>
          <w:sz w:val="32"/>
          <w:szCs w:val="22"/>
          <w14:ligatures w14:val="standardContextual"/>
        </w:rPr>
        <w:t>”“</w:t>
      </w:r>
      <w:r>
        <w:rPr>
          <w:rFonts w:ascii="Times New Roman" w:hAnsi="Times New Roman" w:eastAsia="仿宋_GB2312" w:cs="Times New Roman"/>
          <w:sz w:val="32"/>
          <w:szCs w:val="22"/>
          <w14:ligatures w14:val="standardContextual"/>
        </w:rPr>
        <w:t>一张床</w:t>
      </w:r>
      <w:r>
        <w:rPr>
          <w:rFonts w:hint="eastAsia" w:ascii="Times New Roman" w:hAnsi="Times New Roman" w:eastAsia="仿宋_GB2312" w:cs="Times New Roman"/>
          <w:sz w:val="32"/>
          <w:szCs w:val="22"/>
          <w14:ligatures w14:val="standardContextual"/>
        </w:rPr>
        <w:t>”</w:t>
      </w:r>
      <w:r>
        <w:rPr>
          <w:rFonts w:ascii="Times New Roman" w:hAnsi="Times New Roman" w:eastAsia="仿宋_GB2312" w:cs="Times New Roman"/>
          <w:sz w:val="32"/>
          <w:szCs w:val="22"/>
          <w14:ligatures w14:val="standardContextual"/>
        </w:rPr>
        <w:t>等专项房源精准对接。</w:t>
      </w:r>
      <w:r>
        <w:rPr>
          <w:rFonts w:hint="eastAsia" w:ascii="Times New Roman" w:hAnsi="Times New Roman" w:eastAsia="仿宋_GB2312" w:cs="Times New Roman"/>
          <w:sz w:val="32"/>
          <w:szCs w:val="22"/>
          <w14:ligatures w14:val="standardContextual"/>
        </w:rPr>
        <w:t>鼓励开发适合老龄人群的康养旅游产品。推动商超、景区等场所完善无障碍设施、增设适老服务点位，打造老年友好型消费示范场景。</w:t>
      </w:r>
      <w:r>
        <w:rPr>
          <w:rFonts w:hint="eastAsia" w:ascii="Times New Roman" w:hAnsi="Times New Roman" w:eastAsia="仿宋_GB2312" w:cs="Times New Roman"/>
          <w:sz w:val="32"/>
          <w:szCs w:val="22"/>
          <w:lang w:eastAsia="zh-CN"/>
          <w14:ligatures w14:val="standardContextual"/>
        </w:rPr>
        <w:t>支持香河园街道等建成一批综合养老服务示范街区。</w:t>
      </w:r>
      <w:r>
        <w:rPr>
          <w:rFonts w:hint="eastAsia" w:ascii="Times New Roman" w:hAnsi="Times New Roman" w:eastAsia="仿宋_GB2312" w:cs="Times New Roman"/>
          <w:sz w:val="32"/>
          <w:szCs w:val="22"/>
          <w14:ligatures w14:val="standardContextual"/>
        </w:rPr>
        <w:t>搭建智慧康养共性技术与公共服务平台，支撑康养科创企业研发转化，拓宽</w:t>
      </w:r>
      <w:r>
        <w:rPr>
          <w:rFonts w:hint="eastAsia" w:ascii="Times New Roman" w:hAnsi="Times New Roman" w:eastAsia="仿宋_GB2312" w:cs="Times New Roman"/>
          <w:sz w:val="32"/>
          <w:szCs w:val="22"/>
          <w:lang w:eastAsia="zh-CN"/>
          <w14:ligatures w14:val="standardContextual"/>
        </w:rPr>
        <w:t>面向</w:t>
      </w:r>
      <w:r>
        <w:rPr>
          <w:rFonts w:hint="eastAsia" w:ascii="Times New Roman" w:hAnsi="Times New Roman" w:eastAsia="仿宋_GB2312" w:cs="Times New Roman"/>
          <w:sz w:val="32"/>
          <w:szCs w:val="22"/>
          <w14:ligatures w14:val="standardContextual"/>
        </w:rPr>
        <w:t>老龄人群</w:t>
      </w:r>
      <w:r>
        <w:rPr>
          <w:rFonts w:hint="eastAsia" w:ascii="Times New Roman" w:hAnsi="Times New Roman" w:eastAsia="仿宋_GB2312" w:cs="Times New Roman"/>
          <w:sz w:val="32"/>
          <w:szCs w:val="22"/>
          <w:lang w:eastAsia="zh-CN"/>
          <w14:ligatures w14:val="standardContextual"/>
        </w:rPr>
        <w:t>的</w:t>
      </w:r>
      <w:r>
        <w:rPr>
          <w:rFonts w:hint="eastAsia" w:ascii="Times New Roman" w:hAnsi="Times New Roman" w:eastAsia="仿宋_GB2312" w:cs="Times New Roman"/>
          <w:sz w:val="32"/>
          <w:szCs w:val="22"/>
          <w14:ligatures w14:val="standardContextual"/>
        </w:rPr>
        <w:t>智慧康养产品与服务供给。</w:t>
      </w:r>
      <w:r>
        <w:rPr>
          <w:rFonts w:ascii="Times New Roman" w:hAnsi="Times New Roman" w:eastAsia="楷体_GB2312" w:cs="Times New Roman"/>
          <w:sz w:val="32"/>
          <w:szCs w:val="32"/>
          <w14:ligatures w14:val="standardContextual"/>
        </w:rPr>
        <w:t>（责任</w:t>
      </w:r>
      <w:r>
        <w:rPr>
          <w:rFonts w:hint="eastAsia" w:ascii="Times New Roman" w:hAnsi="Times New Roman" w:eastAsia="楷体_GB2312" w:cs="Times New Roman"/>
          <w:sz w:val="32"/>
          <w:szCs w:val="32"/>
          <w14:ligatures w14:val="standardContextual"/>
        </w:rPr>
        <w:t>单位</w:t>
      </w:r>
      <w:r>
        <w:rPr>
          <w:rFonts w:ascii="Times New Roman" w:hAnsi="Times New Roman" w:eastAsia="楷体_GB2312" w:cs="Times New Roman"/>
          <w:sz w:val="32"/>
          <w:szCs w:val="32"/>
          <w14:ligatures w14:val="standardContextual"/>
        </w:rPr>
        <w:t>：</w:t>
      </w:r>
      <w:r>
        <w:rPr>
          <w:rFonts w:hint="eastAsia" w:ascii="Times New Roman" w:hAnsi="Times New Roman" w:eastAsia="楷体_GB2312" w:cs="Times New Roman"/>
          <w:sz w:val="32"/>
          <w:szCs w:val="32"/>
          <w14:ligatures w14:val="standardContextual"/>
        </w:rPr>
        <w:t>区商务局、区人力社保局、区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  <w14:ligatures w14:val="standardContextual"/>
        </w:rPr>
        <w:t>市场监管局</w:t>
      </w:r>
      <w:r>
        <w:rPr>
          <w:rFonts w:hint="eastAsia" w:ascii="Times New Roman" w:hAnsi="Times New Roman" w:eastAsia="楷体_GB2312" w:cs="Times New Roman"/>
          <w:sz w:val="32"/>
          <w:szCs w:val="32"/>
          <w14:ligatures w14:val="standardContextual"/>
        </w:rPr>
        <w:t>、区民政局、区房管局、区文化和旅游局、朝阳园管委会（区科信局）、各街乡</w:t>
      </w:r>
      <w:r>
        <w:rPr>
          <w:rFonts w:ascii="Times New Roman" w:hAnsi="Times New Roman" w:eastAsia="楷体_GB2312" w:cs="Times New Roman"/>
          <w:sz w:val="32"/>
          <w:szCs w:val="32"/>
          <w14:ligatures w14:val="standardContextual"/>
        </w:rPr>
        <w:t>）</w:t>
      </w:r>
    </w:p>
    <w:p>
      <w:pPr>
        <w:widowControl w:val="0"/>
        <w:adjustRightInd w:val="0"/>
        <w:snapToGrid w:val="0"/>
        <w:spacing w:line="560" w:lineRule="exact"/>
        <w:ind w:firstLine="642" w:firstLineChars="200"/>
        <w:jc w:val="both"/>
        <w:outlineLvl w:val="3"/>
        <w:rPr>
          <w:rFonts w:ascii="Times New Roman" w:hAnsi="Times New Roman" w:eastAsia="仿宋_GB2312" w:cs="Times New Roman"/>
          <w:bCs/>
          <w:kern w:val="2"/>
          <w:sz w:val="32"/>
          <w:szCs w:val="28"/>
          <w:lang w:val="en-US" w:eastAsia="zh-CN" w:bidi="ar-SA"/>
          <w14:ligatures w14:val="standardContextual"/>
        </w:rPr>
      </w:pPr>
      <w:r>
        <w:rPr>
          <w:rFonts w:hint="eastAsia" w:ascii="Times New Roman" w:hAnsi="Times New Roman" w:eastAsia="仿宋_GB2312" w:cs="仿宋_GB2312"/>
          <w:b/>
          <w:bCs w:val="0"/>
          <w:kern w:val="2"/>
          <w:sz w:val="32"/>
          <w:szCs w:val="28"/>
          <w:lang w:val="en-US" w:eastAsia="zh-CN" w:bidi="ar-SA"/>
          <w14:ligatures w14:val="standardContextual"/>
        </w:rPr>
        <w:t>3.</w:t>
      </w:r>
      <w:r>
        <w:rPr>
          <w:rFonts w:ascii="Times New Roman" w:hAnsi="Times New Roman" w:eastAsia="仿宋_GB2312" w:cs="Times New Roman"/>
          <w:b/>
          <w:bCs w:val="0"/>
          <w:kern w:val="2"/>
          <w:sz w:val="32"/>
          <w:szCs w:val="28"/>
          <w:lang w:val="en-US" w:eastAsia="zh-CN" w:bidi="ar-SA"/>
          <w14:ligatures w14:val="standardContextual"/>
        </w:rPr>
        <w:t>健全托育服务体系</w:t>
      </w:r>
      <w:r>
        <w:rPr>
          <w:rFonts w:hint="eastAsia" w:ascii="Times New Roman" w:hAnsi="Times New Roman" w:eastAsia="仿宋_GB2312" w:cs="Times New Roman"/>
          <w:b/>
          <w:bCs w:val="0"/>
          <w:kern w:val="2"/>
          <w:sz w:val="32"/>
          <w:szCs w:val="28"/>
          <w:lang w:val="en-US" w:eastAsia="zh-CN" w:bidi="ar-SA"/>
          <w14:ligatures w14:val="standardContextual"/>
        </w:rPr>
        <w:t>。</w:t>
      </w:r>
      <w:r>
        <w:rPr>
          <w:rFonts w:hint="eastAsia" w:ascii="Times New Roman" w:hAnsi="Times New Roman" w:eastAsia="仿宋_GB2312" w:cs="Times New Roman"/>
          <w:bCs/>
          <w:kern w:val="2"/>
          <w:sz w:val="32"/>
          <w:szCs w:val="28"/>
          <w:lang w:val="en-US" w:eastAsia="zh-CN" w:bidi="ar-SA"/>
          <w14:ligatures w14:val="standardContextual"/>
        </w:rPr>
        <w:t>扩大区级托育综合服务中心覆盖范围，新增一批区级托育综合服务点位，严格落实普惠性收费标准。鼓励特色托育服务模式创新，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8"/>
          <w:lang w:val="en-US" w:eastAsia="zh-CN" w:bidi="ar-SA"/>
          <w14:ligatures w14:val="standardContextual"/>
        </w:rPr>
        <w:t>支持有条件的幼儿园招</w:t>
      </w:r>
      <w:r>
        <w:rPr>
          <w:rFonts w:ascii="Times New Roman" w:hAnsi="Times New Roman" w:eastAsia="仿宋_GB2312" w:cs="Times New Roman"/>
          <w:bCs w:val="0"/>
          <w:kern w:val="2"/>
          <w:sz w:val="32"/>
          <w:szCs w:val="28"/>
          <w:lang w:val="en-US" w:eastAsia="zh-CN" w:bidi="ar-SA"/>
          <w14:ligatures w14:val="standardContextual"/>
        </w:rPr>
        <w:t>收2-3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28"/>
          <w:lang w:val="en-US" w:eastAsia="zh-CN" w:bidi="ar-SA"/>
          <w14:ligatures w14:val="standardContextual"/>
        </w:rPr>
        <w:t>岁幼儿，发展社区嵌入式托育、家庭托育点，提供全日或半日托、计时托、临时托等灵活照护服务，配套健康管理、营养配餐、早教活动等，满足就近就便的儿童照护需求。持续深化“首儿所—社区卫生服务中心—托育机构”三级联动医育结合模式，提升托</w:t>
      </w:r>
      <w:r>
        <w:rPr>
          <w:rFonts w:hint="eastAsia" w:ascii="Times New Roman" w:hAnsi="Times New Roman" w:eastAsia="仿宋_GB2312" w:cs="Times New Roman"/>
          <w:bCs/>
          <w:kern w:val="2"/>
          <w:sz w:val="32"/>
          <w:szCs w:val="28"/>
          <w:lang w:val="en-US" w:eastAsia="zh-CN" w:bidi="ar-SA"/>
          <w14:ligatures w14:val="standardContextual"/>
        </w:rPr>
        <w:t>育服务专业化、规范化、健康化水平。</w:t>
      </w:r>
      <w:r>
        <w:rPr>
          <w:rFonts w:hint="eastAsia" w:ascii="Times New Roman" w:hAnsi="Times New Roman" w:eastAsia="楷体_GB2312" w:cs="Times New Roman"/>
          <w:bCs w:val="0"/>
          <w:kern w:val="2"/>
          <w:sz w:val="32"/>
          <w:szCs w:val="32"/>
          <w:lang w:val="en-US" w:eastAsia="zh-CN" w:bidi="ar-SA"/>
          <w14:ligatures w14:val="standardContextual"/>
        </w:rPr>
        <w:t>（责任单位：区教委、区卫生健康委）</w:t>
      </w:r>
    </w:p>
    <w:p>
      <w:pPr>
        <w:suppressAutoHyphens/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楷体_GB2312" w:cs="楷体_GB2312"/>
          <w:sz w:val="32"/>
          <w:szCs w:val="22"/>
          <w14:ligatures w14:val="standardContextual"/>
        </w:rPr>
      </w:pPr>
      <w:r>
        <w:rPr>
          <w:rFonts w:hint="eastAsia" w:ascii="Times New Roman" w:hAnsi="Times New Roman" w:eastAsia="楷体_GB2312" w:cs="楷体_GB2312"/>
          <w:sz w:val="32"/>
          <w:szCs w:val="22"/>
          <w14:ligatures w14:val="standardContextual"/>
        </w:rPr>
        <w:t>（二）激发改善型消费活力</w:t>
      </w:r>
    </w:p>
    <w:p>
      <w:pPr>
        <w:widowControl/>
        <w:spacing w:line="560" w:lineRule="exact"/>
        <w:ind w:firstLine="642" w:firstLineChars="200"/>
        <w:jc w:val="left"/>
        <w:rPr>
          <w:rFonts w:ascii="Times New Roman" w:hAnsi="Times New Roman" w:eastAsia="楷体_GB2312" w:cs="Times New Roman"/>
          <w:color w:val="auto"/>
          <w:sz w:val="32"/>
          <w:szCs w:val="32"/>
          <w14:ligatures w14:val="standardContextual"/>
        </w:rPr>
      </w:pPr>
      <w:r>
        <w:rPr>
          <w:rFonts w:hint="eastAsia" w:ascii="Times New Roman" w:hAnsi="Times New Roman" w:eastAsia="仿宋_GB2312" w:cs="仿宋_GB2312"/>
          <w:b/>
          <w:color w:val="auto"/>
          <w:sz w:val="32"/>
          <w:szCs w:val="22"/>
          <w14:ligatures w14:val="standardContextual"/>
        </w:rPr>
        <w:t>4.释放</w:t>
      </w:r>
      <w:r>
        <w:rPr>
          <w:rFonts w:hint="eastAsia" w:ascii="Times New Roman" w:hAnsi="Times New Roman" w:eastAsia="仿宋_GB2312" w:cs="Times New Roman"/>
          <w:b/>
          <w:color w:val="auto"/>
          <w:sz w:val="32"/>
          <w:szCs w:val="22"/>
          <w14:ligatures w14:val="standardContextual"/>
        </w:rPr>
        <w:t>文化和旅游</w:t>
      </w:r>
      <w:r>
        <w:rPr>
          <w:rFonts w:ascii="Times New Roman" w:hAnsi="Times New Roman" w:eastAsia="仿宋_GB2312" w:cs="Times New Roman"/>
          <w:b/>
          <w:color w:val="auto"/>
          <w:sz w:val="32"/>
          <w:szCs w:val="22"/>
          <w14:ligatures w14:val="standardContextual"/>
        </w:rPr>
        <w:t>消费</w:t>
      </w:r>
      <w:r>
        <w:rPr>
          <w:rFonts w:hint="eastAsia" w:ascii="Times New Roman" w:hAnsi="Times New Roman" w:eastAsia="仿宋_GB2312" w:cs="Times New Roman"/>
          <w:b/>
          <w:color w:val="auto"/>
          <w:sz w:val="32"/>
          <w:szCs w:val="22"/>
          <w14:ligatures w14:val="standardContextual"/>
        </w:rPr>
        <w:t>潜能。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22"/>
          <w14:ligatures w14:val="standardContextual"/>
        </w:rPr>
        <w:t>深化“文旅+百业”，打造全球知名文化旅游目的地。构建“宜游朝阳”产品体系，支持</w:t>
      </w:r>
      <w:r>
        <w:rPr>
          <w:rFonts w:hint="eastAsia" w:ascii="Times New Roman" w:hAnsi="Times New Roman" w:eastAsia="仿宋_GB2312" w:cs="Times New Roman"/>
          <w:color w:val="auto"/>
          <w:sz w:val="32"/>
          <w:szCs w:val="22"/>
          <w:lang w:eastAsia="zh-CN"/>
          <w14:ligatures w14:val="standardContextual"/>
        </w:rPr>
        <w:t>企业</w:t>
      </w:r>
      <w:r>
        <w:rPr>
          <w:rFonts w:hint="eastAsia" w:ascii="Times New Roman" w:hAnsi="Times New Roman" w:eastAsia="仿宋_GB2312" w:cs="Times New Roman"/>
          <w:color w:val="auto"/>
          <w:sz w:val="32"/>
          <w:szCs w:val="22"/>
          <w14:ligatures w14:val="standardContextual"/>
        </w:rPr>
        <w:t>挖掘演艺、影视IP资源，开发“跟着影视去旅行”“跟着演出去旅行”等沉浸式旅游产品</w:t>
      </w:r>
      <w:r>
        <w:rPr>
          <w:rFonts w:hint="eastAsia" w:ascii="Times New Roman" w:hAnsi="Times New Roman" w:eastAsia="仿宋_GB2312" w:cs="Times New Roman"/>
          <w:color w:val="auto"/>
          <w:sz w:val="32"/>
          <w:szCs w:val="22"/>
          <w:lang w:eastAsia="zh-CN"/>
          <w14:ligatures w14:val="standardContextual"/>
        </w:rPr>
        <w:t>，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22"/>
          <w:lang w:eastAsia="zh-CN"/>
          <w14:ligatures w14:val="standardContextual"/>
        </w:rPr>
        <w:t>打造“文旅生活化”体验场景</w:t>
      </w:r>
      <w:r>
        <w:rPr>
          <w:rFonts w:hint="eastAsia" w:ascii="Times New Roman" w:hAnsi="Times New Roman" w:eastAsia="仿宋_GB2312" w:cs="Times New Roman"/>
          <w:color w:val="auto"/>
          <w:sz w:val="32"/>
          <w:szCs w:val="22"/>
          <w14:ligatures w14:val="standardContextual"/>
        </w:rPr>
        <w:t>。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22"/>
          <w14:ligatures w14:val="standardContextual"/>
        </w:rPr>
        <w:t>推动非遗与潮玩、艺术、旅游等跨界共创，开发更多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22"/>
          <w:lang w:eastAsia="zh-CN"/>
          <w14:ligatures w14:val="standardContextual"/>
        </w:rPr>
        <w:t>特色鲜明的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22"/>
          <w14:ligatures w14:val="standardContextual"/>
        </w:rPr>
        <w:t>“朝阳礼物”文创产品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22"/>
          <w:lang w:eastAsia="zh-CN"/>
          <w14:ligatures w14:val="standardContextual"/>
        </w:rPr>
        <w:t>。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22"/>
          <w14:ligatures w14:val="standardContextual"/>
        </w:rPr>
        <w:t>支持网络文学、网络游戏、网络视听、潮流玩具等领域企业打造具有国际影响力的文化IP。加大市民身边的文化设施供给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22"/>
          <w:lang w:eastAsia="zh-CN"/>
          <w14:ligatures w14:val="standardContextual"/>
        </w:rPr>
        <w:t>，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22"/>
          <w:lang w:val="en-US" w:eastAsia="zh-CN"/>
          <w14:ligatures w14:val="standardContextual"/>
        </w:rPr>
        <w:t>推动燕莎友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  <w14:ligatures w14:val="standardContextual"/>
        </w:rPr>
        <w:t>谊商城等引进国际性沉浸式演艺项目。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22"/>
          <w14:ligatures w14:val="standardContextual"/>
        </w:rPr>
        <w:t>提升住宿服务供给品质，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22"/>
          <w:lang w:val="en-US" w:eastAsia="zh-CN"/>
          <w14:ligatures w14:val="standardContextual"/>
        </w:rPr>
        <w:t>支持长城饭店、亮马河饭店等品牌酒店改造焕新，引入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22"/>
          <w14:ligatures w14:val="standardContextual"/>
        </w:rPr>
        <w:t>国际酒店品牌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22"/>
          <w:lang w:val="en-US" w:eastAsia="zh-CN"/>
          <w14:ligatures w14:val="standardContextual"/>
        </w:rPr>
        <w:t>。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14:ligatures w14:val="standardContextual"/>
        </w:rPr>
        <w:t>（责任单位：区文化和旅游局、文创实验区管委会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eastAsia="zh-CN"/>
          <w14:ligatures w14:val="standardContextual"/>
        </w:rPr>
        <w:t>、区宣传文化中心、麦子店街道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14:ligatures w14:val="standardContextual"/>
        </w:rPr>
        <w:t>）</w:t>
      </w:r>
    </w:p>
    <w:p>
      <w:pPr>
        <w:adjustRightInd w:val="0"/>
        <w:snapToGrid w:val="0"/>
        <w:spacing w:line="560" w:lineRule="exact"/>
        <w:ind w:firstLine="642" w:firstLineChars="200"/>
        <w:rPr>
          <w:rFonts w:ascii="Times New Roman" w:hAnsi="Times New Roman" w:eastAsia="仿宋_GB2312" w:cs="Times New Roman"/>
          <w:sz w:val="32"/>
          <w:szCs w:val="22"/>
          <w14:ligatures w14:val="standardContextual"/>
        </w:rPr>
      </w:pPr>
      <w:r>
        <w:rPr>
          <w:rFonts w:hint="eastAsia" w:ascii="Times New Roman" w:hAnsi="Times New Roman" w:eastAsia="仿宋_GB2312" w:cs="仿宋_GB2312"/>
          <w:b/>
          <w:sz w:val="32"/>
          <w:szCs w:val="22"/>
          <w14:ligatures w14:val="standardContextual"/>
        </w:rPr>
        <w:t>5.鼓励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22"/>
          <w14:ligatures w14:val="standardContextual"/>
        </w:rPr>
        <w:t>体育消费发展。</w:t>
      </w:r>
      <w:r>
        <w:rPr>
          <w:rFonts w:hint="eastAsia" w:ascii="Times New Roman" w:hAnsi="Times New Roman" w:eastAsia="仿宋_GB2312" w:cs="Times New Roman"/>
          <w:sz w:val="32"/>
          <w:szCs w:val="22"/>
          <w14:ligatures w14:val="standardContextual"/>
        </w:rPr>
        <w:t>推动赛事经济发展，打造“双奥国际赛事名城”建设高地，做好2026年世界短池游泳锦标赛、2027年世界田径锦标赛等国际顶级赛事服务保障，持续办好CYTA网球联赛等群众性体育赛事。引导支持商圈、街区、园区打造主题鲜明、功能复合的“第二现场”示范点。积极引进国际电竞赛事，举办多元场景融合的电竞主题消费活动。用好冰丝带、冰立方等冰雪场地资源，支持冰场引入冰雪嘉年华、青少年冰球联赛、花样滑冰表演等赛事活动，丰富冰雪消费产品供给，创新大众冰雪消费场景。</w:t>
      </w:r>
      <w:r>
        <w:rPr>
          <w:rFonts w:hint="eastAsia" w:ascii="Times New Roman" w:hAnsi="Times New Roman" w:eastAsia="楷体_GB2312" w:cs="Times New Roman"/>
          <w:sz w:val="32"/>
          <w:szCs w:val="32"/>
          <w14:ligatures w14:val="standardContextual"/>
        </w:rPr>
        <w:t>（责任单位：区体育局、奥林匹克中心区管委会、区商务局、各街乡）</w:t>
      </w:r>
    </w:p>
    <w:p>
      <w:pPr>
        <w:spacing w:line="560" w:lineRule="exact"/>
        <w:ind w:firstLine="642" w:firstLineChars="200"/>
        <w:rPr>
          <w:rFonts w:ascii="Times New Roman" w:hAnsi="Times New Roman" w:eastAsia="楷体_GB2312" w:cs="Times New Roman"/>
          <w:sz w:val="32"/>
          <w:szCs w:val="32"/>
          <w14:ligatures w14:val="standardContextual"/>
        </w:rPr>
      </w:pPr>
      <w:r>
        <w:rPr>
          <w:rFonts w:hint="eastAsia" w:ascii="Times New Roman" w:hAnsi="Times New Roman" w:eastAsia="仿宋_GB2312" w:cs="仿宋_GB2312"/>
          <w:b/>
          <w:sz w:val="32"/>
          <w:szCs w:val="22"/>
          <w14:ligatures w14:val="standardContextual"/>
        </w:rPr>
        <w:t>6.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22"/>
          <w14:ligatures w14:val="standardContextual"/>
        </w:rPr>
        <w:t>提升教育服务国际化品质。</w:t>
      </w:r>
      <w:r>
        <w:rPr>
          <w:rFonts w:hint="eastAsia" w:ascii="Times New Roman" w:hAnsi="Times New Roman" w:eastAsia="仿宋_GB2312" w:cs="Times New Roman"/>
          <w:sz w:val="32"/>
          <w:szCs w:val="32"/>
          <w14:ligatures w14:val="standardContextual"/>
        </w:rPr>
        <w:t>支持完善多元国际课程体系，鼓励开发高品质中外融合课程，吸引更多国内外生源。积极引进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  <w14:ligatures w14:val="standardContextual"/>
        </w:rPr>
        <w:t>理工类等国际教育资源</w:t>
      </w:r>
      <w:r>
        <w:rPr>
          <w:rFonts w:hint="eastAsia" w:ascii="Times New Roman" w:hAnsi="Times New Roman" w:eastAsia="仿宋_GB2312" w:cs="Times New Roman"/>
          <w:sz w:val="32"/>
          <w:szCs w:val="32"/>
          <w14:ligatures w14:val="standardContextual"/>
        </w:rPr>
        <w:t>。搭建国际</w:t>
      </w:r>
      <w:r>
        <w:rPr>
          <w:rFonts w:hint="eastAsia" w:ascii="Times New Roman" w:hAnsi="Times New Roman" w:eastAsia="仿宋_GB2312" w:cs="Times New Roman"/>
          <w:sz w:val="32"/>
          <w:szCs w:val="22"/>
          <w14:ligatures w14:val="standardContextual"/>
        </w:rPr>
        <w:t>化交流平台，持续开展教师国际化素质提升培训。</w:t>
      </w:r>
      <w:r>
        <w:rPr>
          <w:rFonts w:ascii="Times New Roman" w:hAnsi="Times New Roman" w:eastAsia="仿宋_GB2312" w:cs="Times New Roman"/>
          <w:sz w:val="32"/>
          <w:szCs w:val="32"/>
        </w:rPr>
        <w:t>推进成人语言类教培机构落地，提升教培品牌影响力。</w:t>
      </w:r>
      <w:r>
        <w:rPr>
          <w:rFonts w:hint="eastAsia" w:ascii="Times New Roman" w:hAnsi="Times New Roman" w:eastAsia="仿宋_GB2312" w:cs="Times New Roman"/>
          <w:sz w:val="32"/>
          <w:szCs w:val="32"/>
          <w14:ligatures w14:val="standardContextual"/>
        </w:rPr>
        <w:t>支持开展高品质服务消费类职业技能培训，有序发展老年大学、市民夜校</w:t>
      </w:r>
      <w:r>
        <w:rPr>
          <w:rFonts w:hint="eastAsia" w:ascii="Times New Roman" w:hAnsi="Times New Roman" w:eastAsia="仿宋_GB2312" w:cs="Times New Roman"/>
          <w:sz w:val="32"/>
          <w:szCs w:val="22"/>
          <w14:ligatures w14:val="standardContextual"/>
        </w:rPr>
        <w:t>。</w:t>
      </w:r>
      <w:r>
        <w:rPr>
          <w:rFonts w:hint="eastAsia" w:ascii="Times New Roman" w:hAnsi="Times New Roman" w:eastAsia="楷体_GB2312" w:cs="Times New Roman"/>
          <w:sz w:val="32"/>
          <w:szCs w:val="32"/>
          <w14:ligatures w14:val="standardContextual"/>
        </w:rPr>
        <w:t>（责任单位：区教委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  <w14:ligatures w14:val="standardContextual"/>
        </w:rPr>
        <w:t>、朝阳园管委会（区科信局）</w:t>
      </w:r>
      <w:r>
        <w:rPr>
          <w:rFonts w:hint="eastAsia" w:ascii="Times New Roman" w:hAnsi="Times New Roman" w:eastAsia="楷体_GB2312" w:cs="Times New Roman"/>
          <w:sz w:val="32"/>
          <w:szCs w:val="32"/>
          <w14:ligatures w14:val="standardContextual"/>
        </w:rPr>
        <w:t>）</w:t>
      </w:r>
    </w:p>
    <w:p>
      <w:pPr>
        <w:spacing w:line="560" w:lineRule="exact"/>
        <w:ind w:firstLine="642" w:firstLineChars="200"/>
        <w:rPr>
          <w:rFonts w:ascii="Times New Roman" w:hAnsi="Times New Roman" w:eastAsia="仿宋_GB2312" w:cs="Times New Roman"/>
          <w:sz w:val="32"/>
          <w:szCs w:val="22"/>
          <w14:ligatures w14:val="standardContextual"/>
        </w:rPr>
      </w:pPr>
      <w:r>
        <w:rPr>
          <w:rFonts w:hint="eastAsia" w:ascii="Times New Roman" w:hAnsi="Times New Roman" w:eastAsia="仿宋_GB2312" w:cs="仿宋_GB2312"/>
          <w:b/>
          <w:sz w:val="32"/>
          <w:szCs w:val="22"/>
          <w14:ligatures w14:val="standardContextual"/>
        </w:rPr>
        <w:t>7.</w:t>
      </w:r>
      <w:r>
        <w:rPr>
          <w:rFonts w:hint="eastAsia" w:ascii="Times New Roman" w:hAnsi="Times New Roman" w:eastAsia="仿宋_GB2312" w:cs="Times New Roman"/>
          <w:b/>
          <w:sz w:val="32"/>
          <w:szCs w:val="22"/>
          <w14:ligatures w14:val="standardContextual"/>
        </w:rPr>
        <w:t>推动健康消费品质化提升。</w:t>
      </w:r>
      <w:r>
        <w:rPr>
          <w:rFonts w:hint="eastAsia" w:ascii="Times New Roman" w:hAnsi="Times New Roman" w:eastAsia="仿宋_GB2312" w:cs="Times New Roman"/>
          <w:sz w:val="32"/>
          <w:szCs w:val="22"/>
          <w14:ligatures w14:val="standardContextual"/>
        </w:rPr>
        <w:t>加快推动</w:t>
      </w:r>
      <w:r>
        <w:rPr>
          <w:rFonts w:hint="eastAsia" w:ascii="Times New Roman" w:hAnsi="Times New Roman" w:eastAsia="仿宋_GB2312" w:cs="Times New Roman"/>
          <w:sz w:val="32"/>
          <w:szCs w:val="22"/>
          <w:lang w:eastAsia="zh-CN"/>
          <w14:ligatures w14:val="standardContextual"/>
        </w:rPr>
        <w:t>北京爱瑞国际化医疗综合体、鹏瑞利康复医院等</w:t>
      </w:r>
      <w:r>
        <w:rPr>
          <w:rFonts w:hint="eastAsia" w:ascii="Times New Roman" w:hAnsi="Times New Roman" w:eastAsia="仿宋_GB2312" w:cs="Times New Roman"/>
          <w:sz w:val="32"/>
          <w:szCs w:val="22"/>
          <w14:ligatures w14:val="standardContextual"/>
        </w:rPr>
        <w:t>国际化医院建设，深入推进中医药国际服务试点基地建设。壮大数字医疗特色园区，发展“</w:t>
      </w:r>
      <w:r>
        <w:rPr>
          <w:rFonts w:ascii="Times New Roman" w:hAnsi="Times New Roman" w:eastAsia="仿宋_GB2312" w:cs="Times New Roman"/>
          <w:sz w:val="32"/>
          <w:szCs w:val="22"/>
          <w14:ligatures w14:val="standardContextual"/>
        </w:rPr>
        <w:t>AI+</w:t>
      </w:r>
      <w:r>
        <w:rPr>
          <w:rFonts w:hint="eastAsia" w:ascii="Times New Roman" w:hAnsi="Times New Roman" w:eastAsia="仿宋_GB2312" w:cs="Times New Roman"/>
          <w:sz w:val="32"/>
          <w:szCs w:val="22"/>
          <w14:ligatures w14:val="standardContextual"/>
        </w:rPr>
        <w:t>医疗”服务，加快“互联</w:t>
      </w:r>
      <w:r>
        <w:rPr>
          <w:rFonts w:ascii="Times New Roman" w:hAnsi="Times New Roman" w:eastAsia="仿宋_GB2312" w:cs="Times New Roman"/>
          <w:sz w:val="32"/>
          <w:szCs w:val="22"/>
          <w14:ligatures w14:val="standardContextual"/>
        </w:rPr>
        <w:t>网+</w:t>
      </w:r>
      <w:r>
        <w:rPr>
          <w:rFonts w:hint="eastAsia" w:ascii="Times New Roman" w:hAnsi="Times New Roman" w:eastAsia="仿宋_GB2312" w:cs="Times New Roman"/>
          <w:sz w:val="32"/>
          <w:szCs w:val="22"/>
          <w14:ligatures w14:val="standardContextual"/>
        </w:rPr>
        <w:t>医疗”深度融合，鼓励开发智能健康产品，创新线上线下一体化服务模式</w:t>
      </w:r>
      <w:r>
        <w:rPr>
          <w:rFonts w:ascii="Times New Roman" w:hAnsi="Times New Roman" w:eastAsia="仿宋_GB2312" w:cs="Times New Roman"/>
          <w:sz w:val="32"/>
          <w:szCs w:val="32"/>
          <w:lang w:bidi="ar"/>
          <w14:ligatures w14:val="standardContextual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bidi="ar"/>
          <w14:ligatures w14:val="standardContextual"/>
        </w:rPr>
        <w:t>推动健康管理从“治病”向“防病”延伸升级，优化体检、康复、心理咨询等服务供给。</w:t>
      </w:r>
      <w:r>
        <w:rPr>
          <w:rFonts w:hint="eastAsia" w:ascii="Times New Roman" w:hAnsi="Times New Roman" w:eastAsia="楷体_GB2312" w:cs="Times New Roman"/>
          <w:sz w:val="32"/>
          <w:szCs w:val="32"/>
          <w14:ligatures w14:val="standardContextual"/>
        </w:rPr>
        <w:t>（责任单位：区卫生健康委、市规自委朝阳分局、朝阳园管委会（区科信局））</w:t>
      </w:r>
    </w:p>
    <w:p>
      <w:pPr>
        <w:suppressAutoHyphens/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楷体_GB2312" w:cs="楷体_GB2312"/>
          <w:sz w:val="32"/>
          <w:szCs w:val="22"/>
          <w14:ligatures w14:val="standardContextual"/>
        </w:rPr>
      </w:pPr>
      <w:r>
        <w:rPr>
          <w:rFonts w:hint="eastAsia" w:ascii="Times New Roman" w:hAnsi="Times New Roman" w:eastAsia="楷体_GB2312" w:cs="楷体_GB2312"/>
          <w:sz w:val="32"/>
          <w:szCs w:val="22"/>
          <w14:ligatures w14:val="standardContextual"/>
        </w:rPr>
        <w:t>（三）培育服务消费新增长点</w:t>
      </w:r>
    </w:p>
    <w:p>
      <w:pPr>
        <w:widowControl w:val="0"/>
        <w:adjustRightInd w:val="0"/>
        <w:snapToGrid w:val="0"/>
        <w:spacing w:line="560" w:lineRule="exact"/>
        <w:ind w:firstLine="642" w:firstLineChars="200"/>
        <w:jc w:val="both"/>
        <w:outlineLvl w:val="3"/>
        <w:rPr>
          <w:rFonts w:ascii="Times New Roman" w:hAnsi="Times New Roman" w:eastAsia="仿宋_GB2312" w:cs="Times New Roman"/>
          <w:bCs/>
          <w:kern w:val="2"/>
          <w:sz w:val="32"/>
          <w:szCs w:val="28"/>
          <w:lang w:val="en-US" w:eastAsia="zh-CN" w:bidi="ar-SA"/>
          <w14:ligatures w14:val="standardContextual"/>
        </w:rPr>
      </w:pPr>
      <w:r>
        <w:rPr>
          <w:rFonts w:hint="eastAsia" w:ascii="Times New Roman" w:hAnsi="Times New Roman" w:eastAsia="仿宋_GB2312" w:cs="仿宋_GB2312"/>
          <w:b/>
          <w:bCs w:val="0"/>
          <w:kern w:val="2"/>
          <w:sz w:val="32"/>
          <w:szCs w:val="28"/>
          <w:lang w:val="en-US" w:eastAsia="zh-CN" w:bidi="ar-SA"/>
          <w14:ligatures w14:val="standardContextual"/>
        </w:rPr>
        <w:t>8.扩大</w:t>
      </w:r>
      <w:r>
        <w:rPr>
          <w:rFonts w:ascii="Times New Roman" w:hAnsi="Times New Roman" w:eastAsia="仿宋_GB2312" w:cs="Times New Roman"/>
          <w:b/>
          <w:bCs w:val="0"/>
          <w:kern w:val="2"/>
          <w:sz w:val="32"/>
          <w:szCs w:val="28"/>
          <w:lang w:val="en-US" w:eastAsia="zh-CN" w:bidi="ar-SA"/>
          <w14:ligatures w14:val="standardContextual"/>
        </w:rPr>
        <w:t>入境消费</w:t>
      </w:r>
      <w:r>
        <w:rPr>
          <w:rFonts w:hint="eastAsia" w:ascii="Times New Roman" w:hAnsi="Times New Roman" w:eastAsia="仿宋_GB2312" w:cs="Times New Roman"/>
          <w:b/>
          <w:bCs w:val="0"/>
          <w:kern w:val="2"/>
          <w:sz w:val="32"/>
          <w:szCs w:val="28"/>
          <w:lang w:val="en-US" w:eastAsia="zh-CN" w:bidi="ar-SA"/>
          <w14:ligatures w14:val="standardContextual"/>
        </w:rPr>
        <w:t>。</w:t>
      </w:r>
      <w:r>
        <w:rPr>
          <w:rFonts w:hint="eastAsia" w:ascii="仿宋_GB2312" w:hAnsi="Calibri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"/>
          <w14:ligatures w14:val="standardContextual"/>
        </w:rPr>
        <w:t>用好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"/>
          <w14:ligatures w14:val="standardContextual"/>
        </w:rPr>
        <w:t>用活240小时过境免签</w:t>
      </w:r>
      <w:r>
        <w:rPr>
          <w:rFonts w:hint="eastAsia" w:ascii="仿宋_GB2312" w:hAnsi="Calibri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"/>
          <w14:ligatures w14:val="standardContextual"/>
        </w:rPr>
        <w:t>政策，开发富有朝阳特色的精品入境旅游线路，培育打造奥林匹克塔等一批入境游客消费打卡地。大力发展免退税经济，推动离境退税商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32"/>
          <w:lang w:val="en-US" w:eastAsia="zh-CN" w:bidi="ar-SA"/>
          <w14:ligatures w14:val="standardContextual"/>
        </w:rPr>
        <w:t>店增量扩容。保障商圈、景区等重点场所外卡受理能力，完善“外卡POS机+移动支付+现金”多元支付体系，</w:t>
      </w:r>
      <w:r>
        <w:rPr>
          <w:rFonts w:hint="eastAsia" w:ascii="仿宋_GB2312" w:hAnsi="Times New Roman" w:eastAsia="仿宋_GB2312" w:cs="仿宋_GB2312"/>
          <w:bCs/>
          <w:color w:val="auto"/>
          <w:kern w:val="2"/>
          <w:sz w:val="32"/>
          <w:szCs w:val="32"/>
          <w:lang w:val="en-US" w:eastAsia="zh-CN" w:bidi="ar"/>
          <w14:ligatures w14:val="standardContextual"/>
        </w:rPr>
        <w:t>协调金融机构为商户提供</w:t>
      </w:r>
      <w:r>
        <w:rPr>
          <w:rFonts w:hint="eastAsia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 w:bidi="ar"/>
          <w14:ligatures w14:val="standardContextual"/>
        </w:rPr>
        <w:t>外卡受理</w:t>
      </w:r>
      <w:r>
        <w:rPr>
          <w:rFonts w:hint="eastAsia" w:ascii="仿宋_GB2312" w:hAnsi="Times New Roman" w:eastAsia="仿宋_GB2312" w:cs="仿宋_GB2312"/>
          <w:bCs/>
          <w:color w:val="auto"/>
          <w:kern w:val="2"/>
          <w:sz w:val="32"/>
          <w:szCs w:val="32"/>
          <w:lang w:val="en-US" w:eastAsia="zh-CN" w:bidi="ar"/>
          <w14:ligatures w14:val="standardContextual"/>
        </w:rPr>
        <w:t>优惠费率，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32"/>
          <w:lang w:val="zh-TW" w:eastAsia="zh-CN" w:bidi="ar-SA"/>
          <w14:ligatures w14:val="standardContextual"/>
        </w:rPr>
        <w:t>打造外籍人士友好型消费环境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32"/>
          <w:lang w:val="en-US" w:eastAsia="zh-CN" w:bidi="ar-SA"/>
          <w14:ligatures w14:val="standardContextual"/>
        </w:rPr>
        <w:t>。</w:t>
      </w:r>
      <w:r>
        <w:rPr>
          <w:rFonts w:hint="eastAsia" w:ascii="Times New Roman" w:hAnsi="Times New Roman" w:eastAsia="楷体_GB2312" w:cs="Times New Roman"/>
          <w:bCs w:val="0"/>
          <w:kern w:val="2"/>
          <w:sz w:val="32"/>
          <w:szCs w:val="32"/>
          <w:lang w:val="en-US" w:eastAsia="zh-CN" w:bidi="ar-SA"/>
          <w14:ligatures w14:val="standardContextual"/>
        </w:rPr>
        <w:t>（责任单位：区商务局、市公安局朝阳分局、区文化和旅游局、</w:t>
      </w:r>
      <w:r>
        <w:rPr>
          <w:rFonts w:hint="eastAsia" w:ascii="等线 Light" w:hAnsi="等线 Light" w:eastAsia="楷体_GB2312" w:cs="Times New Roman"/>
          <w:bCs/>
          <w:kern w:val="2"/>
          <w:sz w:val="32"/>
          <w:szCs w:val="32"/>
          <w:lang w:val="en-US" w:eastAsia="zh-CN" w:bidi="ar-SA"/>
          <w14:ligatures w14:val="standardContextual"/>
        </w:rPr>
        <w:t>奥林匹克中心区管委会、</w:t>
      </w:r>
      <w:r>
        <w:rPr>
          <w:rFonts w:hint="eastAsia" w:ascii="Times New Roman" w:hAnsi="Times New Roman" w:eastAsia="楷体_GB2312" w:cs="Times New Roman"/>
          <w:bCs w:val="0"/>
          <w:kern w:val="2"/>
          <w:sz w:val="32"/>
          <w:szCs w:val="32"/>
          <w:lang w:val="en-US" w:eastAsia="zh-CN" w:bidi="ar-SA"/>
          <w14:ligatures w14:val="standardContextual"/>
        </w:rPr>
        <w:t>区税务局、区发展改革委、区政府外办）</w:t>
      </w:r>
    </w:p>
    <w:p>
      <w:pPr>
        <w:widowControl w:val="0"/>
        <w:adjustRightInd w:val="0"/>
        <w:snapToGrid w:val="0"/>
        <w:spacing w:line="560" w:lineRule="exact"/>
        <w:ind w:firstLine="642" w:firstLineChars="200"/>
        <w:jc w:val="both"/>
        <w:outlineLvl w:val="3"/>
        <w:rPr>
          <w:rFonts w:ascii="Times New Roman" w:hAnsi="Times New Roman" w:eastAsia="仿宋_GB2312" w:cs="Times New Roman"/>
          <w:bCs/>
          <w:kern w:val="2"/>
          <w:sz w:val="32"/>
          <w:szCs w:val="28"/>
          <w:lang w:val="en-US" w:eastAsia="zh-CN" w:bidi="ar-SA"/>
          <w14:ligatures w14:val="standardContextual"/>
        </w:rPr>
      </w:pPr>
      <w:r>
        <w:rPr>
          <w:rFonts w:hint="eastAsia" w:ascii="Times New Roman" w:hAnsi="Times New Roman" w:eastAsia="仿宋_GB2312" w:cs="仿宋_GB2312"/>
          <w:b/>
          <w:bCs w:val="0"/>
          <w:kern w:val="2"/>
          <w:sz w:val="32"/>
          <w:szCs w:val="28"/>
          <w:lang w:val="en-US" w:eastAsia="zh-CN" w:bidi="ar-SA"/>
          <w14:ligatures w14:val="standardContextual"/>
        </w:rPr>
        <w:t>9.</w:t>
      </w: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28"/>
          <w:lang w:val="en-US" w:eastAsia="zh-CN" w:bidi="ar-SA"/>
          <w14:ligatures w14:val="standardContextual"/>
        </w:rPr>
        <w:t>创新汽车后市场服务。</w:t>
      </w:r>
      <w:r>
        <w:rPr>
          <w:rFonts w:hint="eastAsia" w:ascii="Times New Roman" w:hAnsi="Times New Roman" w:eastAsia="仿宋_GB2312" w:cs="Times New Roman"/>
          <w:bCs/>
          <w:kern w:val="2"/>
          <w:sz w:val="32"/>
          <w:szCs w:val="28"/>
          <w:lang w:val="en-US" w:eastAsia="zh-CN" w:bidi="ar-SA"/>
          <w14:ligatures w14:val="standardContextual"/>
        </w:rPr>
        <w:t>深入推进朝阳区汽车流通消费改革试点建设，以汽车改装创新试点为核心，依托五方天雅、酷车小镇等特色产业园区，吸引汽车后市场企业主体落地集聚，打造集汽车改装、专业维保、文化体验于一体的汽车后市场特色消费集群。丰富改装消费文化场景，支持举办改装消费主题活动，营造浓郁汽车后市场氛围。</w:t>
      </w:r>
      <w:r>
        <w:rPr>
          <w:rFonts w:hint="eastAsia" w:ascii="Times New Roman" w:hAnsi="Times New Roman" w:eastAsia="楷体_GB2312" w:cs="Times New Roman"/>
          <w:bCs w:val="0"/>
          <w:kern w:val="2"/>
          <w:sz w:val="32"/>
          <w:szCs w:val="32"/>
          <w:lang w:val="en-US" w:eastAsia="zh-CN" w:bidi="ar-SA"/>
          <w14:ligatures w14:val="standardContextual"/>
        </w:rPr>
        <w:t>（责任单位：区商务局、</w:t>
      </w:r>
      <w:r>
        <w:rPr>
          <w:rFonts w:hint="eastAsia" w:ascii="Times New Roman" w:hAnsi="Times New Roman" w:eastAsia="楷体_GB2312" w:cs="Times New Roman"/>
          <w:bCs w:val="0"/>
          <w:color w:val="auto"/>
          <w:kern w:val="2"/>
          <w:sz w:val="32"/>
          <w:szCs w:val="32"/>
          <w:lang w:val="en-US" w:eastAsia="zh-CN" w:bidi="ar-SA"/>
          <w14:ligatures w14:val="standardContextual"/>
        </w:rPr>
        <w:t>市公安局朝阳分局、区文化和</w:t>
      </w:r>
      <w:r>
        <w:rPr>
          <w:rFonts w:hint="eastAsia" w:ascii="Times New Roman" w:hAnsi="Times New Roman" w:eastAsia="楷体_GB2312" w:cs="Times New Roman"/>
          <w:bCs w:val="0"/>
          <w:kern w:val="2"/>
          <w:sz w:val="32"/>
          <w:szCs w:val="32"/>
          <w:lang w:val="en-US" w:eastAsia="zh-CN" w:bidi="ar-SA"/>
          <w14:ligatures w14:val="standardContextual"/>
        </w:rPr>
        <w:t>旅游局、相关街乡）</w:t>
      </w:r>
    </w:p>
    <w:p>
      <w:pPr>
        <w:spacing w:line="560" w:lineRule="exact"/>
        <w:ind w:firstLine="642" w:firstLineChars="200"/>
        <w:rPr>
          <w:rFonts w:ascii="Times New Roman" w:hAnsi="Times New Roman" w:eastAsia="仿宋_GB2312" w:cs="Times New Roman"/>
          <w:sz w:val="32"/>
          <w:szCs w:val="22"/>
          <w14:ligatures w14:val="standardContextual"/>
        </w:rPr>
      </w:pPr>
      <w:r>
        <w:rPr>
          <w:rFonts w:hint="eastAsia" w:ascii="Times New Roman" w:hAnsi="Times New Roman" w:eastAsia="仿宋_GB2312" w:cs="仿宋_GB2312"/>
          <w:b/>
          <w:sz w:val="32"/>
          <w:szCs w:val="22"/>
          <w14:ligatures w14:val="standardContextual"/>
        </w:rPr>
        <w:t>10.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22"/>
          <w14:ligatures w14:val="standardContextual"/>
        </w:rPr>
        <w:t>提升会展消费能级。</w:t>
      </w:r>
      <w:r>
        <w:rPr>
          <w:rFonts w:hint="eastAsia" w:ascii="Times New Roman" w:hAnsi="Times New Roman" w:eastAsia="仿宋_GB2312" w:cs="Times New Roman"/>
          <w:sz w:val="32"/>
          <w:szCs w:val="32"/>
          <w14:ligatures w14:val="standardContextual"/>
        </w:rPr>
        <w:t>建设</w:t>
      </w:r>
      <w:r>
        <w:rPr>
          <w:rFonts w:ascii="Times New Roman" w:hAnsi="Times New Roman" w:eastAsia="仿宋_GB2312" w:cs="Times New Roman"/>
          <w:sz w:val="32"/>
          <w:szCs w:val="32"/>
          <w14:ligatures w14:val="standardContextual"/>
        </w:rPr>
        <w:t>以国家会议中心为核心的国际会展集聚区，</w:t>
      </w:r>
      <w:r>
        <w:rPr>
          <w:rFonts w:hint="eastAsia" w:ascii="Times New Roman" w:hAnsi="Times New Roman" w:eastAsia="仿宋_GB2312" w:cs="Times New Roman"/>
          <w:sz w:val="32"/>
          <w:szCs w:val="22"/>
          <w14:ligatures w14:val="standardContextual"/>
        </w:rPr>
        <w:t>加强与国际知名会展业组织和国际头部</w:t>
      </w:r>
      <w:r>
        <w:rPr>
          <w:rFonts w:hint="eastAsia" w:ascii="Times New Roman" w:hAnsi="Times New Roman" w:eastAsia="仿宋_GB2312" w:cs="Times New Roman"/>
          <w:sz w:val="32"/>
          <w:szCs w:val="22"/>
          <w:lang w:eastAsia="zh-CN"/>
          <w14:ligatures w14:val="standardContextual"/>
        </w:rPr>
        <w:t>会展</w:t>
      </w:r>
      <w:r>
        <w:rPr>
          <w:rFonts w:hint="eastAsia" w:ascii="Times New Roman" w:hAnsi="Times New Roman" w:eastAsia="仿宋_GB2312" w:cs="Times New Roman"/>
          <w:sz w:val="32"/>
          <w:szCs w:val="22"/>
          <w14:ligatures w14:val="standardContextual"/>
        </w:rPr>
        <w:t>企业合作，</w:t>
      </w:r>
      <w:r>
        <w:rPr>
          <w:rFonts w:hint="eastAsia" w:ascii="Times New Roman" w:hAnsi="Times New Roman" w:eastAsia="仿宋_GB2312" w:cs="Times New Roman"/>
          <w:sz w:val="32"/>
          <w:szCs w:val="22"/>
          <w:lang w:eastAsia="zh-CN"/>
          <w14:ligatures w14:val="standardContextual"/>
        </w:rPr>
        <w:t>引进</w:t>
      </w:r>
      <w:r>
        <w:rPr>
          <w:rFonts w:hint="eastAsia" w:ascii="Times New Roman" w:hAnsi="Times New Roman" w:eastAsia="仿宋_GB2312" w:cs="Times New Roman"/>
          <w:sz w:val="32"/>
          <w:szCs w:val="22"/>
          <w14:ligatures w14:val="standardContextual"/>
        </w:rPr>
        <w:t>2027北京国际潮玩产业博览会</w:t>
      </w:r>
      <w:r>
        <w:rPr>
          <w:rFonts w:hint="eastAsia" w:ascii="Times New Roman" w:hAnsi="Times New Roman" w:eastAsia="仿宋_GB2312" w:cs="Times New Roman"/>
          <w:sz w:val="32"/>
          <w:szCs w:val="22"/>
          <w:lang w:eastAsia="zh-CN"/>
          <w14:ligatures w14:val="standardContextual"/>
        </w:rPr>
        <w:t>等</w:t>
      </w:r>
      <w:r>
        <w:rPr>
          <w:rFonts w:hint="eastAsia" w:ascii="Times New Roman" w:hAnsi="Times New Roman" w:eastAsia="仿宋_GB2312" w:cs="Times New Roman"/>
          <w:sz w:val="32"/>
          <w:szCs w:val="22"/>
          <w14:ligatures w14:val="standardContextual"/>
        </w:rPr>
        <w:t>一批有国际影响力的会展品牌。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14:ligatures w14:val="standardContextual"/>
        </w:rPr>
        <w:t>建立涵盖休闲、运动、购物、娱乐等多种消费功能于一体的会展导向片区。充分利用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  <w14:ligatures w14:val="standardContextual"/>
        </w:rPr>
        <w:t>会展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14:ligatures w14:val="standardContextual"/>
        </w:rPr>
        <w:t>场馆空间，引入时尚文创</w:t>
      </w:r>
      <w:r>
        <w:rPr>
          <w:rFonts w:ascii="Times New Roman" w:hAnsi="Times New Roman" w:eastAsia="仿宋_GB2312" w:cs="Times New Roman"/>
          <w:sz w:val="32"/>
          <w:szCs w:val="32"/>
          <w14:ligatures w14:val="standardContextual"/>
        </w:rPr>
        <w:t>店、老字号精品店、网红餐饮店等</w:t>
      </w:r>
      <w:r>
        <w:rPr>
          <w:rFonts w:hint="eastAsia" w:ascii="Times New Roman" w:hAnsi="Times New Roman" w:eastAsia="仿宋_GB2312" w:cs="Times New Roman"/>
          <w:sz w:val="32"/>
          <w:szCs w:val="32"/>
          <w14:ligatures w14:val="standardContextual"/>
        </w:rPr>
        <w:t>配套</w:t>
      </w:r>
      <w:r>
        <w:rPr>
          <w:rFonts w:ascii="Times New Roman" w:hAnsi="Times New Roman" w:eastAsia="仿宋_GB2312" w:cs="Times New Roman"/>
          <w:sz w:val="32"/>
          <w:szCs w:val="32"/>
          <w14:ligatures w14:val="standardContextual"/>
        </w:rPr>
        <w:t>。</w:t>
      </w:r>
      <w:r>
        <w:rPr>
          <w:rFonts w:hint="eastAsia" w:ascii="Times New Roman" w:hAnsi="Times New Roman" w:eastAsia="楷体_GB2312" w:cs="Times New Roman"/>
          <w:sz w:val="32"/>
          <w:szCs w:val="32"/>
          <w14:ligatures w14:val="standardContextual"/>
        </w:rPr>
        <w:t>（责任单位：区商务局、奥林匹克中心区管委会、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  <w14:ligatures w14:val="standardContextual"/>
        </w:rPr>
        <w:t>区政府外办、</w:t>
      </w:r>
      <w:r>
        <w:rPr>
          <w:rFonts w:hint="eastAsia" w:ascii="Times New Roman" w:hAnsi="Times New Roman" w:eastAsia="楷体_GB2312" w:cs="Times New Roman"/>
          <w:sz w:val="32"/>
          <w:szCs w:val="32"/>
          <w14:ligatures w14:val="standardContextual"/>
        </w:rPr>
        <w:t>区文化和旅游局、区体育局、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  <w14:ligatures w14:val="standardContextual"/>
        </w:rPr>
        <w:t>文创实验区管委会、</w:t>
      </w:r>
      <w:r>
        <w:rPr>
          <w:rFonts w:hint="eastAsia" w:ascii="Times New Roman" w:hAnsi="Times New Roman" w:eastAsia="楷体_GB2312" w:cs="Times New Roman"/>
          <w:sz w:val="32"/>
          <w:szCs w:val="32"/>
          <w14:ligatures w14:val="standardContextual"/>
        </w:rPr>
        <w:t>奥运村街道办事处、香河园街道办事处、麦子店街道办事处）</w:t>
      </w:r>
    </w:p>
    <w:p>
      <w:pPr>
        <w:widowControl w:val="0"/>
        <w:adjustRightInd w:val="0"/>
        <w:snapToGrid w:val="0"/>
        <w:spacing w:line="560" w:lineRule="exact"/>
        <w:ind w:firstLine="642" w:firstLineChars="200"/>
        <w:jc w:val="both"/>
        <w:outlineLvl w:val="3"/>
        <w:rPr>
          <w:rFonts w:ascii="Times New Roman" w:hAnsi="Times New Roman" w:eastAsia="仿宋_GB2312" w:cs="Times New Roman"/>
          <w:bCs w:val="0"/>
          <w:kern w:val="2"/>
          <w:sz w:val="32"/>
          <w:szCs w:val="32"/>
          <w:lang w:val="zh-TW" w:eastAsia="zh-CN" w:bidi="ar-SA"/>
          <w14:ligatures w14:val="standardContextual"/>
        </w:rPr>
      </w:pPr>
      <w:r>
        <w:rPr>
          <w:rFonts w:hint="eastAsia" w:ascii="Times New Roman" w:hAnsi="Times New Roman" w:eastAsia="仿宋_GB2312" w:cs="仿宋_GB2312"/>
          <w:b/>
          <w:bCs w:val="0"/>
          <w:kern w:val="2"/>
          <w:sz w:val="32"/>
          <w:szCs w:val="28"/>
          <w:lang w:val="en-US" w:eastAsia="zh-CN" w:bidi="ar-SA"/>
          <w14:ligatures w14:val="standardContextual"/>
        </w:rPr>
        <w:t>11.培育壮大</w:t>
      </w:r>
      <w:r>
        <w:rPr>
          <w:rFonts w:ascii="Times New Roman" w:hAnsi="Times New Roman" w:eastAsia="仿宋_GB2312" w:cs="Times New Roman"/>
          <w:b/>
          <w:bCs w:val="0"/>
          <w:kern w:val="2"/>
          <w:sz w:val="32"/>
          <w:szCs w:val="28"/>
          <w:lang w:val="en-US" w:eastAsia="zh-CN" w:bidi="ar-SA"/>
          <w14:ligatures w14:val="standardContextual"/>
        </w:rPr>
        <w:t>数字消费</w:t>
      </w:r>
      <w:r>
        <w:rPr>
          <w:rFonts w:hint="eastAsia" w:ascii="Times New Roman" w:hAnsi="Times New Roman" w:eastAsia="仿宋_GB2312" w:cs="Times New Roman"/>
          <w:b/>
          <w:bCs w:val="0"/>
          <w:kern w:val="2"/>
          <w:sz w:val="32"/>
          <w:szCs w:val="28"/>
          <w:lang w:val="en-US" w:eastAsia="zh-CN" w:bidi="ar-SA"/>
          <w14:ligatures w14:val="standardContextual"/>
        </w:rPr>
        <w:t>。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32"/>
          <w:lang w:val="en-US" w:eastAsia="zh-CN" w:bidi="ar-SA"/>
          <w14:ligatures w14:val="standardContextual"/>
        </w:rPr>
        <w:t>支持直播电商、即时零售等新业态新模式创新发展，</w:t>
      </w:r>
      <w:r>
        <w:rPr>
          <w:rFonts w:ascii="Times New Roman" w:hAnsi="Times New Roman" w:eastAsia="仿宋_GB2312" w:cs="Times New Roman"/>
          <w:bCs w:val="0"/>
          <w:kern w:val="2"/>
          <w:sz w:val="32"/>
          <w:szCs w:val="32"/>
          <w:lang w:val="en-US" w:eastAsia="zh-CN" w:bidi="ar-SA"/>
          <w14:ligatures w14:val="standardContextual"/>
        </w:rPr>
        <w:t>培育特色直播电商基地与示范场景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32"/>
          <w:lang w:val="en-US" w:eastAsia="zh-CN" w:bidi="ar-SA"/>
          <w14:ligatures w14:val="standardContextual"/>
        </w:rPr>
        <w:t>。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32"/>
          <w:lang w:val="zh-TW" w:eastAsia="zh-CN" w:bidi="ar-SA"/>
          <w14:ligatures w14:val="standardContextual"/>
        </w:rPr>
        <w:t>助推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32"/>
          <w:lang w:val="en-US" w:eastAsia="zh-CN" w:bidi="ar-SA"/>
          <w14:ligatures w14:val="standardContextual"/>
        </w:rPr>
        <w:t>商业体数字化升级，</w:t>
      </w:r>
      <w:r>
        <w:rPr>
          <w:rFonts w:ascii="Times New Roman" w:hAnsi="Times New Roman" w:eastAsia="仿宋_GB2312" w:cs="Times New Roman"/>
          <w:bCs w:val="0"/>
          <w:kern w:val="2"/>
          <w:sz w:val="32"/>
          <w:szCs w:val="32"/>
          <w:lang w:val="en-US" w:eastAsia="zh-CN" w:bidi="ar-SA"/>
          <w14:ligatures w14:val="standardContextual"/>
        </w:rPr>
        <w:t>深化重点平台企业与线下实体商业合作，推动实体商业向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32"/>
          <w:lang w:val="en-US" w:eastAsia="zh-CN" w:bidi="ar-SA"/>
          <w14:ligatures w14:val="standardContextual"/>
        </w:rPr>
        <w:t>“</w:t>
      </w:r>
      <w:r>
        <w:rPr>
          <w:rFonts w:ascii="Times New Roman" w:hAnsi="Times New Roman" w:eastAsia="仿宋_GB2312" w:cs="Times New Roman"/>
          <w:bCs w:val="0"/>
          <w:kern w:val="2"/>
          <w:sz w:val="32"/>
          <w:szCs w:val="32"/>
          <w:lang w:val="en-US" w:eastAsia="zh-CN" w:bidi="ar-SA"/>
          <w14:ligatures w14:val="standardContextual"/>
        </w:rPr>
        <w:t>线上线下一体化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32"/>
          <w:lang w:val="en-US" w:eastAsia="zh-CN" w:bidi="ar-SA"/>
          <w14:ligatures w14:val="standardContextual"/>
        </w:rPr>
        <w:t>”</w:t>
      </w:r>
      <w:r>
        <w:rPr>
          <w:rFonts w:ascii="Times New Roman" w:hAnsi="Times New Roman" w:eastAsia="仿宋_GB2312" w:cs="Times New Roman"/>
          <w:bCs w:val="0"/>
          <w:kern w:val="2"/>
          <w:sz w:val="32"/>
          <w:szCs w:val="32"/>
          <w:lang w:val="en-US" w:eastAsia="zh-CN" w:bidi="ar-SA"/>
          <w14:ligatures w14:val="standardContextual"/>
        </w:rPr>
        <w:t>升级。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32"/>
          <w:lang w:val="en-US" w:eastAsia="zh-CN" w:bidi="ar-SA"/>
          <w14:ligatures w14:val="standardContextual"/>
        </w:rPr>
        <w:t>引导商业企业落地商品数字孪生、</w:t>
      </w:r>
      <w:r>
        <w:rPr>
          <w:rFonts w:ascii="Times New Roman" w:hAnsi="Times New Roman" w:eastAsia="仿宋_GB2312" w:cs="Times New Roman"/>
          <w:bCs w:val="0"/>
          <w:kern w:val="2"/>
          <w:sz w:val="32"/>
          <w:szCs w:val="32"/>
          <w:lang w:val="en-US" w:eastAsia="zh-CN" w:bidi="ar-SA"/>
          <w14:ligatures w14:val="standardContextual"/>
        </w:rPr>
        <w:t>AR试衣、虚拟导购等创新应用，提升商圈智慧化水平</w:t>
      </w:r>
      <w:r>
        <w:rPr>
          <w:rFonts w:ascii="Times New Roman" w:hAnsi="Times New Roman" w:eastAsia="仿宋_GB2312" w:cs="Times New Roman"/>
          <w:bCs w:val="0"/>
          <w:kern w:val="2"/>
          <w:sz w:val="32"/>
          <w:szCs w:val="32"/>
          <w:lang w:val="zh-TW" w:eastAsia="zh-CN" w:bidi="ar-SA"/>
          <w14:ligatures w14:val="standardContextual"/>
        </w:rPr>
        <w:t>。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32"/>
          <w:lang w:val="zh-TW" w:eastAsia="zh-CN" w:bidi="ar-SA"/>
          <w14:ligatures w14:val="standardContextual"/>
        </w:rPr>
        <w:t>加快生活服务数字化赋能，</w:t>
      </w:r>
      <w:r>
        <w:rPr>
          <w:rFonts w:ascii="Times New Roman" w:hAnsi="Times New Roman" w:eastAsia="仿宋_GB2312" w:cs="Times New Roman"/>
          <w:bCs w:val="0"/>
          <w:kern w:val="2"/>
          <w:sz w:val="32"/>
          <w:szCs w:val="32"/>
          <w:lang w:val="zh-TW" w:eastAsia="zh-CN" w:bidi="ar-SA"/>
          <w14:ligatures w14:val="standardContextual"/>
        </w:rPr>
        <w:t>大力发展智慧医疗、线上教育、数字文旅等服务新模式，推动线上线下深度融合。</w:t>
      </w:r>
      <w:r>
        <w:rPr>
          <w:rFonts w:hint="eastAsia" w:ascii="Times New Roman" w:hAnsi="Times New Roman" w:eastAsia="楷体_GB2312" w:cs="Times New Roman"/>
          <w:bCs w:val="0"/>
          <w:kern w:val="2"/>
          <w:sz w:val="32"/>
          <w:szCs w:val="32"/>
          <w:lang w:val="zh-TW" w:eastAsia="zh-CN" w:bidi="ar-SA"/>
          <w14:ligatures w14:val="standardContextual"/>
        </w:rPr>
        <w:t>（</w:t>
      </w:r>
      <w:r>
        <w:rPr>
          <w:rFonts w:hint="eastAsia" w:ascii="Times New Roman" w:hAnsi="Times New Roman" w:eastAsia="楷体_GB2312" w:cs="Times New Roman"/>
          <w:bCs w:val="0"/>
          <w:kern w:val="2"/>
          <w:sz w:val="32"/>
          <w:szCs w:val="32"/>
          <w:lang w:val="en-US" w:eastAsia="zh-CN" w:bidi="ar-SA"/>
          <w14:ligatures w14:val="standardContextual"/>
        </w:rPr>
        <w:t>责任单位：区商务局、朝阳园管委会（区科信局）、区卫生健康委、区教委、文创实验区管委会</w:t>
      </w:r>
      <w:r>
        <w:rPr>
          <w:rFonts w:hint="eastAsia" w:ascii="Times New Roman" w:hAnsi="Times New Roman" w:eastAsia="楷体_GB2312" w:cs="Times New Roman"/>
          <w:bCs w:val="0"/>
          <w:kern w:val="2"/>
          <w:sz w:val="32"/>
          <w:szCs w:val="32"/>
          <w:lang w:val="zh-TW" w:eastAsia="zh-CN" w:bidi="ar-SA"/>
          <w14:ligatures w14:val="standardContextual"/>
        </w:rPr>
        <w:t>）</w:t>
      </w:r>
    </w:p>
    <w:p>
      <w:pPr>
        <w:suppressAutoHyphens/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楷体_GB2312" w:cs="楷体_GB2312"/>
          <w:sz w:val="32"/>
          <w:szCs w:val="22"/>
          <w14:ligatures w14:val="standardContextual"/>
        </w:rPr>
      </w:pPr>
      <w:r>
        <w:rPr>
          <w:rFonts w:hint="eastAsia" w:ascii="Times New Roman" w:hAnsi="Times New Roman" w:eastAsia="楷体_GB2312" w:cs="楷体_GB2312"/>
          <w:sz w:val="32"/>
          <w:szCs w:val="22"/>
          <w14:ligatures w14:val="standardContextual"/>
        </w:rPr>
        <w:t>（四）增强服务消费动能</w:t>
      </w:r>
    </w:p>
    <w:p>
      <w:pPr>
        <w:spacing w:line="560" w:lineRule="exact"/>
        <w:ind w:firstLine="642" w:firstLineChars="200"/>
        <w:rPr>
          <w:rFonts w:ascii="Times New Roman" w:hAnsi="Times New Roman" w:eastAsia="楷体_GB2312" w:cs="Times New Roman"/>
          <w:sz w:val="32"/>
          <w:szCs w:val="32"/>
          <w14:ligatures w14:val="standardContextual"/>
        </w:rPr>
      </w:pPr>
      <w:r>
        <w:rPr>
          <w:rFonts w:hint="eastAsia" w:ascii="Times New Roman" w:hAnsi="Times New Roman" w:eastAsia="仿宋_GB2312" w:cs="仿宋_GB2312"/>
          <w:b/>
          <w:sz w:val="32"/>
          <w:szCs w:val="22"/>
          <w14:ligatures w14:val="standardContextual"/>
        </w:rPr>
        <w:t>12.</w:t>
      </w:r>
      <w:r>
        <w:rPr>
          <w:rFonts w:hint="eastAsia" w:ascii="Times New Roman" w:hAnsi="Times New Roman" w:eastAsia="仿宋_GB2312" w:cs="Times New Roman"/>
          <w:b/>
          <w:sz w:val="32"/>
          <w:szCs w:val="22"/>
          <w14:ligatures w14:val="standardContextual"/>
        </w:rPr>
        <w:t>打造融合消费新场景。</w:t>
      </w:r>
      <w:r>
        <w:rPr>
          <w:rFonts w:hint="eastAsia" w:ascii="Times New Roman" w:hAnsi="Times New Roman" w:eastAsia="仿宋_GB2312" w:cs="Times New Roman"/>
          <w:sz w:val="32"/>
          <w:szCs w:val="22"/>
          <w14:ligatures w14:val="standardContextual"/>
        </w:rPr>
        <w:t>深化文商旅体展联动，继续办好北京朝阳国际灯光消费季、国际茶香文化周等特色品牌活动，培育构建主题鲜明的区域活动IP矩阵。围绕餐饮家政、养老托育、文旅体育等重点民生领域，举办“服务消费季”系列活动。依托展览会议、赛</w:t>
      </w:r>
      <w:r>
        <w:rPr>
          <w:rFonts w:ascii="Times New Roman" w:hAnsi="Times New Roman" w:eastAsia="仿宋_GB2312" w:cs="Times New Roman"/>
          <w:sz w:val="32"/>
          <w:szCs w:val="32"/>
          <w14:ligatures w14:val="standardContextual"/>
        </w:rPr>
        <w:t>事、演艺活动，构建</w:t>
      </w:r>
      <w:r>
        <w:rPr>
          <w:rFonts w:hint="eastAsia" w:ascii="Times New Roman" w:hAnsi="Times New Roman" w:eastAsia="仿宋_GB2312" w:cs="Times New Roman"/>
          <w:sz w:val="32"/>
          <w:szCs w:val="32"/>
          <w14:ligatures w14:val="standardContextual"/>
        </w:rPr>
        <w:t>“</w:t>
      </w:r>
      <w:r>
        <w:rPr>
          <w:rFonts w:ascii="Times New Roman" w:hAnsi="Times New Roman" w:eastAsia="仿宋_GB2312" w:cs="Times New Roman"/>
          <w:sz w:val="32"/>
          <w:szCs w:val="32"/>
          <w14:ligatures w14:val="standardContextual"/>
        </w:rPr>
        <w:t>票根经济</w:t>
      </w:r>
      <w:r>
        <w:rPr>
          <w:rFonts w:hint="eastAsia" w:ascii="Times New Roman" w:hAnsi="Times New Roman" w:eastAsia="仿宋_GB2312" w:cs="Times New Roman"/>
          <w:sz w:val="32"/>
          <w:szCs w:val="32"/>
          <w14:ligatures w14:val="standardContextual"/>
        </w:rPr>
        <w:t>”</w:t>
      </w:r>
      <w:r>
        <w:rPr>
          <w:rFonts w:ascii="Times New Roman" w:hAnsi="Times New Roman" w:eastAsia="仿宋_GB2312" w:cs="Times New Roman"/>
          <w:sz w:val="32"/>
          <w:szCs w:val="32"/>
          <w14:ligatures w14:val="standardContextual"/>
        </w:rPr>
        <w:t>体系化联动机制。联合行业协会、票务平台，</w:t>
      </w:r>
      <w:r>
        <w:rPr>
          <w:rFonts w:hint="eastAsia" w:ascii="Times New Roman" w:hAnsi="Times New Roman" w:eastAsia="仿宋_GB2312" w:cs="Times New Roman"/>
          <w:sz w:val="32"/>
          <w:szCs w:val="32"/>
          <w14:ligatures w14:val="standardContextual"/>
        </w:rPr>
        <w:t>打造</w:t>
      </w:r>
      <w:r>
        <w:rPr>
          <w:rFonts w:hint="eastAsia" w:ascii="Times New Roman" w:hAnsi="Times New Roman" w:eastAsia="仿宋_GB2312" w:cs="仿宋_GB2312"/>
          <w:sz w:val="32"/>
          <w:szCs w:val="22"/>
          <w14:ligatures w14:val="standardContextual"/>
        </w:rPr>
        <w:t>“演艺+”“体育+”“赛事+”等通票、联票产品。</w:t>
      </w:r>
      <w:r>
        <w:rPr>
          <w:rFonts w:hint="eastAsia" w:ascii="Times New Roman" w:hAnsi="Times New Roman" w:eastAsia="楷体_GB2312" w:cs="Times New Roman"/>
          <w:sz w:val="32"/>
          <w:szCs w:val="32"/>
          <w14:ligatures w14:val="standardContextual"/>
        </w:rPr>
        <w:t>（责任单位：区文化和旅游局、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  <w14:ligatures w14:val="standardContextual"/>
        </w:rPr>
        <w:t>区城市管理委、</w:t>
      </w:r>
      <w:r>
        <w:rPr>
          <w:rFonts w:hint="eastAsia" w:ascii="Times New Roman" w:hAnsi="Times New Roman" w:eastAsia="楷体_GB2312" w:cs="Times New Roman"/>
          <w:sz w:val="32"/>
          <w:szCs w:val="32"/>
          <w14:ligatures w14:val="standardContextual"/>
        </w:rPr>
        <w:t>区体育局、区民政局、区商务局、奥林匹克中心区管委会、文旅集团）</w:t>
      </w:r>
    </w:p>
    <w:p>
      <w:pPr>
        <w:widowControl w:val="0"/>
        <w:adjustRightInd w:val="0"/>
        <w:snapToGrid w:val="0"/>
        <w:spacing w:line="560" w:lineRule="exact"/>
        <w:ind w:firstLine="642" w:firstLineChars="200"/>
        <w:jc w:val="both"/>
        <w:outlineLvl w:val="3"/>
        <w:rPr>
          <w:rFonts w:ascii="Times New Roman" w:hAnsi="Times New Roman" w:eastAsia="仿宋_GB2312" w:cs="Times New Roman"/>
          <w:bCs w:val="0"/>
          <w:kern w:val="2"/>
          <w:sz w:val="32"/>
          <w:szCs w:val="32"/>
          <w:lang w:val="zh-TW" w:eastAsia="zh-CN" w:bidi="ar-SA"/>
          <w14:ligatures w14:val="standardContextual"/>
        </w:rPr>
      </w:pPr>
      <w:r>
        <w:rPr>
          <w:rFonts w:hint="eastAsia" w:ascii="Times New Roman" w:hAnsi="Times New Roman" w:eastAsia="仿宋_GB2312" w:cs="仿宋_GB2312"/>
          <w:b/>
          <w:bCs w:val="0"/>
          <w:kern w:val="2"/>
          <w:sz w:val="32"/>
          <w:szCs w:val="28"/>
          <w:lang w:val="en-US" w:eastAsia="zh-CN" w:bidi="ar-SA"/>
          <w14:ligatures w14:val="standardContextual"/>
        </w:rPr>
        <w:t>13.</w:t>
      </w: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  <w:lang w:val="zh-TW" w:eastAsia="zh-CN" w:bidi="ar-SA"/>
          <w14:ligatures w14:val="standardContextual"/>
        </w:rPr>
        <w:t>加大品牌培育力度。</w:t>
      </w:r>
      <w:r>
        <w:rPr>
          <w:rFonts w:hint="eastAsia" w:ascii="Times New Roman" w:hAnsi="Times New Roman" w:eastAsia="仿宋_GB2312" w:cs="Times New Roman"/>
          <w:bCs w:val="0"/>
          <w:kern w:val="2"/>
          <w:sz w:val="32"/>
          <w:szCs w:val="32"/>
          <w:lang w:val="zh-TW" w:eastAsia="zh-CN" w:bidi="ar-SA"/>
          <w14:ligatures w14:val="standardContextual"/>
        </w:rPr>
        <w:t>支持以商招商、以链引链，推动更多上下游特色品牌、新锐项目落地朝阳，构建业态多元的服务消费产业生态。鼓励各金融机构积极开展应收账款、知识产权等融资质押业务，创新推出适配轻资产服务企业的特色融资产品。</w:t>
      </w:r>
      <w:r>
        <w:rPr>
          <w:rFonts w:hint="eastAsia" w:ascii="Times New Roman" w:hAnsi="Times New Roman" w:eastAsia="楷体_GB2312" w:cs="Times New Roman"/>
          <w:bCs w:val="0"/>
          <w:kern w:val="2"/>
          <w:sz w:val="32"/>
          <w:szCs w:val="32"/>
          <w:lang w:val="zh-TW" w:eastAsia="zh-CN" w:bidi="ar-SA"/>
          <w14:ligatures w14:val="standardContextual"/>
        </w:rPr>
        <w:t>（</w:t>
      </w:r>
      <w:r>
        <w:rPr>
          <w:rFonts w:hint="eastAsia" w:ascii="Times New Roman" w:hAnsi="Times New Roman" w:eastAsia="楷体_GB2312" w:cs="Times New Roman"/>
          <w:bCs w:val="0"/>
          <w:kern w:val="2"/>
          <w:sz w:val="32"/>
          <w:szCs w:val="32"/>
          <w:lang w:val="en-US" w:eastAsia="zh-CN" w:bidi="ar-SA"/>
          <w14:ligatures w14:val="standardContextual"/>
        </w:rPr>
        <w:t>责任单位：区商务局、区投促中心、区发展改革委、区金融工作事务中心</w:t>
      </w:r>
      <w:r>
        <w:rPr>
          <w:rFonts w:hint="eastAsia" w:ascii="Times New Roman" w:hAnsi="Times New Roman" w:eastAsia="楷体_GB2312" w:cs="Times New Roman"/>
          <w:bCs w:val="0"/>
          <w:kern w:val="2"/>
          <w:sz w:val="32"/>
          <w:szCs w:val="32"/>
          <w:lang w:val="zh-TW" w:eastAsia="zh-CN" w:bidi="ar-SA"/>
          <w14:ligatures w14:val="standardContextual"/>
        </w:rPr>
        <w:t>）</w:t>
      </w:r>
    </w:p>
    <w:p>
      <w:pPr>
        <w:widowControl w:val="0"/>
        <w:adjustRightInd w:val="0"/>
        <w:snapToGrid w:val="0"/>
        <w:spacing w:line="560" w:lineRule="exact"/>
        <w:ind w:firstLine="642" w:firstLineChars="200"/>
        <w:jc w:val="both"/>
        <w:outlineLvl w:val="3"/>
        <w:rPr>
          <w:rFonts w:hint="eastAsia" w:ascii="Times New Roman" w:hAnsi="Times New Roman" w:eastAsia="楷体_GB2312" w:cs="Times New Roman"/>
          <w:bCs w:val="0"/>
          <w:kern w:val="2"/>
          <w:sz w:val="32"/>
          <w:szCs w:val="32"/>
          <w:lang w:val="en-US" w:eastAsia="zh-CN" w:bidi="ar-SA"/>
          <w14:ligatures w14:val="standardContextual"/>
        </w:rPr>
      </w:pPr>
      <w:r>
        <w:rPr>
          <w:rFonts w:hint="eastAsia" w:ascii="Times New Roman" w:hAnsi="Times New Roman" w:eastAsia="仿宋_GB2312" w:cs="仿宋_GB2312"/>
          <w:b/>
          <w:bCs w:val="0"/>
          <w:kern w:val="2"/>
          <w:sz w:val="32"/>
          <w:szCs w:val="28"/>
          <w:lang w:val="en-US" w:eastAsia="zh-CN" w:bidi="ar-SA"/>
          <w14:ligatures w14:val="standardContextual"/>
        </w:rPr>
        <w:t>14.</w:t>
      </w:r>
      <w:r>
        <w:rPr>
          <w:rFonts w:ascii="Times New Roman" w:hAnsi="Times New Roman" w:eastAsia="仿宋_GB2312" w:cs="Times New Roman"/>
          <w:b/>
          <w:bCs w:val="0"/>
          <w:kern w:val="2"/>
          <w:sz w:val="32"/>
          <w:szCs w:val="28"/>
          <w:lang w:val="en-US" w:eastAsia="zh-CN" w:bidi="ar-SA"/>
          <w14:ligatures w14:val="standardContextual"/>
        </w:rPr>
        <w:t>扩大服务业高水平对外开放</w:t>
      </w:r>
      <w:r>
        <w:rPr>
          <w:rFonts w:hint="eastAsia" w:ascii="Times New Roman" w:hAnsi="Times New Roman" w:eastAsia="仿宋_GB2312" w:cs="Times New Roman"/>
          <w:b/>
          <w:bCs w:val="0"/>
          <w:kern w:val="2"/>
          <w:sz w:val="32"/>
          <w:szCs w:val="28"/>
          <w:lang w:val="en-US" w:eastAsia="zh-CN" w:bidi="ar-SA"/>
          <w14:ligatures w14:val="standardContextual"/>
        </w:rPr>
        <w:t>。</w:t>
      </w:r>
      <w:r>
        <w:rPr>
          <w:rFonts w:hint="eastAsia" w:ascii="Times New Roman" w:hAnsi="Times New Roman" w:eastAsia="仿宋_GB2312" w:cs="Times New Roman"/>
          <w:bCs/>
          <w:kern w:val="2"/>
          <w:sz w:val="32"/>
          <w:szCs w:val="28"/>
          <w:lang w:val="en-US" w:eastAsia="zh-CN" w:bidi="ar-SA"/>
          <w14:ligatures w14:val="standardContextual"/>
        </w:rPr>
        <w:t>深化自由贸易试验区和国家服务业扩大开放综合示范区建设，用好电信、金融、医疗康养、专业服务、商贸文旅等领域扩大对外开放试点政策，吸引增值电信、国际仲裁机构等领域外资项目落地。有序扩大医疗健康、文化等优质服务进口。</w:t>
      </w:r>
      <w:r>
        <w:rPr>
          <w:rFonts w:hint="eastAsia" w:ascii="Times New Roman" w:hAnsi="Times New Roman" w:eastAsia="楷体_GB2312" w:cs="Times New Roman"/>
          <w:bCs w:val="0"/>
          <w:kern w:val="2"/>
          <w:sz w:val="32"/>
          <w:szCs w:val="32"/>
          <w:lang w:val="en-US" w:eastAsia="zh-CN" w:bidi="ar-SA"/>
          <w14:ligatures w14:val="standardContextual"/>
        </w:rPr>
        <w:t>（责任单位：区商务局、区数据局、区发展改革委、区卫生健康委、CBD管委会）</w:t>
      </w:r>
    </w:p>
    <w:bookmarkEnd w:id="3"/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楷体_GB2312"/>
          <w:sz w:val="32"/>
          <w:szCs w:val="22"/>
          <w14:ligatures w14:val="standardContextual"/>
        </w:rPr>
      </w:pPr>
      <w:bookmarkStart w:id="4" w:name="_Toc235609474"/>
      <w:r>
        <w:rPr>
          <w:rFonts w:hint="eastAsia" w:ascii="黑体" w:hAnsi="黑体" w:eastAsia="黑体" w:cs="楷体_GB2312"/>
          <w:sz w:val="32"/>
          <w:szCs w:val="22"/>
          <w14:ligatures w14:val="standardContextual"/>
        </w:rPr>
        <w:t>四、保障措施</w:t>
      </w:r>
      <w:bookmarkEnd w:id="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outlineLvl w:val="3"/>
        <w:rPr>
          <w:rFonts w:hint="default" w:ascii="Times New Roman" w:hAnsi="Times New Roman" w:eastAsia="楷体_GB2312" w:cs="Times New Roman"/>
          <w:b/>
          <w:bCs w:val="0"/>
          <w:kern w:val="2"/>
          <w:sz w:val="32"/>
          <w:szCs w:val="28"/>
          <w:lang w:val="en-US" w:eastAsia="zh-CN" w:bidi="ar-SA"/>
          <w14:ligatures w14:val="standardContextual"/>
        </w:rPr>
      </w:pPr>
      <w:r>
        <w:rPr>
          <w:rFonts w:hint="eastAsia" w:ascii="Times New Roman" w:hAnsi="Times New Roman" w:eastAsia="楷体_GB2312" w:cs="楷体_GB2312"/>
          <w:bCs w:val="0"/>
          <w:kern w:val="2"/>
          <w:sz w:val="32"/>
          <w:szCs w:val="22"/>
          <w:lang w:val="en-US" w:eastAsia="zh-CN" w:bidi="ar-SA"/>
          <w14:ligatures w14:val="standardContextual"/>
        </w:rPr>
        <w:t>（一）</w:t>
      </w:r>
      <w:r>
        <w:rPr>
          <w:rFonts w:ascii="Times New Roman" w:hAnsi="Times New Roman" w:eastAsia="楷体_GB2312" w:cs="楷体_GB2312"/>
          <w:bCs w:val="0"/>
          <w:kern w:val="2"/>
          <w:sz w:val="32"/>
          <w:szCs w:val="22"/>
          <w:lang w:val="en-US" w:eastAsia="zh-CN" w:bidi="ar-SA"/>
          <w14:ligatures w14:val="standardContextual"/>
        </w:rPr>
        <w:t>加强</w:t>
      </w:r>
      <w:r>
        <w:rPr>
          <w:rFonts w:hint="eastAsia" w:ascii="Times New Roman" w:hAnsi="Times New Roman" w:eastAsia="楷体_GB2312" w:cs="楷体_GB2312"/>
          <w:bCs w:val="0"/>
          <w:kern w:val="2"/>
          <w:sz w:val="32"/>
          <w:szCs w:val="22"/>
          <w:lang w:val="en-US" w:eastAsia="zh-CN" w:bidi="ar-SA"/>
          <w14:ligatures w14:val="standardContextual"/>
        </w:rPr>
        <w:t>组织保障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outlineLvl w:val="3"/>
        <w:rPr>
          <w:rFonts w:ascii="Times New Roman" w:hAnsi="Times New Roman" w:eastAsia="仿宋_GB2312" w:cs="Times New Roman"/>
          <w:bCs/>
          <w:color w:val="auto"/>
          <w:kern w:val="2"/>
          <w:sz w:val="32"/>
          <w:szCs w:val="28"/>
          <w:lang w:val="zh-TW" w:eastAsia="zh-CN" w:bidi="ar-SA"/>
          <w14:ligatures w14:val="standardContextual"/>
        </w:rPr>
      </w:pPr>
      <w:r>
        <w:rPr>
          <w:rFonts w:hint="eastAsia" w:ascii="Times New Roman" w:hAnsi="Times New Roman" w:eastAsia="仿宋_GB2312" w:cs="Times New Roman"/>
          <w:bCs/>
          <w:color w:val="auto"/>
          <w:kern w:val="2"/>
          <w:sz w:val="32"/>
          <w:szCs w:val="28"/>
          <w:lang w:val="en-GB" w:eastAsia="zh-CN" w:bidi="ar-SA"/>
          <w14:ligatures w14:val="standardContextual"/>
        </w:rPr>
        <w:t>依托国际消费中心城市主承载区建设领导小组工作机制，</w:t>
      </w:r>
      <w:r>
        <w:rPr>
          <w:rFonts w:hint="eastAsia" w:ascii="仿宋_GB2312" w:hAnsi="Calibri" w:eastAsia="仿宋_GB2312" w:cs="仿宋_GB2312"/>
          <w:b w:val="0"/>
          <w:color w:val="auto"/>
          <w:kern w:val="2"/>
          <w:sz w:val="32"/>
          <w:szCs w:val="32"/>
          <w:lang w:val="en-US" w:eastAsia="zh-CN" w:bidi="ar"/>
        </w:rPr>
        <w:t>坚持问题导向、目标导向、结果导向相统一，</w:t>
      </w:r>
      <w:r>
        <w:rPr>
          <w:rFonts w:ascii="Times New Roman" w:hAnsi="Times New Roman" w:eastAsia="仿宋_GB2312" w:cs="Times New Roman"/>
          <w:bCs/>
          <w:color w:val="auto"/>
          <w:kern w:val="2"/>
          <w:sz w:val="32"/>
          <w:szCs w:val="28"/>
          <w:lang w:val="en-GB" w:eastAsia="zh-CN" w:bidi="ar-SA"/>
          <w14:ligatures w14:val="standardContextual"/>
        </w:rPr>
        <w:t>强化部门协同、</w:t>
      </w:r>
      <w:r>
        <w:rPr>
          <w:rFonts w:hint="eastAsia" w:ascii="Times New Roman" w:hAnsi="Times New Roman" w:eastAsia="仿宋_GB2312" w:cs="Times New Roman"/>
          <w:bCs/>
          <w:color w:val="auto"/>
          <w:kern w:val="2"/>
          <w:sz w:val="32"/>
          <w:szCs w:val="28"/>
          <w:lang w:val="en-GB" w:eastAsia="zh-CN" w:bidi="ar-SA"/>
          <w14:ligatures w14:val="standardContextual"/>
        </w:rPr>
        <w:t>街乡联动</w:t>
      </w:r>
      <w:r>
        <w:rPr>
          <w:rFonts w:ascii="Times New Roman" w:hAnsi="Times New Roman" w:eastAsia="仿宋_GB2312" w:cs="Times New Roman"/>
          <w:bCs/>
          <w:color w:val="auto"/>
          <w:kern w:val="2"/>
          <w:sz w:val="32"/>
          <w:szCs w:val="28"/>
          <w:lang w:val="en-GB" w:eastAsia="zh-CN" w:bidi="ar-SA"/>
          <w14:ligatures w14:val="standardContextual"/>
        </w:rPr>
        <w:t>，</w:t>
      </w:r>
      <w:r>
        <w:rPr>
          <w:rFonts w:hint="eastAsia" w:ascii="仿宋_GB2312" w:hAnsi="Calibri" w:eastAsia="仿宋_GB2312" w:cs="仿宋_GB2312"/>
          <w:b w:val="0"/>
          <w:color w:val="auto"/>
          <w:kern w:val="2"/>
          <w:sz w:val="32"/>
          <w:szCs w:val="32"/>
          <w:lang w:val="en-US" w:eastAsia="zh-CN" w:bidi="ar"/>
        </w:rPr>
        <w:t>加强统筹谋划、凝聚工作合力，定期召开专题会议，</w:t>
      </w:r>
      <w:r>
        <w:rPr>
          <w:rFonts w:hint="eastAsia" w:ascii="Times New Roman" w:hAnsi="Times New Roman" w:eastAsia="仿宋_GB2312" w:cs="Times New Roman"/>
          <w:bCs/>
          <w:color w:val="auto"/>
          <w:kern w:val="2"/>
          <w:sz w:val="32"/>
          <w:szCs w:val="28"/>
          <w:lang w:val="en-GB" w:eastAsia="zh-CN" w:bidi="ar-SA"/>
          <w14:ligatures w14:val="standardContextual"/>
        </w:rPr>
        <w:t>确保</w:t>
      </w:r>
      <w:r>
        <w:rPr>
          <w:rFonts w:ascii="Times New Roman" w:hAnsi="Times New Roman" w:eastAsia="仿宋_GB2312" w:cs="Times New Roman"/>
          <w:bCs/>
          <w:color w:val="auto"/>
          <w:kern w:val="2"/>
          <w:sz w:val="32"/>
          <w:szCs w:val="28"/>
          <w:lang w:val="en-GB" w:eastAsia="zh-CN" w:bidi="ar-SA"/>
          <w14:ligatures w14:val="standardContextual"/>
        </w:rPr>
        <w:t>各项重点任务落地见效。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outlineLvl w:val="3"/>
        <w:rPr>
          <w:rFonts w:ascii="Times New Roman" w:hAnsi="Times New Roman" w:eastAsia="楷体_GB2312" w:cs="楷体_GB2312"/>
          <w:bCs w:val="0"/>
          <w:kern w:val="2"/>
          <w:sz w:val="32"/>
          <w:szCs w:val="22"/>
          <w:lang w:val="en-US" w:eastAsia="zh-CN" w:bidi="ar-SA"/>
          <w14:ligatures w14:val="standardContextual"/>
        </w:rPr>
      </w:pPr>
      <w:r>
        <w:rPr>
          <w:rFonts w:hint="eastAsia" w:ascii="Times New Roman" w:hAnsi="Times New Roman" w:eastAsia="楷体_GB2312" w:cs="楷体_GB2312"/>
          <w:bCs w:val="0"/>
          <w:kern w:val="2"/>
          <w:sz w:val="32"/>
          <w:szCs w:val="22"/>
          <w:lang w:val="en-US" w:eastAsia="zh-CN" w:bidi="ar-SA"/>
          <w14:ligatures w14:val="standardContextual"/>
        </w:rPr>
        <w:t>（二）</w:t>
      </w:r>
      <w:r>
        <w:rPr>
          <w:rFonts w:ascii="Times New Roman" w:hAnsi="Times New Roman" w:eastAsia="楷体_GB2312" w:cs="楷体_GB2312"/>
          <w:bCs w:val="0"/>
          <w:kern w:val="2"/>
          <w:sz w:val="32"/>
          <w:szCs w:val="22"/>
          <w:lang w:val="en-US" w:eastAsia="zh-CN" w:bidi="ar-SA"/>
          <w14:ligatures w14:val="standardContextual"/>
        </w:rPr>
        <w:t>强化政策支持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outlineLvl w:val="3"/>
        <w:rPr>
          <w:rFonts w:hint="eastAsia" w:ascii="Times New Roman" w:hAnsi="Times New Roman" w:eastAsia="楷体_GB2312" w:cs="楷体_GB2312"/>
          <w:bCs w:val="0"/>
          <w:kern w:val="2"/>
          <w:sz w:val="32"/>
          <w:szCs w:val="22"/>
          <w:lang w:val="en-US" w:eastAsia="zh-CN" w:bidi="ar-SA"/>
          <w14:ligatures w14:val="standardContextual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28"/>
          <w:lang w:val="en-US" w:eastAsia="zh-CN" w:bidi="ar-SA"/>
          <w14:ligatures w14:val="standardContextual"/>
        </w:rPr>
        <w:t>用好用足市、区两级消费扶持政策，充分发挥财政资金引导作用，围绕文旅、家政、养老等重点领域发展需求，研究制定差异化配套扶持政策，有序开展重点领域服务消费券试点工作。全面落实融资担保、贷款贴息等惠企政策，助推全区服务消费提速增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outlineLvl w:val="3"/>
        <w:rPr>
          <w:rFonts w:ascii="Times New Roman" w:hAnsi="Times New Roman" w:eastAsia="楷体_GB2312" w:cs="楷体_GB2312"/>
          <w:bCs w:val="0"/>
          <w:kern w:val="2"/>
          <w:sz w:val="32"/>
          <w:szCs w:val="22"/>
          <w:lang w:val="en-US" w:eastAsia="zh-CN" w:bidi="ar-SA"/>
          <w14:ligatures w14:val="standardContextual"/>
        </w:rPr>
      </w:pPr>
      <w:r>
        <w:rPr>
          <w:rFonts w:hint="eastAsia" w:ascii="Times New Roman" w:hAnsi="Times New Roman" w:eastAsia="楷体_GB2312" w:cs="楷体_GB2312"/>
          <w:bCs w:val="0"/>
          <w:kern w:val="2"/>
          <w:sz w:val="32"/>
          <w:szCs w:val="22"/>
          <w:lang w:val="en-US" w:eastAsia="zh-CN" w:bidi="ar-SA"/>
          <w14:ligatures w14:val="standardContextual"/>
        </w:rPr>
        <w:t>（三）</w:t>
      </w:r>
      <w:r>
        <w:rPr>
          <w:rFonts w:ascii="Times New Roman" w:hAnsi="Times New Roman" w:eastAsia="楷体_GB2312" w:cs="楷体_GB2312"/>
          <w:bCs w:val="0"/>
          <w:kern w:val="2"/>
          <w:sz w:val="32"/>
          <w:szCs w:val="22"/>
          <w:lang w:val="en-US" w:eastAsia="zh-CN" w:bidi="ar-SA"/>
          <w14:ligatures w14:val="standardContextual"/>
        </w:rPr>
        <w:t>完善统计监测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outlineLvl w:val="3"/>
        <w:rPr>
          <w:rFonts w:hint="eastAsia" w:ascii="Times New Roman" w:hAnsi="Times New Roman" w:eastAsia="仿宋_GB2312" w:cs="Times New Roman"/>
          <w:bCs/>
          <w:kern w:val="2"/>
          <w:sz w:val="32"/>
          <w:szCs w:val="28"/>
          <w:lang w:val="en-GB" w:eastAsia="zh-CN" w:bidi="ar-SA"/>
          <w14:ligatures w14:val="standardContextual"/>
        </w:rPr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28"/>
          <w:lang w:val="en-GB" w:eastAsia="zh-CN" w:bidi="ar-SA"/>
          <w14:ligatures w14:val="standardContextual"/>
        </w:rPr>
        <w:t>深化服务消费统计监测机制研究，拓宽数据采集渠道、丰富数据支撑来源。运用大数据、信息化技术手段，提升服务消费动态监测、分析能力。健全常态化数据共享采集机制，推动各类消费数据互联互通，提升服务消费运行研判的科学性与精准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outlineLvl w:val="3"/>
        <w:rPr>
          <w:rFonts w:ascii="Times New Roman" w:hAnsi="Times New Roman" w:eastAsia="楷体_GB2312" w:cs="楷体_GB2312"/>
          <w:bCs w:val="0"/>
          <w:kern w:val="2"/>
          <w:sz w:val="32"/>
          <w:szCs w:val="22"/>
          <w:lang w:val="en-US" w:eastAsia="zh-CN" w:bidi="ar-SA"/>
          <w14:ligatures w14:val="standardContextual"/>
        </w:rPr>
      </w:pPr>
      <w:r>
        <w:rPr>
          <w:rFonts w:hint="eastAsia" w:ascii="Times New Roman" w:hAnsi="Times New Roman" w:eastAsia="楷体_GB2312" w:cs="楷体_GB2312"/>
          <w:bCs w:val="0"/>
          <w:kern w:val="2"/>
          <w:sz w:val="32"/>
          <w:szCs w:val="22"/>
          <w:lang w:val="en-US" w:eastAsia="zh-CN" w:bidi="ar-SA"/>
          <w14:ligatures w14:val="standardContextual"/>
        </w:rPr>
        <w:t>（四）</w:t>
      </w:r>
      <w:r>
        <w:rPr>
          <w:rFonts w:ascii="Times New Roman" w:hAnsi="Times New Roman" w:eastAsia="楷体_GB2312" w:cs="楷体_GB2312"/>
          <w:bCs w:val="0"/>
          <w:kern w:val="2"/>
          <w:sz w:val="32"/>
          <w:szCs w:val="22"/>
          <w:lang w:val="en-US" w:eastAsia="zh-CN" w:bidi="ar-SA"/>
          <w14:ligatures w14:val="standardContextual"/>
        </w:rPr>
        <w:t>加大宣传推广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  <w14:ligatures w14:val="standardContextual"/>
        </w:rPr>
        <w:t>深入</w:t>
      </w:r>
      <w:r>
        <w:rPr>
          <w:rFonts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  <w14:ligatures w14:val="standardContextual"/>
        </w:rPr>
        <w:t>挖掘</w:t>
      </w: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  <w14:ligatures w14:val="standardContextual"/>
        </w:rPr>
        <w:t>服务消费各</w:t>
      </w:r>
      <w:r>
        <w:rPr>
          <w:rFonts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  <w14:ligatures w14:val="standardContextual"/>
        </w:rPr>
        <w:t>领域创新实践</w:t>
      </w: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  <w14:ligatures w14:val="standardContextual"/>
        </w:rPr>
        <w:t>案例</w:t>
      </w:r>
      <w:r>
        <w:rPr>
          <w:rFonts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  <w14:ligatures w14:val="standardContextual"/>
        </w:rPr>
        <w:t>，总结</w:t>
      </w:r>
      <w:r>
        <w:rPr>
          <w:rFonts w:hint="eastAsia" w:ascii="Times New Roman" w:hAnsi="Times New Roman" w:eastAsia="仿宋_GB2312" w:cs="Times New Roman"/>
          <w:bCs/>
          <w:kern w:val="2"/>
          <w:sz w:val="32"/>
          <w:szCs w:val="32"/>
          <w:lang w:val="en-US" w:eastAsia="zh-CN" w:bidi="ar-SA"/>
          <w14:ligatures w14:val="standardContextual"/>
        </w:rPr>
        <w:t>提炼可复制、可推广的特色发展经验。加强与中央、市属媒体合作，整合线上线下宣传资源，</w:t>
      </w:r>
      <w:r>
        <w:rPr>
          <w:rFonts w:hint="eastAsia" w:ascii="Times New Roman" w:hAnsi="Times New Roman" w:eastAsia="仿宋_GB2312" w:cs="Times New Roman"/>
          <w:bCs/>
          <w:kern w:val="2"/>
          <w:sz w:val="32"/>
          <w:szCs w:val="28"/>
          <w:lang w:val="en-US" w:eastAsia="zh-CN" w:bidi="ar-SA"/>
          <w14:ligatures w14:val="standardContextual"/>
        </w:rPr>
        <w:t>积极</w:t>
      </w:r>
      <w:r>
        <w:rPr>
          <w:rFonts w:ascii="Times New Roman" w:hAnsi="Times New Roman" w:eastAsia="仿宋_GB2312" w:cs="Times New Roman"/>
          <w:bCs/>
          <w:kern w:val="2"/>
          <w:sz w:val="32"/>
          <w:szCs w:val="28"/>
          <w:lang w:val="en-US" w:eastAsia="zh-CN" w:bidi="ar-SA"/>
          <w14:ligatures w14:val="standardContextual"/>
        </w:rPr>
        <w:t>对外展示</w:t>
      </w:r>
      <w:r>
        <w:rPr>
          <w:rFonts w:hint="eastAsia" w:ascii="Times New Roman" w:hAnsi="Times New Roman" w:eastAsia="仿宋_GB2312" w:cs="Times New Roman"/>
          <w:bCs/>
          <w:kern w:val="2"/>
          <w:sz w:val="32"/>
          <w:szCs w:val="28"/>
          <w:lang w:val="en-US" w:eastAsia="zh-CN" w:bidi="ar-SA"/>
          <w14:ligatures w14:val="standardContextual"/>
        </w:rPr>
        <w:t>朝阳区服务消费</w:t>
      </w:r>
      <w:r>
        <w:rPr>
          <w:rFonts w:ascii="Times New Roman" w:hAnsi="Times New Roman" w:eastAsia="仿宋_GB2312" w:cs="Times New Roman"/>
          <w:bCs/>
          <w:kern w:val="2"/>
          <w:sz w:val="32"/>
          <w:szCs w:val="28"/>
          <w:lang w:val="en-US" w:eastAsia="zh-CN" w:bidi="ar-SA"/>
          <w14:ligatures w14:val="standardContextual"/>
        </w:rPr>
        <w:t>建设亮点成果，提升全球影响力和美誉度。</w:t>
      </w:r>
      <w:bookmarkStart w:id="5" w:name="_GoBack"/>
      <w:bookmarkEnd w:id="5"/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宋体-18030">
    <w:altName w:val="Droid Sans Fallback"/>
    <w:panose1 w:val="00000000000000000000"/>
    <w:charset w:val="00"/>
    <w:family w:val="modern"/>
    <w:pitch w:val="default"/>
    <w:sig w:usb0="00000000" w:usb1="00000000" w:usb2="000A005E" w:usb3="00000000" w:csb0="00040001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FE809D"/>
    <w:rsid w:val="77FE809D"/>
    <w:rsid w:val="EDF7FBF2"/>
    <w:rsid w:val="FAD7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1"/>
    <w:basedOn w:val="1"/>
    <w:next w:val="1"/>
    <w:unhideWhenUsed/>
    <w:qFormat/>
    <w:uiPriority w:val="39"/>
    <w:pPr>
      <w:widowControl w:val="0"/>
      <w:jc w:val="both"/>
    </w:pPr>
    <w:rPr>
      <w:rFonts w:ascii="宋体-18030" w:hAnsi="宋体-18030" w:eastAsia="仿宋_GB2312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Office_11.8.2.11681_F1E327BC-269C-435d-A152-05C5408002CA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2026-08-21T18:24:00Z</dcterms:created>
  <dc:creator>uos</dc:creator>
  <cp:lastModifiedBy>uos</cp:lastModifiedBy>
  <dcterms:modified xsi:type="dcterms:W3CDTF">2026-08-21T18:17:45Z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2052-11.8.2.11681</vt:lpwstr>
  </property>
  <property fmtid="{D5CDD505-2E9C-101B-9397-08002B2CF9AE}" pid="3" name="ICV">
    <vt:lpwstr>76182E7D29EEEC9DD8B6876A2DF18100</vt:lpwstr>
  </property>
</Properties>
</file>