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区房管局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）朝阳区2024年重要民生实事项目落实情况表（第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6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区实事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第6项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深化物业管理领域矛盾纠纷调解工作机制，推动调解工作向街乡延伸，在试点街乡设立12个物业纠纷流动调解室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区房管局</w:t>
            </w:r>
          </w:p>
        </w:tc>
        <w:tc>
          <w:tcPr>
            <w:tcW w:w="490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1、已建立双井、亚运村2个调解工作室，正筹备南磨房调解工作室的建立；同时，加强与司法局联系，沟通后续9个调解室点位设置；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2、61件物业纠纷调解跟进，预计4月底完成收尾工作。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在和平街等3个街道开展32栋老旧楼房屋面防水应急维修；继续坚持房屋漏雨问题反映、评估、派单、维修快速响应机制。</w:t>
            </w:r>
          </w:p>
        </w:tc>
        <w:tc>
          <w:tcPr>
            <w:tcW w:w="286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  <w:t>区房管局</w:t>
            </w:r>
          </w:p>
        </w:tc>
        <w:tc>
          <w:tcPr>
            <w:tcW w:w="490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制定并印发《朝阳区2024年重要民生实事项目老旧楼房屋面防水应急维修整体工作方案》；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涉及街道正在进行前期投标准备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5" w:leftChars="805" w:right="15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paperSrc/>
      <w:cols w:space="0" w:num="1"/>
      <w:rtlGutter w:val="0"/>
      <w:docGrid w:type="linesAndChars" w:linePitch="326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1191"/>
    <w:rsid w:val="03D21191"/>
    <w:rsid w:val="0D5760FD"/>
    <w:rsid w:val="25806D5C"/>
    <w:rsid w:val="27736F25"/>
    <w:rsid w:val="2CC5209E"/>
    <w:rsid w:val="345307B8"/>
    <w:rsid w:val="4CFE0B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2024-04-09T01:46:00Z</dcterms:created>
  <dc:creator>陈峥</dc:creator>
  <cp:lastModifiedBy>办公室张硕</cp:lastModifiedBy>
  <cp:lastPrinted>2024-04-10T07:59:00Z</cp:lastPrinted>
  <dcterms:modified xsi:type="dcterms:W3CDTF">2024-04-18T09:48:57Z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