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eastAsia="黑体" w:cs="Times New Roman" w:hAnsi="Times New Roman"/>
          <w:bCs/>
          <w:sz w:val="32"/>
          <w:szCs w:val="32"/>
          <w:lang w:val="en-US" w:eastAsia="zh-CN"/>
        </w:rPr>
      </w:pPr>
      <w:r>
        <w:rPr>
          <w:rFonts w:ascii="黑体" w:eastAsia="黑体" w:cs="黑体" w:hint="eastAsia"/>
          <w:bCs/>
          <w:sz w:val="32"/>
          <w:szCs w:val="32"/>
          <w:lang w:eastAsia="zh-CN"/>
        </w:rPr>
        <w:t>附件</w:t>
      </w:r>
      <w:r>
        <w:rPr>
          <w:rFonts w:ascii="Times New Roman" w:eastAsia="黑体" w:cs="Times New Roman" w:hAnsi="Times New Roman"/>
          <w:bCs/>
          <w:sz w:val="32"/>
          <w:szCs w:val="32"/>
          <w:lang w:val="en-US" w:eastAsia="zh-CN"/>
        </w:rPr>
        <w:t>2</w:t>
      </w:r>
    </w:p>
    <w:p>
      <w:pPr>
        <w:pStyle w:val="6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 w:cs="宋体" w:hint="eastAsia"/>
          <w:bCs/>
          <w:sz w:val="44"/>
          <w:szCs w:val="24"/>
        </w:rPr>
      </w:pPr>
      <w:r>
        <w:rPr>
          <w:rFonts w:ascii="方正小标宋简体" w:eastAsia="方正小标宋简体" w:cs="宋体" w:hint="eastAsia"/>
          <w:bCs/>
          <w:sz w:val="44"/>
          <w:szCs w:val="24"/>
        </w:rPr>
        <w:t>关于《朝阳区关于促进民营经济发展壮大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 w:cs="宋体"/>
          <w:bCs/>
          <w:sz w:val="44"/>
          <w:szCs w:val="24"/>
        </w:rPr>
      </w:pPr>
      <w:r>
        <w:rPr>
          <w:rFonts w:ascii="方正小标宋简体" w:eastAsia="方正小标宋简体" w:cs="宋体" w:hint="eastAsia"/>
          <w:bCs/>
          <w:sz w:val="44"/>
          <w:szCs w:val="24"/>
        </w:rPr>
        <w:t>的意见》的起草说明</w:t>
      </w:r>
    </w:p>
    <w:p>
      <w:pPr>
        <w:pStyle w:val="25"/>
        <w:keepNext w:val="0"/>
        <w:keepLines w:val="0"/>
        <w:pageBreakBefore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ascii="Times New Roman" w:eastAsia="仿宋_GB2312" w:cs="仿宋_GB2312" w:hAnsi="Times New Roman" w:hint="eastAsia"/>
          <w:sz w:val="32"/>
          <w:szCs w:val="32"/>
          <w:lang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60" w:firstLineChars="200" w:firstLine="640"/>
        <w:textAlignment w:val="auto"/>
        <w:rPr>
          <w:rFonts w:ascii="Times New Roman" w:eastAsia="仿宋_GB2312" w:cs="Times New Roman" w:hAnsi="Times New Roman"/>
          <w:sz w:val="32"/>
          <w:szCs w:val="32"/>
          <w:lang w:eastAsia="zh-CN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为</w:t>
      </w:r>
      <w:r>
        <w:rPr>
          <w:rFonts w:ascii="Times New Roman" w:eastAsia="仿宋_GB2312" w:cs="仿宋_GB2312" w:hAnsi="Times New Roman" w:hint="eastAsia"/>
          <w:color w:val="auto"/>
          <w:kern w:val="2"/>
          <w:sz w:val="32"/>
          <w:szCs w:val="32"/>
          <w:vertAlign w:val="baseline"/>
          <w:lang w:val="en-US" w:eastAsia="zh-CN" w:bidi="ar-SA"/>
        </w:rPr>
        <w:t>深入贯彻落实国家和北京市关于支</w:t>
      </w:r>
      <w:bookmarkStart w:id="0" w:name="_GoBack"/>
      <w:bookmarkEnd w:id="0"/>
      <w:r>
        <w:rPr>
          <w:rFonts w:ascii="Times New Roman" w:eastAsia="仿宋_GB2312" w:cs="仿宋_GB2312" w:hAnsi="Times New Roman" w:hint="eastAsia"/>
          <w:color w:val="auto"/>
          <w:kern w:val="2"/>
          <w:sz w:val="32"/>
          <w:szCs w:val="32"/>
          <w:vertAlign w:val="baseline"/>
          <w:lang w:val="en-US" w:eastAsia="zh-CN" w:bidi="ar-SA"/>
        </w:rPr>
        <w:t>持民营经济发展的决策部署，区</w:t>
      </w:r>
      <w:r>
        <w:rPr>
          <w:rFonts w:eastAsia="仿宋_GB2312" w:cs="仿宋_GB2312" w:hint="eastAsia"/>
          <w:color w:val="auto"/>
          <w:kern w:val="2"/>
          <w:sz w:val="32"/>
          <w:szCs w:val="32"/>
          <w:vertAlign w:val="baseline"/>
          <w:lang w:val="en-US" w:eastAsia="zh-CN" w:bidi="ar-SA"/>
        </w:rPr>
        <w:t>发展改革</w:t>
      </w:r>
      <w:r>
        <w:rPr>
          <w:rFonts w:ascii="Times New Roman" w:eastAsia="仿宋_GB2312" w:cs="仿宋_GB2312" w:hAnsi="Times New Roman" w:hint="eastAsia"/>
          <w:color w:val="auto"/>
          <w:kern w:val="2"/>
          <w:sz w:val="32"/>
          <w:szCs w:val="32"/>
          <w:vertAlign w:val="baseline"/>
          <w:lang w:val="en-US" w:eastAsia="zh-CN" w:bidi="ar-SA"/>
        </w:rPr>
        <w:t>委起草形成《朝阳区关于促进民营经济发展壮大的意见》</w:t>
      </w:r>
      <w:r>
        <w:rPr>
          <w:rFonts w:ascii="Times New Roman" w:eastAsia="楷体_GB2312" w:cs="Times New Roman" w:hAnsi="Times New Roman"/>
          <w:color w:val="auto"/>
          <w:kern w:val="2"/>
          <w:sz w:val="28"/>
          <w:szCs w:val="28"/>
          <w:vertAlign w:val="baseline"/>
          <w:lang w:val="en-US" w:eastAsia="zh-CN" w:bidi="ar-SA"/>
        </w:rPr>
        <w:t>（以下简称《意见》）</w:t>
      </w:r>
      <w:r>
        <w:rPr>
          <w:rFonts w:ascii="Times New Roman" w:eastAsia="仿宋_GB2312" w:cs="Times New Roman" w:hAnsi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，</w:t>
      </w:r>
      <w:r>
        <w:rPr>
          <w:rFonts w:ascii="Times New Roman" w:eastAsia="仿宋_GB2312" w:cs="Times New Roman" w:hAnsi="Times New Roman" w:hint="eastAsia"/>
          <w:color w:val="auto"/>
          <w:kern w:val="2"/>
          <w:sz w:val="32"/>
          <w:szCs w:val="32"/>
          <w:vertAlign w:val="baseline"/>
          <w:lang w:val="en-US" w:eastAsia="zh-CN" w:bidi="ar-SA"/>
        </w:rPr>
        <w:t>文件</w:t>
      </w:r>
      <w:r>
        <w:rPr>
          <w:rFonts w:ascii="Times New Roman" w:eastAsia="仿宋_GB2312" w:cs="Times New Roman" w:hAnsi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内容</w:t>
      </w:r>
      <w:r>
        <w:rPr>
          <w:rFonts w:ascii="Times New Roman" w:eastAsia="仿宋_GB2312" w:cs="Times New Roman" w:hAnsi="Times New Roman" w:hint="eastAsia"/>
          <w:color w:val="auto"/>
          <w:kern w:val="2"/>
          <w:sz w:val="32"/>
          <w:szCs w:val="32"/>
          <w:vertAlign w:val="baseline"/>
          <w:lang w:val="en-US" w:eastAsia="zh-CN" w:bidi="ar-SA"/>
        </w:rPr>
        <w:t>已征求相关部门意见并进行修改完善</w:t>
      </w:r>
      <w:r>
        <w:rPr>
          <w:rFonts w:ascii="仿宋_GB2312" w:eastAsia="仿宋_GB2312" w:cs="仿宋_GB2312" w:hint="eastAsia"/>
          <w:color w:val="auto"/>
          <w:kern w:val="2"/>
          <w:sz w:val="32"/>
          <w:szCs w:val="32"/>
          <w:vertAlign w:val="baseline"/>
          <w:lang w:val="en-US" w:eastAsia="zh-CN" w:bidi="ar-SA"/>
        </w:rPr>
        <w:t>，</w:t>
      </w:r>
      <w:r>
        <w:rPr>
          <w:rFonts w:ascii="Times New Roman" w:eastAsia="仿宋_GB2312" w:cs="仿宋_GB2312" w:hAnsi="Times New Roman" w:hint="eastAsia"/>
          <w:color w:val="auto"/>
          <w:kern w:val="2"/>
          <w:sz w:val="32"/>
          <w:szCs w:val="32"/>
          <w:vertAlign w:val="baseline"/>
          <w:lang w:val="en-US" w:eastAsia="zh-CN" w:bidi="ar-SA"/>
        </w:rPr>
        <w:t>现</w:t>
      </w:r>
      <w:r>
        <w:rPr>
          <w:rFonts w:eastAsia="仿宋_GB2312" w:cs="仿宋_GB2312" w:hint="eastAsia"/>
          <w:color w:val="auto"/>
          <w:kern w:val="2"/>
          <w:sz w:val="32"/>
          <w:szCs w:val="32"/>
          <w:vertAlign w:val="baseline"/>
          <w:lang w:val="en-US" w:eastAsia="zh-CN" w:bidi="ar-SA"/>
        </w:rPr>
        <w:t>对起草情况进行说明。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640"/>
        <w:textAlignment w:val="auto"/>
        <w:rPr>
          <w:rFonts w:ascii="黑体" w:eastAsia="黑体" w:cs="黑体" w:hint="eastAsia"/>
          <w:sz w:val="32"/>
          <w:szCs w:val="32"/>
          <w:lang w:eastAsia="zh-CN"/>
          <w:highlight w:val="auto"/>
        </w:rPr>
      </w:pPr>
      <w:r>
        <w:rPr>
          <w:rFonts w:ascii="黑体" w:eastAsia="黑体" w:cs="黑体" w:hint="eastAsia"/>
          <w:sz w:val="32"/>
          <w:szCs w:val="32"/>
          <w:lang w:eastAsia="zh-CN"/>
          <w:highlight w:val="auto"/>
        </w:rPr>
        <w:t>起草考虑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60" w:firstLineChars="200" w:firstLine="640"/>
        <w:textAlignment w:val="auto"/>
        <w:rPr>
          <w:rFonts w:ascii="楷体_GB2312" w:eastAsia="楷体_GB2312" w:cs="楷体_GB2312" w:hint="eastAsia"/>
          <w:color w:val="auto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ascii="楷体_GB2312" w:eastAsia="楷体_GB2312" w:cs="楷体_GB2312" w:hint="eastAsia"/>
          <w:color w:val="auto"/>
          <w:kern w:val="2"/>
          <w:sz w:val="32"/>
          <w:szCs w:val="32"/>
          <w:vertAlign w:val="baseline"/>
          <w:lang w:val="en-US" w:eastAsia="zh-CN" w:bidi="ar-SA"/>
        </w:rPr>
        <w:t>（一）全面贯彻国家、市级新的决策部署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60" w:firstLineChars="200" w:firstLine="640"/>
        <w:textAlignment w:val="auto"/>
        <w:rPr>
          <w:rFonts w:ascii="Times New Roman" w:eastAsia="仿宋_GB2312" w:cs="Times New Roman" w:hAnsi="Times New Roman" w:hint="eastAsia"/>
          <w:color w:val="auto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ascii="Times New Roman" w:eastAsia="仿宋_GB2312" w:cs="Times New Roman" w:hAnsi="Times New Roman" w:hint="eastAsia"/>
          <w:color w:val="auto"/>
          <w:kern w:val="2"/>
          <w:sz w:val="32"/>
          <w:szCs w:val="32"/>
          <w:vertAlign w:val="baseline"/>
          <w:lang w:val="en-US" w:eastAsia="zh-CN" w:bidi="ar-SA"/>
        </w:rPr>
        <w:t>去年7月，党中央国务院出台了“民营经济31条”，从持续优化发展环境、加大政策支持力度、强化法治保障、推动高质量发展等方面，对促进民营经济发展壮大作出了重大部署。随后，国家发改委等8部委联合印发“促进民营经济发展28条”，从公平准入、要素支持、法治保障、涉企服务等方面提出了具体措施。此外，各相关部委围绕促进民间投资、完善政府诚信履约机制、强化金融支持举措等方面，陆续出台了一系列配套政策，集中发力支持民营经济发展。从市级层面，去年年底，市委市政府出台了促进民营经济发展壮大行动方案，聚焦“五子”重点领域、涉企服务和制度保障，提出32项重点任务，引导民营企业为新时代首都发展作出更大贡献。本次我区促进民营经济发展政策的起草，全面对标国家和市级上位文件精神，聚焦改革开放、科技创新、内外循环、要素支撑、营商环境等方面，进一步细化完善民营经济发展政策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60" w:firstLineChars="200" w:firstLine="640"/>
        <w:textAlignment w:val="auto"/>
        <w:rPr>
          <w:rFonts w:ascii="Times New Roman" w:eastAsia="仿宋_GB2312" w:cs="Times New Roman" w:hAnsi="Times New Roman" w:hint="eastAsia"/>
          <w:color w:val="auto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ascii="楷体_GB2312" w:eastAsia="楷体_GB2312" w:cs="楷体_GB2312" w:hint="eastAsia"/>
          <w:color w:val="auto"/>
          <w:kern w:val="2"/>
          <w:sz w:val="32"/>
          <w:szCs w:val="32"/>
          <w:vertAlign w:val="baseline"/>
          <w:lang w:val="en-US" w:eastAsia="zh-CN" w:bidi="ar-SA"/>
        </w:rPr>
        <w:t>（二）紧紧围绕朝阳功能定位和发展战略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60" w:firstLineChars="200" w:firstLine="640"/>
        <w:textAlignment w:val="auto"/>
        <w:rPr>
          <w:rFonts w:ascii="Times New Roman" w:eastAsia="仿宋_GB2312" w:cs="Times New Roman" w:hAnsi="Times New Roman" w:hint="eastAsia"/>
          <w:color w:val="auto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ascii="Times New Roman" w:eastAsia="仿宋_GB2312" w:cs="Times New Roman" w:hAnsi="Times New Roman" w:hint="eastAsia"/>
          <w:color w:val="auto"/>
          <w:kern w:val="2"/>
          <w:sz w:val="32"/>
          <w:szCs w:val="32"/>
          <w:vertAlign w:val="baseline"/>
          <w:lang w:val="en-US" w:eastAsia="zh-CN" w:bidi="ar-SA"/>
        </w:rPr>
        <w:t>在总体思路上，《意见》聚焦“三化”主攻方向，对标“五宜”朝阳建设要求，深刻把握“两区”建设、全球数字经济标杆城市建设、国际消费中心城市建设、京津冀一体化协同发展等国家、市级重大机遇，同时，突出朝阳产业结构特色，聚焦“商务+科技”双轮驱动战略作出具体安排，提出并完善了一批促进民营经济发展的创新政策、务实举措，旨在推动破解民营企业发展突出问题，进一步激发民营经济发展活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60" w:firstLineChars="200" w:firstLine="640"/>
        <w:textAlignment w:val="auto"/>
        <w:rPr>
          <w:rFonts w:ascii="楷体_GB2312" w:eastAsia="楷体_GB2312" w:cs="楷体_GB2312" w:hint="eastAsia"/>
          <w:color w:val="auto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ascii="楷体_GB2312" w:eastAsia="楷体_GB2312" w:cs="楷体_GB2312" w:hint="eastAsia"/>
          <w:color w:val="auto"/>
          <w:kern w:val="2"/>
          <w:sz w:val="32"/>
          <w:szCs w:val="32"/>
          <w:vertAlign w:val="baseline"/>
          <w:lang w:val="en-US" w:eastAsia="zh-CN" w:bidi="ar-SA"/>
        </w:rPr>
        <w:t>（三）精准回应民营企业诉求关切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60" w:firstLineChars="200" w:firstLine="640"/>
        <w:textAlignment w:val="auto"/>
        <w:rPr>
          <w:rFonts w:ascii="Times New Roman" w:eastAsia="仿宋_GB2312" w:cs="Times New Roman" w:hAnsi="Times New Roman" w:hint="eastAsia"/>
          <w:color w:val="auto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ascii="Times New Roman" w:eastAsia="仿宋_GB2312" w:cs="Times New Roman" w:hAnsi="Times New Roman" w:hint="eastAsia"/>
          <w:color w:val="auto"/>
          <w:kern w:val="2"/>
          <w:sz w:val="32"/>
          <w:szCs w:val="32"/>
          <w:vertAlign w:val="baseline"/>
          <w:lang w:val="en-US" w:eastAsia="zh-CN" w:bidi="ar-SA"/>
        </w:rPr>
        <w:t>为确保政策科学性、可执行性，前期，聚焦商务、金融、科技、文化等重点行业以及楼宇园区运营方、平台企业、高成长企业等主题，组织开展6场民营企业专题座谈会，并实地走访一批代表性重点企业，深入了解全区民营经济发展情况，广泛收集企业诉求。结合调研情况，《意见》针对民营企业实际需求作出相应安排，力争政策措施精准有力、切实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60" w:firstLineChars="200" w:firstLine="640"/>
        <w:textAlignment w:val="auto"/>
        <w:rPr>
          <w:rFonts w:ascii="黑体" w:eastAsia="黑体" w:cs="黑体" w:hint="eastAsia"/>
          <w:color w:val="auto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ascii="黑体" w:eastAsia="黑体" w:cs="黑体" w:hint="eastAsia"/>
          <w:color w:val="auto"/>
          <w:kern w:val="2"/>
          <w:sz w:val="32"/>
          <w:szCs w:val="32"/>
          <w:vertAlign w:val="baseline"/>
          <w:lang w:val="en-US" w:eastAsia="zh-CN" w:bidi="ar-SA"/>
        </w:rPr>
        <w:t>二、主要内容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Chars="200" w:firstLine="640"/>
        <w:jc w:val="both"/>
        <w:textAlignment w:val="auto"/>
        <w:rPr>
          <w:rFonts w:ascii="Times New Roman" w:eastAsia="仿宋_GB2312" w:cs="Times New Roman" w:hAnsi="Times New Roman" w:hint="eastAsia"/>
          <w:bCs/>
          <w:sz w:val="32"/>
          <w:szCs w:val="32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kern w:val="0"/>
          <w:sz w:val="32"/>
          <w:szCs w:val="32"/>
          <w:lang w:val="en-US" w:eastAsia="zh-CN"/>
          <w:highlight w:val="auto"/>
        </w:rPr>
        <w:t>《意见》围绕推动民营经济高质量发展，以改革开放激发内生动力，以创新合作构筑融通生态，以内外循环拓宽发展格局，以要素支撑增进发展效能，提出五个方面内容：</w:t>
      </w:r>
      <w:r>
        <w:rPr>
          <w:rFonts w:ascii="Times New Roman" w:eastAsia="仿宋_GB2312" w:cs="Times New Roman" w:hAnsi="Times New Roman"/>
          <w:b/>
          <w:bCs/>
          <w:kern w:val="0"/>
          <w:sz w:val="32"/>
          <w:szCs w:val="32"/>
          <w:lang w:val="en-US" w:eastAsia="zh-CN"/>
          <w:highlight w:val="auto"/>
        </w:rPr>
        <w:t>一是坚持深化改革扩大开放，激发民营经济发展活力。</w:t>
      </w:r>
      <w:r>
        <w:rPr>
          <w:rFonts w:ascii="Times New Roman" w:eastAsia="仿宋_GB2312" w:cs="Times New Roman" w:hAnsi="Times New Roman"/>
          <w:b w:val="0"/>
          <w:bCs w:val="0"/>
          <w:kern w:val="0"/>
          <w:sz w:val="32"/>
          <w:szCs w:val="32"/>
          <w:lang w:val="en-US" w:eastAsia="zh-CN"/>
          <w:highlight w:val="auto"/>
        </w:rPr>
        <w:t>主要包括深入推进高水平对外开放、深化落实市场体制机制改革、促进关键要素双向开放流动等三个方面具体要求。</w:t>
      </w:r>
      <w:r>
        <w:rPr>
          <w:rFonts w:ascii="Times New Roman" w:eastAsia="仿宋_GB2312" w:cs="Times New Roman" w:hAnsi="Times New Roman"/>
          <w:b/>
          <w:bCs/>
          <w:kern w:val="0"/>
          <w:sz w:val="32"/>
          <w:szCs w:val="32"/>
          <w:lang w:val="en-US" w:eastAsia="zh-CN"/>
          <w:highlight w:val="auto"/>
        </w:rPr>
        <w:t>二是构筑融通发展产业生态，推动民营经济高质量发展。</w:t>
      </w:r>
      <w:r>
        <w:rPr>
          <w:rFonts w:ascii="Times New Roman" w:eastAsia="仿宋_GB2312" w:cs="Times New Roman" w:hAnsi="Times New Roman"/>
          <w:b w:val="0"/>
          <w:bCs w:val="0"/>
          <w:kern w:val="0"/>
          <w:sz w:val="32"/>
          <w:szCs w:val="32"/>
          <w:lang w:val="en-US" w:eastAsia="zh-CN"/>
          <w:highlight w:val="auto"/>
        </w:rPr>
        <w:t>主要包括支持重点领域民营企业发展、增强民营企业科技创新动能、完善民营企业梯次培育体系、积极推进国有企业与民营企业合作发展、引导企业完善治理结构和管理制度等五个方面具体要求。</w:t>
      </w:r>
      <w:r>
        <w:rPr>
          <w:rFonts w:ascii="Times New Roman" w:eastAsia="仿宋_GB2312" w:cs="Times New Roman" w:hAnsi="Times New Roman"/>
          <w:b/>
          <w:bCs/>
          <w:kern w:val="0"/>
          <w:sz w:val="32"/>
          <w:szCs w:val="32"/>
          <w:lang w:val="en-US" w:eastAsia="zh-CN"/>
          <w:highlight w:val="auto"/>
        </w:rPr>
        <w:t>三是发挥超大规模市场优势，拓展民营经济发展空间。</w:t>
      </w:r>
      <w:r>
        <w:rPr>
          <w:rFonts w:ascii="Times New Roman" w:eastAsia="仿宋_GB2312" w:cs="Times New Roman" w:hAnsi="Times New Roman"/>
          <w:b w:val="0"/>
          <w:bCs w:val="0"/>
          <w:kern w:val="0"/>
          <w:sz w:val="32"/>
          <w:szCs w:val="32"/>
          <w:lang w:val="en-US" w:eastAsia="zh-CN"/>
          <w:highlight w:val="auto"/>
        </w:rPr>
        <w:t>主要包括积极扩大民间投资、充分释放消费大区活力、鼓励民营企业布局国内市场、支持民营企业拓展海外市场等四个方面具体要求。</w:t>
      </w:r>
      <w:r>
        <w:rPr>
          <w:rFonts w:ascii="Times New Roman" w:eastAsia="仿宋_GB2312" w:cs="Times New Roman" w:hAnsi="Times New Roman"/>
          <w:b/>
          <w:bCs/>
          <w:kern w:val="0"/>
          <w:sz w:val="32"/>
          <w:szCs w:val="32"/>
          <w:lang w:val="en-US" w:eastAsia="zh-CN"/>
          <w:highlight w:val="auto"/>
        </w:rPr>
        <w:t>四是强化资源要素支撑，增进民营经济发展效能。</w:t>
      </w:r>
      <w:r>
        <w:rPr>
          <w:rFonts w:ascii="Times New Roman" w:eastAsia="仿宋_GB2312" w:cs="Times New Roman" w:hAnsi="Times New Roman"/>
          <w:b w:val="0"/>
          <w:bCs w:val="0"/>
          <w:kern w:val="0"/>
          <w:sz w:val="32"/>
          <w:szCs w:val="32"/>
          <w:lang w:val="en-US" w:eastAsia="zh-CN"/>
          <w:highlight w:val="auto"/>
        </w:rPr>
        <w:t>主要包括强化金融支持举措、拓宽引才用工渠道、夯实土地空间保障等三个方面具体要求。</w:t>
      </w:r>
      <w:r>
        <w:rPr>
          <w:rFonts w:ascii="Times New Roman" w:eastAsia="仿宋_GB2312" w:cs="Times New Roman" w:hAnsi="Times New Roman"/>
          <w:b/>
          <w:bCs/>
          <w:kern w:val="0"/>
          <w:sz w:val="32"/>
          <w:szCs w:val="32"/>
          <w:lang w:val="en-US" w:eastAsia="zh-CN"/>
          <w:highlight w:val="auto"/>
        </w:rPr>
        <w:t>五是打造国际一流营商环境，护航民营经济健康发展。</w:t>
      </w:r>
      <w:r>
        <w:rPr>
          <w:rFonts w:ascii="Times New Roman" w:eastAsia="仿宋_GB2312" w:cs="Times New Roman" w:hAnsi="Times New Roman"/>
          <w:b w:val="0"/>
          <w:bCs w:val="0"/>
          <w:kern w:val="0"/>
          <w:sz w:val="32"/>
          <w:szCs w:val="32"/>
          <w:lang w:val="en-US" w:eastAsia="zh-CN"/>
          <w:highlight w:val="auto"/>
        </w:rPr>
        <w:t>主要包括全面构建亲清政商关系、打造暖心高效政务服务环境、加大政策支持力度、构建公平公正法治环境、保护民营企业和企业家合法权益、营造良好社会氛围等六个方面具体要求。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 w:left="0" w:firstLine="0"/>
        <w:textAlignment w:val="auto"/>
        <w:rPr>
          <w:rFonts w:ascii="Times New Roman" w:eastAsia="黑体" w:cs="Times New Roman" w:hAnsi="Times New Roman"/>
          <w:sz w:val="32"/>
          <w:u w:val="none"/>
          <w:lang w:val="en-US" w:eastAsia="zh-CN"/>
        </w:rPr>
      </w:pPr>
    </w:p>
    <w:sectPr>
      <w:footerReference w:type="default" r:id="rId2"/>
      <w:pgSz w:w="11906" w:h="16838"/>
      <w:pgMar w:top="1440" w:right="1800" w:bottom="1440" w:left="1800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7A"/>
    <w:family w:val="auto"/>
    <w:pitch w:val="variable"/>
    <w:sig w:usb0="E0002AFF" w:usb1="C0007841" w:usb2="00000009" w:usb3="00000000" w:csb0="400001FF" w:csb1="FFFF0000"/>
  </w:font>
  <w:font w:name="方正小标宋简体">
    <w:altName w:val="微软雅黑"/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宋体">
    <w:altName w:val="方正书宋_GBK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Arial">
    <w:altName w:val="Times New Roman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仿宋">
    <w:altName w:val="方正仿宋_GBK"/>
    <w:panose1 w:val="02010609060101010101"/>
    <w:charset w:val="86"/>
    <w:family w:val="modern"/>
    <w:pitch w:val="variable"/>
    <w:sig w:usb0="00000000" w:usb1="0000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00000000" w:usb1="00000000" w:usb2="00000001" w:usb3="00000000" w:csb0="0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1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207" cy="131690"/>
              <wp:effectExtent l="0" t="0" r="0" b="0"/>
              <wp:wrapNone/>
              <wp:docPr id="1" name="文本框 2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207" cy="131690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21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2 3" o:spid="_x0000_s3" filled="f" stroked="f" strokeweight="0.5pt" style="position:absolute;margin-left:0.0pt;margin-top:0.0pt;width:4.5044975pt;height:10.369356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21"/>
                      <w:tabs>
                        <w:tab w:val="center" w:pos="4153"/>
                        <w:tab w:val="right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FEFF0C52"/>
    <w:multiLevelType w:val="singleLevel"/>
    <w:tmpl w:val="FEFF0C52"/>
    <w:lvl w:ilvl="0">
      <w:start w:val="1"/>
      <w:numFmt w:val="chineseCounting"/>
      <w:lvlRestart w:val="0"/>
      <w:suff w:val="nothing"/>
      <w:lvlText w:val="%1、"/>
      <w:lvlJc w:val="left"/>
      <w:pPr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  <w:docVars>
    <w:docVar w:name="commondata" w:val="eyJoZGlkIjoiMDkzNGU4MmVkZDUyYTliMjQ5OGM0ZDI1MjQ3NGY4YjI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next w:val="15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6">
    <w:name w:val="heading 6"/>
    <w:qFormat/>
    <w:basedOn w:val="0"/>
    <w:next w:val="0"/>
    <w:pPr>
      <w:keepNext/>
      <w:keepLines/>
      <w:widowControl w:val="0"/>
      <w:spacing w:before="240" w:after="64" w:line="317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10">
    <w:name w:val="Default Paragraph Font"/>
    <w:qFormat/>
  </w:style>
  <w:style w:type="paragraph" w:customStyle="1" w:styleId="15">
    <w:name w:val="仿宋正文"/>
    <w:qFormat/>
    <w:basedOn w:val="0"/>
    <w:pPr>
      <w:spacing w:line="560" w:lineRule="exact"/>
      <w:ind w:firstLineChars="200" w:firstLine="200"/>
    </w:pPr>
    <w:rPr>
      <w:rFonts w:eastAsia="仿宋"/>
    </w:rPr>
  </w:style>
  <w:style w:type="paragraph" w:styleId="16">
    <w:name w:val="Normal Indent"/>
    <w:qFormat/>
    <w:basedOn w:val="0"/>
    <w:pPr>
      <w:ind w:firstLine="420"/>
    </w:pPr>
    <w:rPr>
      <w:szCs w:val="20"/>
    </w:rPr>
  </w:style>
  <w:style w:type="paragraph" w:styleId="17">
    <w:name w:val="Body Text"/>
    <w:qFormat/>
    <w:basedOn w:val="0"/>
    <w:next w:val="0"/>
    <w:pPr>
      <w:spacing w:after="120"/>
    </w:pPr>
    <w:rPr>
      <w:kern w:val="0"/>
    </w:rPr>
  </w:style>
  <w:style w:type="paragraph" w:styleId="18">
    <w:name w:val="Body Text Indent"/>
    <w:qFormat/>
    <w:basedOn w:val="0"/>
    <w:pPr>
      <w:spacing w:after="120"/>
      <w:ind w:leftChars="200" w:left="200"/>
    </w:pPr>
  </w:style>
  <w:style w:type="paragraph" w:styleId="19">
    <w:name w:val="Block Text"/>
    <w:qFormat/>
    <w:basedOn w:val="0"/>
    <w:pPr>
      <w:ind w:leftChars="-342" w:left="-342" w:rightChars="-244" w:right="-244"/>
      <w:jc w:val="center"/>
    </w:pPr>
    <w:rPr>
      <w:rFonts w:ascii="仿宋_GB2312" w:hAnsi="仿宋_GB2312"/>
      <w:sz w:val="44"/>
    </w:rPr>
  </w:style>
  <w:style w:type="paragraph" w:styleId="20">
    <w:name w:val="Plain Text"/>
    <w:qFormat/>
    <w:basedOn w:val="0"/>
    <w:next w:val="0"/>
    <w:rPr>
      <w:rFonts w:ascii="宋体"/>
      <w:szCs w:val="20"/>
    </w:rPr>
  </w:style>
  <w:style w:type="paragraph" w:styleId="21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2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toc 1"/>
    <w:qFormat/>
    <w:basedOn w:val="0"/>
    <w:next w:val="0"/>
    <w:rPr>
      <w:rFonts w:ascii="Calibri" w:eastAsia="宋体" w:cs="Times New Roman" w:hAnsi="Calibri"/>
      <w:sz w:val="21"/>
    </w:rPr>
  </w:style>
  <w:style w:type="paragraph" w:styleId="24">
    <w:name w:val="toc 2"/>
    <w:qFormat/>
    <w:basedOn w:val="0"/>
    <w:next w:val="0"/>
    <w:pPr>
      <w:ind w:leftChars="200" w:left="200"/>
    </w:pPr>
  </w:style>
  <w:style w:type="paragraph" w:styleId="25">
    <w:name w:val="HTML Preformatted"/>
    <w:qFormat/>
    <w:basedOn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宋体"/>
      <w:kern w:val="0"/>
      <w:sz w:val="24"/>
      <w:szCs w:val="24"/>
      <w:lang w:val="en-US" w:eastAsia="zh-CN"/>
    </w:rPr>
  </w:style>
  <w:style w:type="paragraph" w:styleId="26">
    <w:name w:val="Normal (Web)"/>
    <w:qFormat/>
    <w:basedOn w:val="0"/>
    <w:rPr>
      <w:sz w:val="24"/>
    </w:rPr>
  </w:style>
  <w:style w:type="paragraph" w:styleId="27">
    <w:name w:val="Body Text First Indent 2"/>
    <w:qFormat/>
    <w:basedOn w:val="18"/>
    <w:rPr>
      <w:rFonts w:ascii="仿宋_GB2312" w:eastAsia="仿宋_GB2312" w:cs="仿宋_GB2312"/>
      <w:kern w:val="0"/>
      <w:sz w:val="32"/>
      <w:szCs w:val="32"/>
    </w:rPr>
  </w:style>
  <w:style w:type="character" w:customStyle="1" w:styleId="28">
    <w:name w:val="font11"/>
    <w:qFormat/>
    <w:basedOn w:val="10"/>
    <w:rPr>
      <w:rFonts w:ascii="Times New Roman" w:cs="Times New Roman" w:hAnsi="Times New Roman"/>
      <w:b/>
      <w:color w:val="000000"/>
      <w:sz w:val="24"/>
      <w:szCs w:val="24"/>
      <w:u w:val="none"/>
    </w:rPr>
  </w:style>
  <w:style w:type="character" w:customStyle="1" w:styleId="29">
    <w:name w:val="font21"/>
    <w:qFormat/>
    <w:basedOn w:val="10"/>
    <w:rPr>
      <w:rFonts w:ascii="宋体" w:eastAsia="宋体" w:cs="宋体"/>
      <w:b/>
      <w:color w:val="000000"/>
      <w:sz w:val="24"/>
      <w:szCs w:val="24"/>
      <w:u w:val="none"/>
    </w:rPr>
  </w:style>
  <w:style w:type="character" w:customStyle="1" w:styleId="30">
    <w:name w:val="font71"/>
    <w:qFormat/>
    <w:basedOn w:val="10"/>
    <w:rPr>
      <w:rFonts w:ascii="宋体" w:eastAsia="宋体" w:cs="宋体"/>
      <w:b/>
      <w:color w:val="000000"/>
      <w:sz w:val="24"/>
      <w:szCs w:val="24"/>
      <w:u w:val="none"/>
    </w:rPr>
  </w:style>
  <w:style w:type="character" w:customStyle="1" w:styleId="31">
    <w:name w:val="font31"/>
    <w:qFormat/>
    <w:basedOn w:val="10"/>
    <w:rPr>
      <w:rFonts w:ascii="Times New Roman" w:cs="Times New Roman" w:hAnsi="Times New Roman"/>
      <w:b/>
      <w:color w:val="000000"/>
      <w:sz w:val="24"/>
      <w:szCs w:val="24"/>
      <w:u w:val="none"/>
    </w:rPr>
  </w:style>
  <w:style w:type="character" w:customStyle="1" w:styleId="32">
    <w:name w:val="font91"/>
    <w:qFormat/>
    <w:basedOn w:val="10"/>
    <w:rPr>
      <w:rFonts w:ascii="Times New Roman" w:cs="Times New Roman" w:hAnsi="Times New Roman"/>
      <w:color w:val="000000"/>
      <w:sz w:val="24"/>
      <w:szCs w:val="24"/>
      <w:u w:val="none"/>
    </w:rPr>
  </w:style>
  <w:style w:type="character" w:customStyle="1" w:styleId="33">
    <w:name w:val="font41"/>
    <w:qFormat/>
    <w:basedOn w:val="10"/>
    <w:rPr>
      <w:rFonts w:ascii="宋体" w:eastAsia="宋体" w:cs="宋体"/>
      <w:color w:val="000000"/>
      <w:sz w:val="24"/>
      <w:szCs w:val="24"/>
      <w:u w:val="none"/>
    </w:rPr>
  </w:style>
  <w:style w:type="paragraph" w:customStyle="1" w:styleId="34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Times New Roman"/>
      <w:color w:val="000000"/>
      <w:sz w:val="24"/>
      <w:szCs w:val="20"/>
      <w:lang w:val="en-US" w:eastAsia="zh-CN" w:bidi="ar-SA"/>
    </w:rPr>
  </w:style>
  <w:style w:type="paragraph" w:customStyle="1" w:styleId="35">
    <w:name w:val="正文-公1"/>
    <w:qFormat/>
    <w:basedOn w:val="0"/>
    <w:pPr>
      <w:ind w:firstLineChars="200" w:firstLine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18</TotalTime>
  <Application>Yozo_Office27021597764231180</Application>
  <Pages>3</Pages>
  <Words>0</Words>
  <Characters>1078</Characters>
  <Lines>0</Lines>
  <Paragraphs>16</Paragraphs>
  <CharactersWithSpaces>1438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语海</dc:creator>
  <cp:lastModifiedBy>123</cp:lastModifiedBy>
  <cp:revision>8</cp:revision>
  <cp:lastPrinted>2022-02-22T03:05:00Z</cp:lastPrinted>
  <dcterms:created xsi:type="dcterms:W3CDTF">2021-11-08T23:33:00Z</dcterms:created>
  <dcterms:modified xsi:type="dcterms:W3CDTF">2024-02-06T08:02:55Z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2052-11.8.2.10337</vt:lpwstr>
  </property>
  <property fmtid="{D5CDD505-2E9C-101B-9397-08002B2CF9AE}" pid="3" name="ICV">
    <vt:lpwstr>74FD2BD1974C4A9894C6EEF9761ADB44</vt:lpwstr>
  </property>
</Properties>
</file>