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eastAsia="黑体" w:cs="Times New Roman" w:hAnsi="Times New Roman"/>
          <w:bCs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Cs/>
          <w:sz w:val="32"/>
          <w:szCs w:val="32"/>
          <w:lang w:eastAsia="zh-CN"/>
        </w:rPr>
        <w:t>附件</w:t>
      </w:r>
      <w:r>
        <w:rPr>
          <w:rFonts w:ascii="Times New Roman" w:eastAsia="黑体" w:cs="Times New Roman" w:hAnsi="Times New Roman"/>
          <w:bCs/>
          <w:sz w:val="32"/>
          <w:szCs w:val="32"/>
          <w:lang w:val="en-US" w:eastAsia="zh-CN"/>
        </w:rPr>
        <w:t>2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 w:hint="eastAsia"/>
          <w:bCs/>
          <w:sz w:val="44"/>
          <w:szCs w:val="24"/>
        </w:rPr>
      </w:pPr>
      <w:r>
        <w:rPr>
          <w:rFonts w:ascii="方正小标宋简体" w:eastAsia="方正小标宋简体" w:cs="宋体" w:hint="eastAsia"/>
          <w:bCs/>
          <w:sz w:val="44"/>
          <w:szCs w:val="24"/>
        </w:rPr>
        <w:t>关于《朝阳区关于促进民营经济发展壮大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/>
          <w:bCs/>
          <w:sz w:val="44"/>
          <w:szCs w:val="24"/>
        </w:rPr>
      </w:pPr>
      <w:r>
        <w:rPr>
          <w:rFonts w:ascii="方正小标宋简体" w:eastAsia="方正小标宋简体" w:cs="宋体" w:hint="eastAsia"/>
          <w:bCs/>
          <w:sz w:val="44"/>
          <w:szCs w:val="24"/>
        </w:rPr>
        <w:t>的意见》的起草说明</w:t>
      </w:r>
    </w:p>
    <w:p>
      <w:pPr>
        <w:pStyle w:val="25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ascii="Times New Roman" w:eastAsia="仿宋_GB2312" w:cs="仿宋_GB2312" w:hAnsi="Times New Roman" w:hint="eastAsia"/>
          <w:sz w:val="32"/>
          <w:szCs w:val="32"/>
          <w:lang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为</w:t>
      </w:r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深入贯彻落实国家和北京市关于支</w:t>
      </w:r>
      <w:bookmarkStart w:id="0" w:name="_GoBack"/>
      <w:bookmarkEnd w:id="0"/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持民营经济发展的决策部署，区</w:t>
      </w:r>
      <w:r>
        <w:rPr>
          <w:rFonts w:eastAsia="仿宋_GB2312" w:cs="仿宋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发展改革</w:t>
      </w:r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委起草形成《朝阳区关于促进民营经济发展壮大的意见》</w:t>
      </w:r>
      <w:r>
        <w:rPr>
          <w:rFonts w:ascii="Times New Roman" w:eastAsia="楷体_GB2312" w:cs="Times New Roman" w:hAnsi="Times New Roman"/>
          <w:color w:val="auto"/>
          <w:kern w:val="2"/>
          <w:sz w:val="28"/>
          <w:szCs w:val="28"/>
          <w:vertAlign w:val="baseline"/>
          <w:lang w:val="en-US" w:eastAsia="zh-CN" w:bidi="ar-SA"/>
        </w:rPr>
        <w:t>（以下简称《意见》）</w:t>
      </w:r>
      <w:r>
        <w:rPr>
          <w:rFonts w:ascii="Times New Roman" w:eastAsia="仿宋_GB2312" w:cs="Times New Roman" w:hAnsi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文件</w:t>
      </w:r>
      <w:r>
        <w:rPr>
          <w:rFonts w:ascii="Times New Roman" w:eastAsia="仿宋_GB2312" w:cs="Times New Roman" w:hAnsi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内容</w:t>
      </w:r>
      <w:r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已征求相关部门意见并进行修改完善</w:t>
      </w:r>
      <w:r>
        <w:rPr>
          <w:rFonts w:ascii="仿宋_GB2312" w:eastAsia="仿宋_GB2312" w:cs="仿宋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现</w:t>
      </w:r>
      <w:r>
        <w:rPr>
          <w:rFonts w:eastAsia="仿宋_GB2312" w:cs="仿宋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对起草情况进行说明。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黑体" w:eastAsia="黑体" w:cs="黑体" w:hint="eastAsia"/>
          <w:sz w:val="32"/>
          <w:szCs w:val="32"/>
          <w:lang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eastAsia="zh-CN"/>
          <w:highlight w:val="auto"/>
        </w:rPr>
        <w:t>起草考虑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楷体_GB2312" w:eastAsia="楷体_GB2312" w:cs="楷体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楷体_GB2312" w:eastAsia="楷体_GB2312" w:cs="楷体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（一）全面贯彻国家、市级新的决策部署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去年7月，党中央国务院出台了“民营经济31条”，从持续优化发展环境、加大政策支持力度、强化法治保障、推动高质量发展等方面，对促进民营经济发展壮大作出了重大部署。随后，国家发改委等8部委联合印发“促进民营经济发展28条”，从公平准入、要素支持、法治保障、涉企服务等方面提出了具体措施。此外，各相关部委围绕促进民间投资、完善政府诚信履约机制、强化金融支持举措等方面，陆续出台了一系列配套政策，集中发力支持民营经济发展。从市级层面，去年年底，市委市政府出台了促进民营经济发展壮大行动方案，聚焦“五子”重点领域、涉企服务和制度保障，提出32项重点任务，引导民营企业为新时代首都发展作出更大贡献。本次我区促进民营经济发展政策的起草，全面对标国家和市级上位文件精神，聚焦改革开放、科技创新、内外循环、要素支撑、营商环境等方面，进一步细化完善民营经济发展政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楷体_GB2312" w:eastAsia="楷体_GB2312" w:cs="楷体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（二）紧紧围绕朝阳功能定位和发展战略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在总体思路上，《意见》聚焦“三化”主攻方向，对标“五宜”朝阳建设要求，深刻把握“两区”建设、全球数字经济标杆城市建设、国际消费中心城市建设、京津冀一体化协同发展等国家、市级重大机遇，同时，突出朝阳产业结构特色，聚焦“商务+科技”双轮驱动战略作出具体安排，提出并完善了一批促进民营经济发展的创新政策、务实举措，旨在推动破解民营企业发展突出问题，进一步激发民营经济发展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楷体_GB2312" w:eastAsia="楷体_GB2312" w:cs="楷体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楷体_GB2312" w:eastAsia="楷体_GB2312" w:cs="楷体_GB2312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（三）精准回应民营企业诉求关切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为确保政策科学性、可执行性，前期，聚焦商务、金融、科技、文化等重点行业以及楼宇园区运营方、平台企业、高成长企业等主题，组织开展6场民营企业专题座谈会，并实地走访一批代表性重点企业，深入了解全区民营经济发展情况，广泛收集企业诉求。结合调研情况，《意见》针对民营企业实际需求作出相应安排，力争政策措施精准有力、切实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Chars="200" w:firstLine="640"/>
        <w:textAlignment w:val="auto"/>
        <w:rPr>
          <w:rFonts w:ascii="黑体" w:eastAsia="黑体" w:cs="黑体" w:hint="eastAsia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黑体" w:eastAsia="黑体" w:cs="黑体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/>
          <w:highlight w:val="auto"/>
        </w:rPr>
        <w:t>《意见》围绕推动民营经济高质量发展，以改革开放激发内生动力，以创新合作构筑融通生态，以内外循环拓宽发展格局，以要素支撑增进发展效能，提出五个方面内容：</w:t>
      </w:r>
      <w:r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  <w:highlight w:val="auto"/>
        </w:rPr>
        <w:t>一是坚持深化改革扩大开放，激发民营经济发展活力。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/>
          <w:highlight w:val="auto"/>
        </w:rPr>
        <w:t>主要包括深入推进高水平对外开放、深化落实市场体制机制改革、促进关键要素双向开放流动等三个方面具体要求。</w:t>
      </w:r>
      <w:r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  <w:highlight w:val="auto"/>
        </w:rPr>
        <w:t>二是构筑融通发展产业生态，推动民营经济高质量发展。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/>
          <w:highlight w:val="auto"/>
        </w:rPr>
        <w:t>主要包括支持重点领域民营企业发展、增强民营企业科技创新动能、完善民营企业梯次培育体系、积极推进国有企业与民营企业合作发展、引导企业完善治理结构和管理制度等五个方面具体要求。</w:t>
      </w:r>
      <w:r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  <w:highlight w:val="auto"/>
        </w:rPr>
        <w:t>三是发挥超大规模市场优势，拓展民营经济发展空间。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/>
          <w:highlight w:val="auto"/>
        </w:rPr>
        <w:t>主要包括积极扩大民间投资、充分释放消费大区活力、鼓励民营企业布局国内市场、支持民营企业拓展海外市场等四个方面具体要求。</w:t>
      </w:r>
      <w:r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  <w:highlight w:val="auto"/>
        </w:rPr>
        <w:t>四是强化资源要素支撑，增进民营经济发展效能。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/>
          <w:highlight w:val="auto"/>
        </w:rPr>
        <w:t>主要包括强化金融支持举措、拓宽引才用工渠道、夯实土地空间保障等三个方面具体要求。</w:t>
      </w:r>
      <w:r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  <w:highlight w:val="auto"/>
        </w:rPr>
        <w:t>五是打造国际一流营商环境，护航民营经济健康发展。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/>
          <w:highlight w:val="auto"/>
        </w:rPr>
        <w:t>主要包括全面构建亲清政商关系、打造暖心高效政务服务环境、加大政策支持力度、构建公平公正法治环境、保护民营企业和企业家合法权益、营造良好社会氛围等六个方面具体要求。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left="0" w:firstLine="0"/>
        <w:textAlignment w:val="auto"/>
        <w:rPr>
          <w:rFonts w:ascii="Times New Roman" w:eastAsia="黑体" w:cs="Times New Roman" w:hAnsi="Times New Roman"/>
          <w:sz w:val="32"/>
          <w:u w:val="none"/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方正小标宋简体">
    <w:altName w:val="微软雅黑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207" cy="131690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207" cy="13169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.5044975pt;height:10.369356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1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EFF0C52"/>
    <w:multiLevelType w:val="singleLevel"/>
    <w:tmpl w:val="FEFF0C52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DkzNGU4MmVkZDUyYTliMjQ5OGM0ZDI1MjQ3NGY4Y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qFormat/>
    <w:basedOn w:val="0"/>
    <w:next w:val="0"/>
    <w:pPr>
      <w:keepNext/>
      <w:keepLines/>
      <w:widowControl w:val="0"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10">
    <w:name w:val="Default Paragraph Font"/>
    <w:qFormat/>
  </w:style>
  <w:style w:type="paragraph" w:customStyle="1" w:styleId="15">
    <w:name w:val="仿宋正文"/>
    <w:qFormat/>
    <w:basedOn w:val="0"/>
    <w:pPr>
      <w:spacing w:line="560" w:lineRule="exact"/>
      <w:ind w:firstLineChars="200" w:firstLine="200"/>
    </w:pPr>
    <w:rPr>
      <w:rFonts w:eastAsia="仿宋"/>
    </w:rPr>
  </w:style>
  <w:style w:type="paragraph" w:styleId="16">
    <w:name w:val="Normal Indent"/>
    <w:qFormat/>
    <w:basedOn w:val="0"/>
    <w:pPr>
      <w:ind w:firstLine="420"/>
    </w:pPr>
    <w:rPr>
      <w:szCs w:val="20"/>
    </w:rPr>
  </w:style>
  <w:style w:type="paragraph" w:styleId="17">
    <w:name w:val="Body Text"/>
    <w:qFormat/>
    <w:basedOn w:val="0"/>
    <w:next w:val="0"/>
    <w:pPr>
      <w:spacing w:after="120"/>
    </w:pPr>
    <w:rPr>
      <w:kern w:val="0"/>
    </w:rPr>
  </w:style>
  <w:style w:type="paragraph" w:styleId="18">
    <w:name w:val="Body Text Indent"/>
    <w:qFormat/>
    <w:basedOn w:val="0"/>
    <w:pPr>
      <w:spacing w:after="120"/>
      <w:ind w:leftChars="200" w:left="200"/>
    </w:pPr>
  </w:style>
  <w:style w:type="paragraph" w:styleId="19">
    <w:name w:val="Block Text"/>
    <w:qFormat/>
    <w:basedOn w:val="0"/>
    <w:pPr>
      <w:ind w:leftChars="-342" w:left="-342" w:rightChars="-244" w:right="-244"/>
      <w:jc w:val="center"/>
    </w:pPr>
    <w:rPr>
      <w:rFonts w:ascii="仿宋_GB2312" w:hAnsi="仿宋_GB2312"/>
      <w:sz w:val="44"/>
    </w:rPr>
  </w:style>
  <w:style w:type="paragraph" w:styleId="20">
    <w:name w:val="Plain Text"/>
    <w:qFormat/>
    <w:basedOn w:val="0"/>
    <w:next w:val="0"/>
    <w:rPr>
      <w:rFonts w:ascii="宋体"/>
      <w:szCs w:val="20"/>
    </w:rPr>
  </w:style>
  <w:style w:type="paragraph" w:styleId="21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qFormat/>
    <w:basedOn w:val="0"/>
    <w:next w:val="0"/>
    <w:rPr>
      <w:rFonts w:ascii="Calibri" w:eastAsia="宋体" w:cs="Times New Roman" w:hAnsi="Calibri"/>
      <w:sz w:val="21"/>
    </w:rPr>
  </w:style>
  <w:style w:type="paragraph" w:styleId="24">
    <w:name w:val="toc 2"/>
    <w:qFormat/>
    <w:basedOn w:val="0"/>
    <w:next w:val="0"/>
    <w:pPr>
      <w:ind w:leftChars="200" w:left="200"/>
    </w:pPr>
  </w:style>
  <w:style w:type="paragraph" w:styleId="25">
    <w:name w:val="HTML Preformatted"/>
    <w:qFormat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6">
    <w:name w:val="Normal (Web)"/>
    <w:qFormat/>
    <w:basedOn w:val="0"/>
    <w:rPr>
      <w:sz w:val="24"/>
    </w:rPr>
  </w:style>
  <w:style w:type="paragraph" w:styleId="27">
    <w:name w:val="Body Text First Indent 2"/>
    <w:qFormat/>
    <w:basedOn w:val="18"/>
    <w:rPr>
      <w:rFonts w:ascii="仿宋_GB2312" w:eastAsia="仿宋_GB2312" w:cs="仿宋_GB2312"/>
      <w:kern w:val="0"/>
      <w:sz w:val="32"/>
      <w:szCs w:val="32"/>
    </w:rPr>
  </w:style>
  <w:style w:type="character" w:customStyle="1" w:styleId="28">
    <w:name w:val="font11"/>
    <w:qFormat/>
    <w:basedOn w:val="10"/>
    <w:rPr>
      <w:rFonts w:ascii="Times New Roman" w:cs="Times New Roman" w:hAnsi="Times New Roman"/>
      <w:b/>
      <w:color w:val="000000"/>
      <w:sz w:val="24"/>
      <w:szCs w:val="24"/>
      <w:u w:val="none"/>
    </w:rPr>
  </w:style>
  <w:style w:type="character" w:customStyle="1" w:styleId="29">
    <w:name w:val="font21"/>
    <w:qFormat/>
    <w:basedOn w:val="1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30">
    <w:name w:val="font71"/>
    <w:qFormat/>
    <w:basedOn w:val="1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31"/>
    <w:qFormat/>
    <w:basedOn w:val="10"/>
    <w:rPr>
      <w:rFonts w:ascii="Times New Roman" w:cs="Times New Roman" w:hAnsi="Times New Roman"/>
      <w:b/>
      <w:color w:val="000000"/>
      <w:sz w:val="24"/>
      <w:szCs w:val="24"/>
      <w:u w:val="none"/>
    </w:rPr>
  </w:style>
  <w:style w:type="character" w:customStyle="1" w:styleId="32">
    <w:name w:val="font91"/>
    <w:qFormat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33">
    <w:name w:val="font41"/>
    <w:qFormat/>
    <w:basedOn w:val="10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34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Times New Roman"/>
      <w:color w:val="000000"/>
      <w:sz w:val="24"/>
      <w:szCs w:val="20"/>
      <w:lang w:val="en-US" w:eastAsia="zh-CN" w:bidi="ar-SA"/>
    </w:rPr>
  </w:style>
  <w:style w:type="paragraph" w:customStyle="1" w:styleId="35">
    <w:name w:val="正文-公1"/>
    <w:qFormat/>
    <w:basedOn w:val="0"/>
    <w:pPr>
      <w:ind w:firstLineChars="200" w:firstLine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Yozo_Office27021597764231180</Application>
  <Pages>3</Pages>
  <Words>0</Words>
  <Characters>1078</Characters>
  <Lines>0</Lines>
  <Paragraphs>16</Paragraphs>
  <CharactersWithSpaces>1438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语海</dc:creator>
  <cp:lastModifiedBy>123</cp:lastModifiedBy>
  <cp:revision>8</cp:revision>
  <cp:lastPrinted>2022-02-22T03:05:00Z</cp:lastPrinted>
  <dcterms:created xsi:type="dcterms:W3CDTF">2021-11-08T23:33:00Z</dcterms:created>
  <dcterms:modified xsi:type="dcterms:W3CDTF">2024-02-06T08:02:55Z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2052-11.8.2.10337</vt:lpwstr>
  </property>
  <property fmtid="{D5CDD505-2E9C-101B-9397-08002B2CF9AE}" pid="3" name="ICV">
    <vt:lpwstr>74FD2BD1974C4A9894C6EEF9761ADB44</vt:lpwstr>
  </property>
</Properties>
</file>