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312" w:beforeLines="100" w:after="312" w:afterLines="100" w:line="500" w:lineRule="exact"/>
        <w:rPr>
          <w:rFonts w:hint="eastAsia" w:ascii="方正小标宋简体" w:hAnsi="方正小标宋简体" w:eastAsia="方正小标宋简体" w:cs="方正小标宋简体"/>
          <w:color w:val="auto"/>
          <w:szCs w:val="44"/>
        </w:rPr>
      </w:pPr>
      <w:r>
        <w:rPr>
          <w:rFonts w:hint="eastAsia" w:ascii="方正小标宋简体" w:hAnsi="方正小标宋简体" w:eastAsia="方正小标宋简体" w:cs="方正小标宋简体"/>
          <w:color w:val="auto"/>
          <w:szCs w:val="44"/>
        </w:rPr>
        <w:t>北京市朝阳区人民政府左家庄街道办事处</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pStyle w:val="2"/>
        <w:numPr>
          <w:ilvl w:val="0"/>
          <w:numId w:val="0"/>
        </w:numPr>
        <w:ind w:left="1740" w:leftChars="0"/>
        <w:rPr>
          <w:rFonts w:hint="eastAsia"/>
        </w:rPr>
      </w:pPr>
    </w:p>
    <w:p>
      <w:pPr>
        <w:pStyle w:val="3"/>
        <w:jc w:val="both"/>
        <w:rPr>
          <w:rFonts w:hint="eastAsia" w:ascii="Times New Roman" w:hAnsi="Times New Roman" w:eastAsia="仿宋_GB2312" w:cs="Times New Roman"/>
          <w:spacing w:val="8"/>
          <w:kern w:val="0"/>
          <w:sz w:val="32"/>
          <w:szCs w:val="32"/>
          <w:lang w:eastAsia="zh-CN" w:bidi="ar"/>
        </w:rPr>
      </w:pPr>
      <w:r>
        <w:rPr>
          <w:rFonts w:hint="eastAsia"/>
          <w:lang w:val="en-US" w:eastAsia="zh-CN"/>
        </w:rPr>
        <w:t xml:space="preserve">   </w:t>
      </w:r>
      <w:r>
        <w:rPr>
          <w:rFonts w:ascii="Times New Roman" w:hAnsi="Times New Roman" w:eastAsia="仿宋_GB2312" w:cs="Times New Roman"/>
          <w:spacing w:val="8"/>
          <w:kern w:val="0"/>
          <w:sz w:val="32"/>
          <w:szCs w:val="32"/>
          <w:lang w:bidi="ar"/>
        </w:rPr>
        <w:t>依据</w:t>
      </w:r>
      <w:r>
        <w:rPr>
          <w:rFonts w:hint="eastAsia" w:ascii="仿宋_GB2312" w:eastAsia="仿宋_GB2312"/>
          <w:sz w:val="32"/>
        </w:rPr>
        <w:t>《</w:t>
      </w:r>
      <w:r>
        <w:rPr>
          <w:rFonts w:ascii="Times New Roman" w:hAnsi="Times New Roman" w:eastAsia="仿宋_GB2312" w:cs="Times New Roman"/>
          <w:spacing w:val="8"/>
          <w:kern w:val="0"/>
          <w:sz w:val="32"/>
          <w:szCs w:val="32"/>
          <w:lang w:bidi="ar"/>
        </w:rPr>
        <w:t>中华人民共和国政府信息公开条例</w:t>
      </w:r>
      <w:r>
        <w:rPr>
          <w:rFonts w:hint="eastAsia" w:ascii="仿宋_GB2312" w:eastAsia="仿宋_GB2312"/>
          <w:sz w:val="32"/>
        </w:rPr>
        <w:t>》</w:t>
      </w:r>
      <w:r>
        <w:rPr>
          <w:rFonts w:hint="eastAsia" w:ascii="仿宋_GB2312" w:eastAsia="仿宋_GB2312"/>
          <w:sz w:val="32"/>
          <w:lang w:eastAsia="zh-CN"/>
        </w:rPr>
        <w:t>第四十九条、五十条规定，</w:t>
      </w:r>
      <w:r>
        <w:rPr>
          <w:rFonts w:ascii="Times New Roman" w:hAnsi="Times New Roman" w:eastAsia="仿宋_GB2312" w:cs="Times New Roman"/>
          <w:spacing w:val="8"/>
          <w:kern w:val="0"/>
          <w:sz w:val="32"/>
          <w:szCs w:val="32"/>
          <w:lang w:bidi="ar"/>
        </w:rPr>
        <w:t>编制本报告</w:t>
      </w:r>
      <w:r>
        <w:rPr>
          <w:rFonts w:hint="eastAsia" w:ascii="Times New Roman" w:hAnsi="Times New Roman" w:eastAsia="仿宋_GB2312" w:cs="Times New Roman"/>
          <w:spacing w:val="8"/>
          <w:kern w:val="0"/>
          <w:sz w:val="32"/>
          <w:szCs w:val="32"/>
          <w:lang w:eastAsia="zh-CN" w:bidi="ar"/>
        </w:rPr>
        <w:t>。</w:t>
      </w:r>
    </w:p>
    <w:p>
      <w:pPr>
        <w:adjustRightInd w:val="0"/>
        <w:snapToGrid w:val="0"/>
        <w:spacing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lang w:val="en-US" w:eastAsia="zh-CN"/>
        </w:rPr>
        <w:t>年是</w:t>
      </w:r>
      <w:r>
        <w:rPr>
          <w:rFonts w:hint="eastAsia" w:ascii="Times New Roman" w:hAnsi="Times New Roman" w:eastAsia="仿宋_GB2312" w:cs="Times New Roman"/>
          <w:sz w:val="32"/>
          <w:szCs w:val="32"/>
          <w:lang w:val="en-US" w:eastAsia="zh-CN"/>
        </w:rPr>
        <w:t>全面贯彻党的二十大精神的开局之年</w:t>
      </w:r>
      <w:r>
        <w:rPr>
          <w:rFonts w:ascii="Times New Roman" w:hAnsi="Times New Roman" w:eastAsia="仿宋_GB2312" w:cs="Times New Roman"/>
          <w:sz w:val="32"/>
          <w:szCs w:val="32"/>
          <w:lang w:val="en-US" w:eastAsia="zh-CN"/>
        </w:rPr>
        <w:t>，是实施“十四五”规划</w:t>
      </w:r>
      <w:r>
        <w:rPr>
          <w:rFonts w:hint="eastAsia" w:ascii="Times New Roman" w:hAnsi="Times New Roman" w:eastAsia="仿宋_GB2312" w:cs="Times New Roman"/>
          <w:sz w:val="32"/>
          <w:szCs w:val="32"/>
          <w:lang w:val="en-US" w:eastAsia="zh-CN"/>
        </w:rPr>
        <w:t>承前启后的关键一年</w:t>
      </w:r>
      <w:r>
        <w:rPr>
          <w:rFonts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左家庄街</w:t>
      </w:r>
      <w:r>
        <w:rPr>
          <w:rFonts w:ascii="Times New Roman" w:hAnsi="Times New Roman" w:eastAsia="仿宋_GB2312" w:cs="Times New Roman"/>
          <w:sz w:val="32"/>
          <w:szCs w:val="32"/>
          <w:lang w:val="en-US" w:eastAsia="zh-CN"/>
        </w:rPr>
        <w:t>道</w:t>
      </w:r>
      <w:r>
        <w:rPr>
          <w:rFonts w:hint="eastAsia" w:ascii="Times New Roman" w:hAnsi="Times New Roman" w:eastAsia="仿宋_GB2312" w:cs="Times New Roman"/>
          <w:sz w:val="32"/>
          <w:szCs w:val="32"/>
          <w:lang w:val="en-US" w:eastAsia="zh-CN"/>
        </w:rPr>
        <w:t>认真贯彻落实《中华人民共和国政府信息公开条例》，促进政府权力运行的公开透明，提升政府公信力。</w:t>
      </w:r>
      <w:r>
        <w:rPr>
          <w:rFonts w:ascii="Times New Roman" w:hAnsi="Times New Roman" w:eastAsia="仿宋_GB2312" w:cs="Times New Roman"/>
          <w:sz w:val="32"/>
          <w:szCs w:val="32"/>
        </w:rPr>
        <w:t>现将一年来工作情况汇报如下：</w:t>
      </w:r>
    </w:p>
    <w:p>
      <w:pPr>
        <w:spacing w:line="560" w:lineRule="exact"/>
        <w:ind w:firstLine="640" w:firstLineChars="200"/>
        <w:rPr>
          <w:rFonts w:ascii="Times New Roman" w:hAnsi="Times New Roman" w:cs="Times New Roman"/>
        </w:rPr>
      </w:pPr>
      <w:r>
        <w:rPr>
          <w:rFonts w:ascii="Times New Roman" w:hAnsi="Times New Roman" w:eastAsia="黑体" w:cs="Times New Roman"/>
          <w:sz w:val="32"/>
          <w:szCs w:val="32"/>
        </w:rPr>
        <w:t>一、总体情况</w:t>
      </w:r>
    </w:p>
    <w:p>
      <w:pPr>
        <w:adjustRightInd w:val="0"/>
        <w:snapToGrid w:val="0"/>
        <w:spacing w:line="560" w:lineRule="exact"/>
        <w:ind w:firstLine="640"/>
        <w:jc w:val="both"/>
        <w:rPr>
          <w:rFonts w:ascii="寰蒋闆呴粦" w:hAnsi="寰蒋闆呴粦" w:eastAsia="寰蒋闆呴粦" w:cs="寰蒋闆呴粦"/>
          <w:i w:val="0"/>
          <w:caps w:val="0"/>
          <w:color w:val="404040"/>
          <w:spacing w:val="0"/>
          <w:sz w:val="24"/>
          <w:szCs w:val="24"/>
          <w:shd w:val="clear" w:fill="FFFFFF"/>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年，左家庄街道</w:t>
      </w:r>
      <w:r>
        <w:rPr>
          <w:rFonts w:hint="eastAsia" w:ascii="Times New Roman" w:hAnsi="Times New Roman" w:eastAsia="仿宋_GB2312" w:cs="Times New Roman"/>
          <w:sz w:val="32"/>
          <w:szCs w:val="32"/>
          <w:lang w:eastAsia="zh-CN"/>
        </w:rPr>
        <w:t>在区委、区政府的正确领导下，</w:t>
      </w:r>
      <w:r>
        <w:rPr>
          <w:rFonts w:ascii="Times New Roman" w:hAnsi="Times New Roman" w:eastAsia="仿宋_GB2312" w:cs="Times New Roman"/>
          <w:sz w:val="32"/>
          <w:szCs w:val="32"/>
        </w:rPr>
        <w:t>坚持以习近平新时代中国特色社会主义思想为指导，在</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年的基础上不断深化政务公开、强化政务服务</w:t>
      </w:r>
      <w:r>
        <w:rPr>
          <w:rFonts w:hint="eastAsia" w:ascii="Times New Roman" w:hAnsi="Times New Roman" w:eastAsia="仿宋_GB2312" w:cs="Times New Roman"/>
          <w:sz w:val="32"/>
          <w:szCs w:val="32"/>
          <w:lang w:eastAsia="zh-CN"/>
        </w:rPr>
        <w:t>，坚持将政府信息公开工作做为保障人民群众了解政府信息的重要举措，</w:t>
      </w:r>
      <w:r>
        <w:rPr>
          <w:rFonts w:hint="default" w:ascii="Times New Roman" w:hAnsi="Times New Roman" w:eastAsia="仿宋_GB2312" w:cs="Times New Roman"/>
          <w:sz w:val="32"/>
          <w:szCs w:val="32"/>
        </w:rPr>
        <w:t>以公开促落实、促规范、促服务。</w:t>
      </w:r>
    </w:p>
    <w:p>
      <w:pPr>
        <w:adjustRightInd w:val="0"/>
        <w:snapToGrid w:val="0"/>
        <w:spacing w:line="560" w:lineRule="exact"/>
        <w:ind w:firstLine="640"/>
        <w:jc w:val="both"/>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一是</w:t>
      </w:r>
      <w:r>
        <w:rPr>
          <w:rFonts w:hint="eastAsia" w:ascii="Times New Roman" w:hAnsi="Times New Roman" w:eastAsia="仿宋_GB2312" w:cs="Times New Roman"/>
          <w:b/>
          <w:bCs/>
          <w:sz w:val="32"/>
          <w:szCs w:val="32"/>
        </w:rPr>
        <w:t>强化组织保障</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明确办公室为信息公开责任</w:t>
      </w:r>
      <w:r>
        <w:rPr>
          <w:rFonts w:hint="eastAsia" w:ascii="Times New Roman" w:hAnsi="Times New Roman" w:eastAsia="仿宋_GB2312" w:cs="Times New Roman"/>
          <w:sz w:val="32"/>
          <w:szCs w:val="32"/>
          <w:lang w:eastAsia="zh-CN"/>
        </w:rPr>
        <w:t>科室</w:t>
      </w:r>
      <w:r>
        <w:rPr>
          <w:rFonts w:hint="eastAsia" w:ascii="Times New Roman" w:hAnsi="Times New Roman" w:eastAsia="仿宋_GB2312" w:cs="Times New Roman"/>
          <w:sz w:val="32"/>
          <w:szCs w:val="32"/>
        </w:rPr>
        <w:t>，进一步强化组织保障。制定信息公开工作实施方案，建立信息公开保密制度，结合工作实际，指定业务骨干承办信息公开工作任务，确保政府信息公开各项工作顺利推进。</w:t>
      </w:r>
    </w:p>
    <w:p>
      <w:pPr>
        <w:adjustRightInd w:val="0"/>
        <w:snapToGrid w:val="0"/>
        <w:spacing w:line="560" w:lineRule="exact"/>
        <w:ind w:firstLine="640"/>
        <w:jc w:val="both"/>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二是</w:t>
      </w:r>
      <w:r>
        <w:rPr>
          <w:rFonts w:hint="eastAsia" w:ascii="Times New Roman" w:hAnsi="Times New Roman" w:eastAsia="仿宋_GB2312" w:cs="Times New Roman"/>
          <w:b/>
          <w:bCs/>
          <w:sz w:val="32"/>
          <w:szCs w:val="32"/>
        </w:rPr>
        <w:t>强化业务培训。</w:t>
      </w:r>
      <w:r>
        <w:rPr>
          <w:rFonts w:hint="eastAsia" w:ascii="Times New Roman" w:hAnsi="Times New Roman" w:eastAsia="仿宋_GB2312" w:cs="Times New Roman"/>
          <w:sz w:val="32"/>
          <w:szCs w:val="32"/>
        </w:rPr>
        <w:t>安排相关业务人员认真学习《政府信息公开条例》，积极参加业务培训，明确信息公开职责、程序、公开方式和时限要求，不断提高相关工作人员业务水平，提升政府信息公开工作质量。</w:t>
      </w:r>
    </w:p>
    <w:p>
      <w:pPr>
        <w:adjustRightInd w:val="0"/>
        <w:snapToGrid w:val="0"/>
        <w:spacing w:line="560" w:lineRule="exact"/>
        <w:ind w:firstLine="640"/>
        <w:jc w:val="both"/>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三是</w:t>
      </w:r>
      <w:r>
        <w:rPr>
          <w:rFonts w:hint="eastAsia" w:ascii="Times New Roman" w:hAnsi="Times New Roman" w:eastAsia="仿宋_GB2312" w:cs="Times New Roman"/>
          <w:b/>
          <w:bCs/>
          <w:sz w:val="32"/>
          <w:szCs w:val="32"/>
        </w:rPr>
        <w:t>聚焦重点工作。</w:t>
      </w:r>
      <w:r>
        <w:rPr>
          <w:rFonts w:hint="eastAsia" w:ascii="Times New Roman" w:hAnsi="Times New Roman" w:eastAsia="仿宋_GB2312" w:cs="Times New Roman"/>
          <w:sz w:val="32"/>
          <w:szCs w:val="32"/>
        </w:rPr>
        <w:t>贯彻落实区委、区政府各项决策部署，聚焦就业创业、社会保险、人事人才、劳动维权等重点任务，及时公开、精准解读相关政策措施。对涉及群众切身利益、容易引起社会关注的重要改革措施和政策文件，第一时间进行公布上传。完善本单位政务公开全清单、细化相关领域政务公开事项，发布《北京市朝阳区</w:t>
      </w:r>
      <w:r>
        <w:rPr>
          <w:rFonts w:hint="eastAsia" w:ascii="Times New Roman" w:hAnsi="Times New Roman" w:eastAsia="仿宋_GB2312" w:cs="Times New Roman"/>
          <w:sz w:val="32"/>
          <w:szCs w:val="32"/>
          <w:lang w:eastAsia="zh-CN"/>
        </w:rPr>
        <w:t>左家庄</w:t>
      </w:r>
      <w:r>
        <w:rPr>
          <w:rFonts w:hint="eastAsia" w:ascii="Times New Roman" w:hAnsi="Times New Roman" w:eastAsia="仿宋_GB2312" w:cs="Times New Roman"/>
          <w:sz w:val="32"/>
          <w:szCs w:val="32"/>
        </w:rPr>
        <w:t>街道办事处政府信息主动公开全清单(202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年)》。按照区政务公开工作要点落实年度公开任务</w:t>
      </w:r>
      <w:r>
        <w:rPr>
          <w:rFonts w:hint="eastAsia" w:ascii="Times New Roman" w:hAnsi="Times New Roman" w:eastAsia="仿宋_GB2312" w:cs="Times New Roman"/>
          <w:sz w:val="32"/>
          <w:szCs w:val="32"/>
          <w:lang w:eastAsia="zh-CN"/>
        </w:rPr>
        <w:t>。</w:t>
      </w:r>
    </w:p>
    <w:p>
      <w:pPr>
        <w:spacing w:line="560" w:lineRule="exact"/>
        <w:ind w:firstLine="643" w:firstLineChars="200"/>
        <w:rPr>
          <w:rFonts w:hint="eastAsia" w:ascii="Times New Roman" w:hAnsi="Times New Roman" w:eastAsia="仿宋_GB2312" w:cs="Times New Roman"/>
          <w:sz w:val="32"/>
          <w:szCs w:val="32"/>
        </w:rPr>
      </w:pPr>
      <w:r>
        <w:rPr>
          <w:rFonts w:ascii="Times New Roman" w:hAnsi="Times New Roman" w:eastAsia="楷体_GB2312" w:cs="Times New Roman"/>
          <w:b/>
          <w:bCs/>
          <w:sz w:val="32"/>
          <w:szCs w:val="32"/>
          <w:lang w:bidi="ar"/>
        </w:rPr>
        <w:t>（一）主动公开情况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72" w:firstLineChars="200"/>
        <w:jc w:val="left"/>
        <w:textAlignment w:val="baseline"/>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snapToGrid/>
          <w:color w:val="000000"/>
          <w:spacing w:val="8"/>
          <w:kern w:val="0"/>
          <w:sz w:val="32"/>
          <w:szCs w:val="32"/>
          <w:lang w:val="en-US" w:eastAsia="zh-CN" w:bidi="ar"/>
        </w:rPr>
        <w:t>街道主动公开政府信息393条，其中全文电子化率达100%。在主动公开信息中，财政预决算（部门）2条；双随机抽查4条；行政执法信息12条；行政处罚类信息284条；扶贫、教育、医疗、社会保障、促进就业等方面的政策、措施和实施情况类信息37条，工作动态类信息54条。</w:t>
      </w:r>
    </w:p>
    <w:p>
      <w:pPr>
        <w:spacing w:line="560" w:lineRule="exact"/>
        <w:ind w:firstLine="643" w:firstLineChars="200"/>
        <w:rPr>
          <w:rFonts w:ascii="Times New Roman" w:hAnsi="Times New Roman" w:eastAsia="楷体_GB2312" w:cs="Times New Roman"/>
          <w:b/>
          <w:bCs/>
          <w:sz w:val="32"/>
          <w:szCs w:val="32"/>
          <w:lang w:bidi="ar"/>
        </w:rPr>
      </w:pPr>
      <w:r>
        <w:rPr>
          <w:rFonts w:hint="eastAsia" w:ascii="Times New Roman" w:hAnsi="Times New Roman" w:eastAsia="楷体_GB2312" w:cs="Times New Roman"/>
          <w:b/>
          <w:bCs/>
          <w:sz w:val="32"/>
          <w:szCs w:val="32"/>
          <w:lang w:eastAsia="zh-CN" w:bidi="ar"/>
        </w:rPr>
        <w:t>（二）</w:t>
      </w:r>
      <w:r>
        <w:rPr>
          <w:rFonts w:ascii="Times New Roman" w:hAnsi="Times New Roman" w:eastAsia="楷体_GB2312" w:cs="Times New Roman"/>
          <w:b/>
          <w:bCs/>
          <w:sz w:val="32"/>
          <w:szCs w:val="32"/>
          <w:lang w:bidi="ar"/>
        </w:rPr>
        <w:t>依申请公开办理情况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72" w:firstLineChars="200"/>
        <w:jc w:val="left"/>
        <w:textAlignment w:val="baseline"/>
        <w:outlineLvl w:val="9"/>
        <w:rPr>
          <w:rFonts w:ascii="Times New Roman" w:hAnsi="Times New Roman" w:eastAsia="仿宋_GB2312" w:cs="Times New Roman"/>
          <w:sz w:val="32"/>
          <w:szCs w:val="32"/>
        </w:rPr>
      </w:pPr>
      <w:r>
        <w:rPr>
          <w:rFonts w:hint="eastAsia" w:ascii="Times New Roman" w:hAnsi="Times New Roman" w:eastAsia="仿宋_GB2312" w:cs="Times New Roman"/>
          <w:snapToGrid/>
          <w:color w:val="000000"/>
          <w:spacing w:val="8"/>
          <w:kern w:val="0"/>
          <w:sz w:val="32"/>
          <w:szCs w:val="32"/>
          <w:lang w:val="en-US" w:eastAsia="zh-CN" w:bidi="ar"/>
        </w:rPr>
        <w:t>街道2023年度截止到12月，共收到政府信息公开申请 4 件，接受公民、法人及其他组织政府信息公开方面的咨询 0 人次，政府信息公开的行政复议申请 0 件。申请人通过电子邮件与邮寄信件的方式提出依申请公开，在收到申请后及时与申请人沟通，并按照相关规定依法给予回复，申请人对回复没有异议。全年因政府信息公开申请引发行政复议被纠错或行政诉讼败诉 0 件。</w:t>
      </w:r>
    </w:p>
    <w:p>
      <w:pPr>
        <w:numPr>
          <w:ilvl w:val="0"/>
          <w:numId w:val="2"/>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lang w:bidi="ar"/>
        </w:rPr>
        <w:t>主动公开政府信息情况</w:t>
      </w:r>
    </w:p>
    <w:p>
      <w:pPr>
        <w:rPr>
          <w:rFonts w:ascii="Times New Roman" w:hAnsi="Times New Roman" w:cs="Times New Roman"/>
        </w:rPr>
      </w:pPr>
    </w:p>
    <w:tbl>
      <w:tblPr>
        <w:tblStyle w:val="9"/>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9BC2E6"/>
            <w:tcMar>
              <w:left w:w="57" w:type="dxa"/>
              <w:right w:w="57" w:type="dxa"/>
            </w:tcMar>
            <w:vAlign w:val="center"/>
          </w:tcPr>
          <w:p>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BDD7EE"/>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信息内容</w:t>
            </w:r>
          </w:p>
        </w:tc>
        <w:tc>
          <w:tcPr>
            <w:tcW w:w="2435" w:type="dxa"/>
            <w:shd w:val="clear" w:color="auto" w:fill="DDEBF7"/>
            <w:tcMar>
              <w:left w:w="57" w:type="dxa"/>
              <w:right w:w="57" w:type="dxa"/>
            </w:tcMar>
            <w:vAlign w:val="center"/>
          </w:tcPr>
          <w:p>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本年制发件数</w:t>
            </w:r>
          </w:p>
        </w:tc>
        <w:tc>
          <w:tcPr>
            <w:tcW w:w="2435" w:type="dxa"/>
            <w:shd w:val="clear" w:color="auto" w:fill="DDEBF7"/>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本年废止件数</w:t>
            </w:r>
          </w:p>
        </w:tc>
        <w:tc>
          <w:tcPr>
            <w:tcW w:w="2435" w:type="dxa"/>
            <w:shd w:val="clear" w:color="auto" w:fill="DDEBF7"/>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现行有效件</w:t>
            </w:r>
            <w:r>
              <w:rPr>
                <w:rFonts w:ascii="Times New Roman" w:hAnsi="Times New Roman" w:eastAsia="宋体" w:cs="Times New Roman"/>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color w:val="000000"/>
                <w:kern w:val="0"/>
                <w:sz w:val="20"/>
                <w:szCs w:val="20"/>
                <w:lang w:bidi="ar"/>
              </w:rPr>
              <w:t>规章</w:t>
            </w:r>
          </w:p>
        </w:tc>
        <w:tc>
          <w:tcPr>
            <w:tcW w:w="2435" w:type="dxa"/>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0</w:t>
            </w:r>
          </w:p>
        </w:tc>
        <w:tc>
          <w:tcPr>
            <w:tcW w:w="2435" w:type="dxa"/>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0</w:t>
            </w:r>
          </w:p>
        </w:tc>
        <w:tc>
          <w:tcPr>
            <w:tcW w:w="2435" w:type="dxa"/>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color w:val="000000"/>
                <w:kern w:val="0"/>
                <w:sz w:val="20"/>
                <w:szCs w:val="20"/>
                <w:lang w:bidi="ar"/>
              </w:rPr>
              <w:t>行政规范性文件</w:t>
            </w:r>
          </w:p>
        </w:tc>
        <w:tc>
          <w:tcPr>
            <w:tcW w:w="2435" w:type="dxa"/>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0</w:t>
            </w:r>
          </w:p>
        </w:tc>
        <w:tc>
          <w:tcPr>
            <w:tcW w:w="2435" w:type="dxa"/>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0</w:t>
            </w:r>
          </w:p>
        </w:tc>
        <w:tc>
          <w:tcPr>
            <w:tcW w:w="2435" w:type="dxa"/>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BDD7EE"/>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信息内容</w:t>
            </w:r>
          </w:p>
        </w:tc>
        <w:tc>
          <w:tcPr>
            <w:tcW w:w="7305" w:type="dxa"/>
            <w:gridSpan w:val="3"/>
            <w:shd w:val="clear" w:color="auto" w:fill="DDEBF7"/>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color w:val="000000"/>
                <w:kern w:val="0"/>
                <w:sz w:val="20"/>
                <w:szCs w:val="20"/>
                <w:lang w:bidi="ar"/>
              </w:rPr>
              <w:t>行政许可</w:t>
            </w:r>
          </w:p>
        </w:tc>
        <w:tc>
          <w:tcPr>
            <w:tcW w:w="7305" w:type="dxa"/>
            <w:gridSpan w:val="3"/>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BDD7EE"/>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信息内容</w:t>
            </w:r>
          </w:p>
        </w:tc>
        <w:tc>
          <w:tcPr>
            <w:tcW w:w="7305" w:type="dxa"/>
            <w:gridSpan w:val="3"/>
            <w:shd w:val="clear" w:color="auto" w:fill="DDEBF7"/>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color w:val="000000"/>
                <w:kern w:val="0"/>
                <w:sz w:val="20"/>
                <w:szCs w:val="20"/>
                <w:lang w:bidi="ar"/>
              </w:rPr>
              <w:t>行政处罚</w:t>
            </w:r>
          </w:p>
        </w:tc>
        <w:tc>
          <w:tcPr>
            <w:tcW w:w="7305" w:type="dxa"/>
            <w:gridSpan w:val="3"/>
            <w:shd w:val="clear" w:color="auto" w:fill="auto"/>
            <w:tcMar>
              <w:left w:w="57" w:type="dxa"/>
              <w:right w:w="57" w:type="dxa"/>
            </w:tcMar>
            <w:vAlign w:val="center"/>
          </w:tcPr>
          <w:p>
            <w:pPr>
              <w:widowControl/>
              <w:jc w:val="center"/>
              <w:rPr>
                <w:rFonts w:hint="eastAsia" w:ascii="Times New Roman" w:hAnsi="Times New Roman" w:cs="Times New Roman" w:eastAsiaTheme="minorEastAsia"/>
                <w:lang w:eastAsia="zh-CN"/>
              </w:rPr>
            </w:pPr>
            <w:r>
              <w:rPr>
                <w:rFonts w:hint="eastAsia" w:ascii="Times New Roman" w:hAnsi="Times New Roman" w:eastAsia="宋体" w:cs="Times New Roman"/>
                <w:color w:val="000000"/>
                <w:kern w:val="0"/>
                <w:sz w:val="20"/>
                <w:szCs w:val="20"/>
                <w:lang w:val="en-US" w:eastAsia="zh-CN" w:bidi="ar"/>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color w:val="000000"/>
                <w:kern w:val="0"/>
                <w:sz w:val="20"/>
                <w:szCs w:val="20"/>
                <w:lang w:bidi="ar"/>
              </w:rPr>
              <w:t>行政强制</w:t>
            </w:r>
          </w:p>
        </w:tc>
        <w:tc>
          <w:tcPr>
            <w:tcW w:w="7305" w:type="dxa"/>
            <w:gridSpan w:val="3"/>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BDD7EE"/>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信息内容</w:t>
            </w:r>
          </w:p>
        </w:tc>
        <w:tc>
          <w:tcPr>
            <w:tcW w:w="7305" w:type="dxa"/>
            <w:gridSpan w:val="3"/>
            <w:shd w:val="clear" w:color="auto" w:fill="DDEBF7"/>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color w:val="000000"/>
                <w:kern w:val="0"/>
                <w:sz w:val="20"/>
                <w:szCs w:val="20"/>
                <w:lang w:bidi="ar"/>
              </w:rPr>
              <w:t>行政事业性收费</w:t>
            </w:r>
          </w:p>
        </w:tc>
        <w:tc>
          <w:tcPr>
            <w:tcW w:w="7305" w:type="dxa"/>
            <w:gridSpan w:val="3"/>
            <w:shd w:val="clear" w:color="auto" w:fill="auto"/>
            <w:tcMar>
              <w:left w:w="57" w:type="dxa"/>
              <w:right w:w="57" w:type="dxa"/>
            </w:tcMar>
            <w:vAlign w:val="center"/>
          </w:tcPr>
          <w:p>
            <w:pPr>
              <w:jc w:val="center"/>
              <w:rPr>
                <w:rFonts w:ascii="Times New Roman" w:hAnsi="Times New Roman" w:eastAsia="宋体" w:cs="Times New Roman"/>
                <w:sz w:val="24"/>
              </w:rPr>
            </w:pPr>
            <w:r>
              <w:rPr>
                <w:rFonts w:ascii="Times New Roman" w:hAnsi="Times New Roman" w:eastAsia="宋体" w:cs="Times New Roman"/>
                <w:sz w:val="24"/>
              </w:rPr>
              <w:t>0</w:t>
            </w:r>
          </w:p>
        </w:tc>
      </w:tr>
    </w:tbl>
    <w:p>
      <w:pPr>
        <w:spacing w:line="560" w:lineRule="exact"/>
        <w:rPr>
          <w:rFonts w:ascii="Times New Roman" w:hAnsi="Times New Roman" w:eastAsia="黑体" w:cs="Times New Roman"/>
          <w:sz w:val="32"/>
          <w:szCs w:val="32"/>
        </w:rPr>
      </w:pPr>
    </w:p>
    <w:p>
      <w:pPr>
        <w:numPr>
          <w:ilvl w:val="0"/>
          <w:numId w:val="2"/>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lang w:bidi="ar"/>
        </w:rPr>
        <w:t>收到和处理政府信息公开申请情况</w:t>
      </w:r>
    </w:p>
    <w:tbl>
      <w:tblPr>
        <w:tblStyle w:val="9"/>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rPr>
                <w:rFonts w:ascii="Times New Roman" w:hAnsi="Times New Roman" w:cs="Times New Roman"/>
              </w:rPr>
            </w:pPr>
            <w:r>
              <w:rPr>
                <w:rFonts w:ascii="Times New Roman" w:hAnsi="Times New Roman" w:eastAsia="楷体" w:cs="Times New Roman"/>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cs="Times New Roman"/>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cs="Times New Roman"/>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cs="Times New Roman"/>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商业</w:t>
            </w:r>
          </w:p>
          <w:p>
            <w:pPr>
              <w:widowControl/>
              <w:jc w:val="center"/>
              <w:rPr>
                <w:rFonts w:ascii="Times New Roman" w:hAnsi="Times New Roman" w:cs="Times New Roman"/>
              </w:rPr>
            </w:pPr>
            <w:r>
              <w:rPr>
                <w:rFonts w:ascii="Times New Roman" w:hAnsi="Times New Roman" w:eastAsia="宋体" w:cs="Times New Roman"/>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科研</w:t>
            </w:r>
          </w:p>
          <w:p>
            <w:pPr>
              <w:widowControl/>
              <w:jc w:val="center"/>
              <w:rPr>
                <w:rFonts w:ascii="Times New Roman" w:hAnsi="Times New Roman" w:cs="Times New Roman"/>
              </w:rPr>
            </w:pPr>
            <w:r>
              <w:rPr>
                <w:rFonts w:ascii="Times New Roman" w:hAnsi="Times New Roman" w:eastAsia="宋体" w:cs="Times New Roman"/>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eastAsia="zh-CN"/>
              </w:rPr>
            </w:pPr>
            <w:r>
              <w:rPr>
                <w:rFonts w:hint="eastAsia" w:ascii="Times New Roman" w:hAnsi="Times New Roman" w:eastAsia="宋体" w:cs="Times New Roman"/>
                <w:kern w:val="0"/>
                <w:sz w:val="20"/>
                <w:szCs w:val="20"/>
                <w:lang w:val="en-US" w:eastAsia="zh-CN" w:bidi="ar"/>
              </w:rPr>
              <w:t>5</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eastAsia="zh-CN"/>
              </w:rPr>
            </w:pPr>
            <w:r>
              <w:rPr>
                <w:rFonts w:hint="eastAsia" w:ascii="Times New Roman" w:hAnsi="Times New Roman" w:eastAsia="宋体" w:cs="Times New Roman"/>
                <w:kern w:val="0"/>
                <w:sz w:val="20"/>
                <w:szCs w:val="2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eastAsia="zh-CN"/>
              </w:rPr>
            </w:pPr>
            <w:r>
              <w:rPr>
                <w:rFonts w:hint="eastAsia"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eastAsia="zh-CN"/>
              </w:rPr>
            </w:pPr>
            <w:r>
              <w:rPr>
                <w:rFonts w:hint="eastAsia"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（二）部分公开</w:t>
            </w:r>
            <w:r>
              <w:rPr>
                <w:rFonts w:ascii="Times New Roman" w:hAnsi="Times New Roman" w:eastAsia="楷体" w:cs="Times New Roman"/>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eastAsia="zh-CN"/>
              </w:rPr>
            </w:pPr>
            <w:r>
              <w:rPr>
                <w:rFonts w:hint="eastAsia" w:ascii="Times New Roman" w:hAnsi="Times New Roman" w:eastAsia="宋体" w:cs="Times New Roman"/>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bookmarkStart w:id="0" w:name="_GoBack"/>
            <w:bookmarkEnd w:id="0"/>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eastAsia="zh-CN"/>
              </w:rPr>
            </w:pPr>
            <w:r>
              <w:rPr>
                <w:rFonts w:hint="eastAsia" w:ascii="Times New Roman" w:hAnsi="Times New Roman" w:eastAsia="宋体" w:cs="Times New Roman"/>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widowControl/>
              <w:rPr>
                <w:rFonts w:ascii="Times New Roman" w:hAnsi="Times New Roman" w:cs="Times New Roman"/>
              </w:rPr>
            </w:pPr>
            <w:r>
              <w:rPr>
                <w:rFonts w:ascii="Times New Roman" w:hAnsi="Times New Roman" w:eastAsia="宋体" w:cs="Times New Roman"/>
                <w:kern w:val="0"/>
                <w:sz w:val="20"/>
                <w:szCs w:val="20"/>
                <w:lang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in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rPr>
                <w:rFonts w:ascii="Times New Roman" w:hAnsi="Times New Roman" w:cs="Times New Roman"/>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rPr>
                <w:rFonts w:ascii="Times New Roman" w:hAnsi="Times New Roman" w:cs="Times New Roman"/>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Times New Roman" w:hAnsi="Times New Roman" w:cs="Times New Roman" w:eastAsiaTheme="minorEastAsia"/>
                <w:lang w:eastAsia="zh-CN"/>
              </w:rPr>
            </w:pPr>
            <w:r>
              <w:rPr>
                <w:rFonts w:hint="eastAsia" w:ascii="Times New Roman" w:hAnsi="Times New Roman" w:eastAsia="宋体" w:cs="Times New Roman"/>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eastAsia="宋体" w:cs="Times New Roman"/>
                <w:kern w:val="0"/>
                <w:sz w:val="20"/>
                <w:szCs w:val="20"/>
                <w:lang w:bidi="ar"/>
              </w:rPr>
              <w:t>四、结转下年度继续办理</w:t>
            </w:r>
          </w:p>
        </w:tc>
        <w:tc>
          <w:tcPr>
            <w:tcW w:w="688" w:type="dxa"/>
            <w:tcBorders>
              <w:top w:val="inset" w:color="auto" w:sz="6" w:space="0"/>
              <w:left w:val="nil"/>
              <w:bottom w:val="inset" w:color="auto" w:sz="6" w:space="0"/>
              <w:right w:val="inset" w:color="auto" w:sz="6" w:space="0"/>
            </w:tcBorders>
            <w:shd w:val="clear" w:color="auto" w:fill="auto"/>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p>
        </w:tc>
        <w:tc>
          <w:tcPr>
            <w:tcW w:w="688" w:type="dxa"/>
            <w:tcBorders>
              <w:top w:val="inset" w:color="auto" w:sz="6" w:space="0"/>
              <w:left w:val="nil"/>
              <w:bottom w:val="inset" w:color="auto" w:sz="6" w:space="0"/>
              <w:right w:val="inset" w:color="auto" w:sz="6" w:space="0"/>
            </w:tcBorders>
            <w:shd w:val="clear" w:color="auto" w:fill="auto"/>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0</w:t>
            </w:r>
          </w:p>
        </w:tc>
        <w:tc>
          <w:tcPr>
            <w:tcW w:w="689" w:type="dxa"/>
            <w:tcBorders>
              <w:top w:val="inset" w:color="auto" w:sz="6" w:space="0"/>
              <w:left w:val="nil"/>
              <w:bottom w:val="inset" w:color="auto" w:sz="6" w:space="0"/>
              <w:right w:val="inset" w:color="auto" w:sz="6" w:space="0"/>
            </w:tcBorders>
            <w:shd w:val="clear" w:color="auto" w:fill="auto"/>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1</w:t>
            </w:r>
          </w:p>
        </w:tc>
      </w:tr>
    </w:tbl>
    <w:p>
      <w:pPr>
        <w:spacing w:line="560" w:lineRule="exact"/>
        <w:rPr>
          <w:rFonts w:ascii="Times New Roman" w:hAnsi="Times New Roman" w:eastAsia="黑体" w:cs="Times New Roman"/>
          <w:sz w:val="32"/>
          <w:szCs w:val="32"/>
          <w:lang w:bidi="ar"/>
        </w:rPr>
      </w:pPr>
    </w:p>
    <w:p>
      <w:pPr>
        <w:spacing w:line="560" w:lineRule="exact"/>
        <w:ind w:firstLine="640" w:firstLineChars="200"/>
        <w:rPr>
          <w:rFonts w:ascii="Times New Roman" w:hAnsi="Times New Roman" w:cs="Times New Roman"/>
        </w:rPr>
      </w:pPr>
      <w:r>
        <w:rPr>
          <w:rFonts w:ascii="Times New Roman" w:hAnsi="Times New Roman" w:eastAsia="黑体" w:cs="Times New Roman"/>
          <w:sz w:val="32"/>
          <w:szCs w:val="32"/>
          <w:lang w:bidi="ar"/>
        </w:rPr>
        <w:t>四、政府信息公开行政复议、行政诉讼情况</w:t>
      </w:r>
    </w:p>
    <w:tbl>
      <w:tblPr>
        <w:tblStyle w:val="9"/>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结果</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其他</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尚未</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结果</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结果</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其他</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尚未</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结果</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结果</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其他</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kern w:val="0"/>
                <w:sz w:val="20"/>
                <w:szCs w:val="20"/>
                <w:lang w:bidi="ar"/>
              </w:rPr>
              <w:t>尚未</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sz w:val="24"/>
              </w:rPr>
            </w:pPr>
            <w:r>
              <w:rPr>
                <w:rFonts w:ascii="Times New Roman" w:hAnsi="Times New Roman" w:eastAsia="宋体" w:cs="Times New Roman"/>
                <w:sz w:val="24"/>
              </w:rPr>
              <w:t>0</w:t>
            </w:r>
          </w:p>
        </w:tc>
      </w:tr>
    </w:tbl>
    <w:p>
      <w:pPr>
        <w:widowControl/>
        <w:spacing w:line="560" w:lineRule="exact"/>
        <w:jc w:val="left"/>
        <w:rPr>
          <w:rFonts w:ascii="Times New Roman" w:hAnsi="Times New Roman" w:eastAsia="黑体" w:cs="Times New Roman"/>
          <w:spacing w:val="8"/>
          <w:kern w:val="0"/>
          <w:sz w:val="32"/>
          <w:szCs w:val="32"/>
          <w:lang w:bidi="ar"/>
        </w:rPr>
      </w:pPr>
    </w:p>
    <w:p>
      <w:pPr>
        <w:widowControl/>
        <w:spacing w:line="560" w:lineRule="exact"/>
        <w:ind w:firstLine="672" w:firstLineChars="200"/>
        <w:jc w:val="left"/>
        <w:rPr>
          <w:rFonts w:ascii="Times New Roman" w:hAnsi="Times New Roman" w:eastAsia="宋体" w:cs="Times New Roman"/>
          <w:spacing w:val="8"/>
          <w:kern w:val="0"/>
          <w:sz w:val="24"/>
        </w:rPr>
      </w:pPr>
      <w:r>
        <w:rPr>
          <w:rFonts w:ascii="Times New Roman" w:hAnsi="Times New Roman" w:eastAsia="黑体" w:cs="Times New Roman"/>
          <w:spacing w:val="8"/>
          <w:kern w:val="0"/>
          <w:sz w:val="32"/>
          <w:szCs w:val="32"/>
          <w:lang w:bidi="ar"/>
        </w:rPr>
        <w:t>五、存在的主要问题及改进情况</w:t>
      </w:r>
    </w:p>
    <w:p>
      <w:pPr>
        <w:keepNext w:val="0"/>
        <w:keepLines w:val="0"/>
        <w:widowControl/>
        <w:suppressLineNumbers w:val="0"/>
        <w:ind w:firstLine="640" w:firstLineChars="200"/>
        <w:jc w:val="left"/>
        <w:rPr>
          <w:rFonts w:hint="eastAsia" w:ascii="Times New Roman" w:hAnsi="Times New Roman" w:eastAsia="仿宋_GB2312"/>
          <w:color w:val="000000"/>
          <w:sz w:val="32"/>
          <w:szCs w:val="32"/>
          <w:lang w:eastAsia="zh-CN" w:bidi="ar"/>
        </w:rPr>
      </w:pPr>
      <w:r>
        <w:rPr>
          <w:rFonts w:hint="eastAsia" w:ascii="Times New Roman" w:hAnsi="Times New Roman" w:eastAsia="仿宋_GB2312"/>
          <w:color w:val="000000"/>
          <w:sz w:val="32"/>
          <w:szCs w:val="32"/>
          <w:lang w:eastAsia="zh-CN" w:bidi="ar"/>
        </w:rPr>
        <w:t>202</w:t>
      </w:r>
      <w:r>
        <w:rPr>
          <w:rFonts w:hint="eastAsia" w:ascii="Times New Roman" w:hAnsi="Times New Roman" w:eastAsia="仿宋_GB2312"/>
          <w:color w:val="000000"/>
          <w:sz w:val="32"/>
          <w:szCs w:val="32"/>
          <w:lang w:val="en-US" w:eastAsia="zh-CN" w:bidi="ar"/>
        </w:rPr>
        <w:t>3</w:t>
      </w:r>
      <w:r>
        <w:rPr>
          <w:rFonts w:ascii="Times New Roman" w:hAnsi="Times New Roman" w:eastAsia="仿宋_GB2312"/>
          <w:color w:val="000000"/>
          <w:sz w:val="32"/>
          <w:szCs w:val="32"/>
          <w:lang w:bidi="ar"/>
        </w:rPr>
        <w:t>年左家庄街道</w:t>
      </w:r>
      <w:r>
        <w:rPr>
          <w:rFonts w:hint="eastAsia" w:ascii="Times New Roman" w:hAnsi="Times New Roman" w:eastAsia="仿宋_GB2312"/>
          <w:color w:val="000000"/>
          <w:sz w:val="32"/>
          <w:szCs w:val="32"/>
          <w:lang w:bidi="ar"/>
        </w:rPr>
        <w:t>政府信息公开工作开展以来，能够严格对照各项工作要求，及时有效开展好相关工作，</w:t>
      </w:r>
      <w:r>
        <w:rPr>
          <w:rFonts w:ascii="仿宋" w:hAnsi="仿宋" w:eastAsia="仿宋" w:cs="仿宋"/>
          <w:color w:val="000000"/>
          <w:kern w:val="0"/>
          <w:sz w:val="31"/>
          <w:szCs w:val="31"/>
          <w:lang w:val="en-US" w:eastAsia="zh-CN" w:bidi="ar"/>
        </w:rPr>
        <w:t>但主动公开信息内容与相关要</w:t>
      </w:r>
      <w:r>
        <w:rPr>
          <w:rFonts w:hint="eastAsia" w:ascii="仿宋" w:hAnsi="仿宋" w:eastAsia="仿宋" w:cs="仿宋"/>
          <w:color w:val="000000"/>
          <w:kern w:val="0"/>
          <w:sz w:val="31"/>
          <w:szCs w:val="31"/>
          <w:lang w:val="en-US" w:eastAsia="zh-CN" w:bidi="ar"/>
        </w:rPr>
        <w:t>求还存在一定差距：</w:t>
      </w:r>
      <w:r>
        <w:rPr>
          <w:rFonts w:hint="eastAsia" w:ascii="Times New Roman" w:hAnsi="Times New Roman" w:eastAsia="仿宋_GB2312"/>
          <w:b/>
          <w:bCs/>
          <w:color w:val="000000"/>
          <w:sz w:val="32"/>
          <w:szCs w:val="32"/>
          <w:lang w:eastAsia="zh-CN" w:bidi="ar"/>
        </w:rPr>
        <w:t>一是</w:t>
      </w:r>
      <w:r>
        <w:rPr>
          <w:rFonts w:hint="eastAsia" w:ascii="Times New Roman" w:hAnsi="Times New Roman" w:eastAsia="仿宋_GB2312"/>
          <w:color w:val="000000"/>
          <w:sz w:val="32"/>
          <w:szCs w:val="32"/>
          <w:lang w:eastAsia="zh-CN" w:bidi="ar"/>
        </w:rPr>
        <w:t>政府</w:t>
      </w:r>
      <w:r>
        <w:rPr>
          <w:rFonts w:hint="eastAsia" w:ascii="Times New Roman" w:hAnsi="Times New Roman" w:eastAsia="仿宋_GB2312"/>
          <w:color w:val="000000"/>
          <w:sz w:val="32"/>
          <w:szCs w:val="32"/>
          <w:lang w:bidi="ar"/>
        </w:rPr>
        <w:t>信息公开的制度、机制不够完善</w:t>
      </w:r>
      <w:r>
        <w:rPr>
          <w:rFonts w:hint="eastAsia" w:ascii="Times New Roman" w:hAnsi="Times New Roman" w:eastAsia="仿宋_GB2312"/>
          <w:color w:val="000000"/>
          <w:sz w:val="32"/>
          <w:szCs w:val="32"/>
          <w:lang w:eastAsia="zh-CN" w:bidi="ar"/>
        </w:rPr>
        <w:t>。</w:t>
      </w:r>
      <w:r>
        <w:rPr>
          <w:rFonts w:hint="eastAsia" w:ascii="Times New Roman" w:hAnsi="Times New Roman" w:eastAsia="仿宋_GB2312"/>
          <w:b/>
          <w:bCs/>
          <w:color w:val="000000"/>
          <w:sz w:val="32"/>
          <w:szCs w:val="32"/>
          <w:lang w:eastAsia="zh-CN" w:bidi="ar"/>
        </w:rPr>
        <w:t>二是</w:t>
      </w:r>
      <w:r>
        <w:rPr>
          <w:rFonts w:hint="eastAsia" w:ascii="Times New Roman" w:hAnsi="Times New Roman" w:eastAsia="仿宋_GB2312"/>
          <w:color w:val="000000"/>
          <w:sz w:val="32"/>
          <w:szCs w:val="32"/>
          <w:lang w:bidi="ar"/>
        </w:rPr>
        <w:t>信息公开的全面性仍需</w:t>
      </w:r>
      <w:r>
        <w:rPr>
          <w:rFonts w:hint="eastAsia" w:ascii="Times New Roman" w:hAnsi="Times New Roman" w:eastAsia="仿宋_GB2312"/>
          <w:color w:val="000000"/>
          <w:sz w:val="32"/>
          <w:szCs w:val="32"/>
          <w:lang w:eastAsia="zh-CN" w:bidi="ar"/>
        </w:rPr>
        <w:t>提升。</w:t>
      </w:r>
      <w:r>
        <w:rPr>
          <w:rFonts w:hint="eastAsia" w:ascii="Times New Roman" w:hAnsi="Times New Roman" w:eastAsia="仿宋_GB2312"/>
          <w:b/>
          <w:bCs/>
          <w:color w:val="000000"/>
          <w:sz w:val="32"/>
          <w:szCs w:val="32"/>
          <w:lang w:eastAsia="zh-CN" w:bidi="ar"/>
        </w:rPr>
        <w:t>三是</w:t>
      </w:r>
      <w:r>
        <w:rPr>
          <w:rFonts w:hint="eastAsia" w:ascii="Times New Roman" w:hAnsi="Times New Roman" w:eastAsia="仿宋_GB2312"/>
          <w:color w:val="000000"/>
          <w:sz w:val="32"/>
          <w:szCs w:val="32"/>
          <w:lang w:bidi="ar"/>
        </w:rPr>
        <w:t>对政府信息公开工作的认识还需提高</w:t>
      </w:r>
      <w:r>
        <w:rPr>
          <w:rFonts w:hint="eastAsia" w:ascii="Times New Roman" w:hAnsi="Times New Roman" w:eastAsia="仿宋_GB2312"/>
          <w:color w:val="000000"/>
          <w:sz w:val="32"/>
          <w:szCs w:val="32"/>
          <w:lang w:eastAsia="zh-CN" w:bidi="ar"/>
        </w:rPr>
        <w:t>。</w:t>
      </w:r>
      <w:r>
        <w:rPr>
          <w:rFonts w:hint="eastAsia" w:ascii="Times New Roman" w:hAnsi="Times New Roman" w:eastAsia="仿宋_GB2312"/>
          <w:b/>
          <w:bCs/>
          <w:color w:val="000000"/>
          <w:sz w:val="32"/>
          <w:szCs w:val="32"/>
          <w:lang w:eastAsia="zh-CN" w:bidi="ar"/>
        </w:rPr>
        <w:t>下一步</w:t>
      </w:r>
      <w:r>
        <w:rPr>
          <w:rFonts w:hint="eastAsia" w:ascii="Times New Roman" w:hAnsi="Times New Roman" w:eastAsia="仿宋_GB2312"/>
          <w:color w:val="000000"/>
          <w:sz w:val="32"/>
          <w:szCs w:val="32"/>
          <w:lang w:eastAsia="zh-CN" w:bidi="ar"/>
        </w:rPr>
        <w:t>我们将根据梳理的上述问题，持续抓好政府信息公开工作，进一步增强政府信息公开工作的积极性、主动性，丰富信息公开内容：</w:t>
      </w:r>
      <w:r>
        <w:rPr>
          <w:rFonts w:hint="eastAsia" w:ascii="Times New Roman" w:hAnsi="Times New Roman" w:eastAsia="仿宋_GB2312"/>
          <w:b/>
          <w:bCs/>
          <w:color w:val="000000"/>
          <w:sz w:val="32"/>
          <w:szCs w:val="32"/>
          <w:lang w:val="en-US" w:eastAsia="zh-CN" w:bidi="ar"/>
        </w:rPr>
        <w:t>一是</w:t>
      </w:r>
      <w:r>
        <w:rPr>
          <w:rFonts w:hint="eastAsia" w:ascii="Times New Roman" w:hAnsi="Times New Roman" w:eastAsia="仿宋_GB2312"/>
          <w:color w:val="000000"/>
          <w:sz w:val="32"/>
          <w:szCs w:val="32"/>
          <w:lang w:val="en-US" w:eastAsia="zh-CN" w:bidi="ar"/>
        </w:rPr>
        <w:t>建设长效工作机制。建立政府信息公开内容审查、更新维护、培训宣传和工作年报等工作制度，建立和完善信息公开审查制度，确保政府信息公开工作更深入、更持续、更高效。</w:t>
      </w:r>
      <w:r>
        <w:rPr>
          <w:rFonts w:hint="eastAsia" w:ascii="Times New Roman" w:hAnsi="Times New Roman" w:eastAsia="仿宋_GB2312"/>
          <w:b/>
          <w:bCs/>
          <w:color w:val="000000"/>
          <w:sz w:val="32"/>
          <w:szCs w:val="32"/>
          <w:lang w:eastAsia="zh-CN" w:bidi="ar"/>
        </w:rPr>
        <w:t>二是</w:t>
      </w:r>
      <w:r>
        <w:rPr>
          <w:rFonts w:hint="eastAsia" w:ascii="Times New Roman" w:hAnsi="Times New Roman" w:eastAsia="仿宋_GB2312"/>
          <w:b w:val="0"/>
          <w:bCs w:val="0"/>
          <w:color w:val="000000"/>
          <w:sz w:val="32"/>
          <w:szCs w:val="32"/>
          <w:lang w:eastAsia="zh-CN" w:bidi="ar"/>
        </w:rPr>
        <w:t>提升</w:t>
      </w:r>
      <w:r>
        <w:rPr>
          <w:rFonts w:hint="eastAsia" w:ascii="Times New Roman" w:hAnsi="Times New Roman" w:eastAsia="仿宋_GB2312"/>
          <w:b w:val="0"/>
          <w:bCs w:val="0"/>
          <w:color w:val="000000"/>
          <w:sz w:val="32"/>
          <w:szCs w:val="32"/>
          <w:lang w:val="en-US" w:eastAsia="zh-CN" w:bidi="ar"/>
        </w:rPr>
        <w:t>公开内容的全面</w:t>
      </w:r>
      <w:r>
        <w:rPr>
          <w:rFonts w:hint="eastAsia" w:ascii="Times New Roman" w:hAnsi="Times New Roman" w:eastAsia="仿宋_GB2312"/>
          <w:color w:val="000000"/>
          <w:sz w:val="32"/>
          <w:szCs w:val="32"/>
          <w:lang w:val="en-US" w:eastAsia="zh-CN" w:bidi="ar"/>
        </w:rPr>
        <w:t>性。按照“以公开为原则，不公开为例外”的总体要求，完善主动公开的政府信息目录，逐步编制依申请公开的政府信息目录。加强对公众关注度高的政府信息的梳理。</w:t>
      </w:r>
      <w:r>
        <w:rPr>
          <w:rFonts w:hint="eastAsia" w:ascii="Times New Roman" w:hAnsi="Times New Roman" w:eastAsia="仿宋_GB2312"/>
          <w:b/>
          <w:bCs/>
          <w:color w:val="000000"/>
          <w:sz w:val="32"/>
          <w:szCs w:val="32"/>
          <w:lang w:val="en-US" w:eastAsia="zh-CN" w:bidi="ar"/>
        </w:rPr>
        <w:t>三是</w:t>
      </w:r>
      <w:r>
        <w:rPr>
          <w:rFonts w:hint="eastAsia" w:ascii="Times New Roman" w:hAnsi="Times New Roman" w:eastAsia="仿宋_GB2312"/>
          <w:color w:val="000000"/>
          <w:sz w:val="32"/>
          <w:szCs w:val="32"/>
          <w:lang w:val="en-US" w:eastAsia="zh-CN" w:bidi="ar"/>
        </w:rPr>
        <w:t>加强政府信息公开工作的认识。科学合理设置公开事项，及时做好信息发布、政策解读和办事服务工作。工作人员加强与相关部门沟通，经审核后及时上传更新公示。</w:t>
      </w:r>
    </w:p>
    <w:p>
      <w:pPr>
        <w:widowControl/>
        <w:spacing w:line="560" w:lineRule="exact"/>
        <w:ind w:firstLine="675"/>
        <w:jc w:val="left"/>
        <w:rPr>
          <w:rFonts w:ascii="Times New Roman" w:hAnsi="Times New Roman" w:eastAsia="宋体" w:cs="Times New Roman"/>
          <w:spacing w:val="8"/>
          <w:kern w:val="0"/>
          <w:sz w:val="32"/>
          <w:szCs w:val="32"/>
        </w:rPr>
      </w:pPr>
      <w:r>
        <w:rPr>
          <w:rFonts w:ascii="Times New Roman" w:hAnsi="Times New Roman" w:eastAsia="黑体" w:cs="Times New Roman"/>
          <w:spacing w:val="8"/>
          <w:kern w:val="0"/>
          <w:sz w:val="32"/>
          <w:szCs w:val="32"/>
          <w:lang w:bidi="ar"/>
        </w:rPr>
        <w:t>六、其他需要报告的事项</w:t>
      </w:r>
    </w:p>
    <w:p>
      <w:pPr>
        <w:pStyle w:val="6"/>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eastAsia="zh-CN" w:bidi="ar"/>
        </w:rPr>
        <w:t>发出收费通知的件数和总金额以及实际收取的总金额均为</w:t>
      </w:r>
      <w:r>
        <w:rPr>
          <w:rFonts w:hint="eastAsia" w:ascii="Times New Roman" w:hAnsi="Times New Roman" w:eastAsia="仿宋_GB2312"/>
          <w:color w:val="000000"/>
          <w:sz w:val="32"/>
          <w:szCs w:val="32"/>
          <w:lang w:val="en-US" w:eastAsia="zh-CN" w:bidi="ar"/>
        </w:rPr>
        <w:t>0</w:t>
      </w:r>
      <w:r>
        <w:rPr>
          <w:rFonts w:hint="eastAsia" w:ascii="Times New Roman" w:hAnsi="Times New Roman" w:eastAsia="仿宋_GB2312"/>
          <w:color w:val="000000"/>
          <w:sz w:val="32"/>
          <w:szCs w:val="32"/>
          <w:lang w:eastAsia="zh-CN" w:bidi="ar"/>
        </w:rPr>
        <w:t>。</w:t>
      </w:r>
      <w:r>
        <w:rPr>
          <w:rFonts w:ascii="Times New Roman" w:hAnsi="Times New Roman" w:eastAsia="仿宋_GB2312" w:cs="Times New Roman"/>
          <w:sz w:val="32"/>
          <w:szCs w:val="32"/>
        </w:rPr>
        <w:t>本报告中所列数据的统计期限自202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年1月1日起，至202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年12月31日止。本报告的电子版可在朝阳区政府信息公开专</w:t>
      </w:r>
      <w:r>
        <w:rPr>
          <w:rFonts w:hint="eastAsia" w:ascii="Times New Roman" w:hAnsi="Times New Roman" w:eastAsia="仿宋_GB2312" w:cs="Times New Roman"/>
          <w:sz w:val="32"/>
          <w:szCs w:val="32"/>
          <w:lang w:eastAsia="zh-CN"/>
        </w:rPr>
        <w:t>栏</w:t>
      </w:r>
      <w:r>
        <w:rPr>
          <w:rFonts w:ascii="Times New Roman" w:hAnsi="Times New Roman" w:eastAsia="仿宋_GB2312" w:cs="Times New Roman"/>
          <w:color w:val="000000"/>
          <w:kern w:val="0"/>
          <w:sz w:val="32"/>
          <w:szCs w:val="32"/>
        </w:rPr>
        <w:t>（</w:t>
      </w:r>
      <w:r>
        <w:fldChar w:fldCharType="begin"/>
      </w:r>
      <w:r>
        <w:instrText xml:space="preserve"> HYPERLINK "http://xxgk.bjchy.gov.cn/" </w:instrText>
      </w:r>
      <w:r>
        <w:fldChar w:fldCharType="separate"/>
      </w:r>
      <w:r>
        <w:rPr>
          <w:rStyle w:val="8"/>
          <w:rFonts w:ascii="Times New Roman" w:hAnsi="Times New Roman" w:eastAsia="仿宋_GB2312" w:cs="Times New Roman"/>
          <w:kern w:val="0"/>
          <w:sz w:val="32"/>
          <w:szCs w:val="32"/>
        </w:rPr>
        <w:t>http://xxgk.bjchy.gov.cn/</w:t>
      </w:r>
      <w:r>
        <w:rPr>
          <w:rStyle w:val="8"/>
          <w:rFonts w:ascii="Times New Roman" w:hAnsi="Times New Roman" w:eastAsia="仿宋_GB2312" w:cs="Times New Roman"/>
          <w:kern w:val="0"/>
          <w:sz w:val="32"/>
          <w:szCs w:val="32"/>
        </w:rPr>
        <w:fldChar w:fldCharType="end"/>
      </w:r>
      <w:r>
        <w:rPr>
          <w:rFonts w:ascii="Times New Roman" w:hAnsi="Times New Roman" w:eastAsia="仿宋_GB2312" w:cs="Times New Roman"/>
          <w:color w:val="000000"/>
          <w:kern w:val="0"/>
          <w:sz w:val="32"/>
          <w:szCs w:val="32"/>
        </w:rPr>
        <w:t>）</w:t>
      </w:r>
      <w:r>
        <w:rPr>
          <w:rFonts w:ascii="Times New Roman" w:hAnsi="Times New Roman" w:eastAsia="仿宋_GB2312" w:cs="Times New Roman"/>
          <w:sz w:val="32"/>
          <w:szCs w:val="32"/>
        </w:rPr>
        <w:t>下载。如对报告有任何疑问，请联系左家庄街道办事处综合办公室，联系电话：64643210</w:t>
      </w:r>
      <w:r>
        <w:rPr>
          <w:rFonts w:hint="eastAsia" w:ascii="Times New Roman" w:hAnsi="Times New Roman" w:eastAsia="仿宋_GB2312" w:cs="Times New Roman"/>
          <w:sz w:val="32"/>
          <w:szCs w:val="32"/>
          <w:lang w:eastAsia="zh-CN"/>
        </w:rPr>
        <w:t>。</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北京市朝阳区人民政府</w:t>
      </w:r>
    </w:p>
    <w:p>
      <w:pPr>
        <w:jc w:val="center"/>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左家庄街道办事处</w:t>
      </w:r>
    </w:p>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汉仪大宋简">
    <w:altName w:val="Arial"/>
    <w:panose1 w:val="00000000000000000000"/>
    <w:charset w:val="00"/>
    <w:family w:val="swiss"/>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Traditional Arabic">
    <w:panose1 w:val="02020603050405020304"/>
    <w:charset w:val="00"/>
    <w:family w:val="auto"/>
    <w:pitch w:val="default"/>
    <w:sig w:usb0="00006003" w:usb1="80000000" w:usb2="00000008" w:usb3="00000000" w:csb0="00000041" w:csb1="20080000"/>
  </w:font>
  <w:font w:name="等线">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5A163"/>
    <w:multiLevelType w:val="multilevel"/>
    <w:tmpl w:val="9BD5A16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BBD2DAB"/>
    <w:multiLevelType w:val="multilevel"/>
    <w:tmpl w:val="2BBD2DAB"/>
    <w:lvl w:ilvl="0" w:tentative="0">
      <w:start w:val="1"/>
      <w:numFmt w:val="decimal"/>
      <w:pStyle w:val="2"/>
      <w:lvlText w:val="%1."/>
      <w:lvlJc w:val="left"/>
      <w:pPr>
        <w:ind w:left="2100" w:hanging="360"/>
      </w:pPr>
      <w:rPr>
        <w:rFonts w:hint="default"/>
      </w:r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54B52"/>
    <w:rsid w:val="0036543E"/>
    <w:rsid w:val="008C5626"/>
    <w:rsid w:val="00A126A0"/>
    <w:rsid w:val="00CA308D"/>
    <w:rsid w:val="02C753DD"/>
    <w:rsid w:val="04CD2CE9"/>
    <w:rsid w:val="053F0E11"/>
    <w:rsid w:val="08112B3A"/>
    <w:rsid w:val="085722F6"/>
    <w:rsid w:val="0EE37C54"/>
    <w:rsid w:val="0F012518"/>
    <w:rsid w:val="156B70A4"/>
    <w:rsid w:val="157E1BB0"/>
    <w:rsid w:val="181D355C"/>
    <w:rsid w:val="18644D99"/>
    <w:rsid w:val="195F6662"/>
    <w:rsid w:val="1F3A515C"/>
    <w:rsid w:val="1FB6242D"/>
    <w:rsid w:val="232114FE"/>
    <w:rsid w:val="23325D27"/>
    <w:rsid w:val="237B44B0"/>
    <w:rsid w:val="24BB6CEB"/>
    <w:rsid w:val="25BB2F2E"/>
    <w:rsid w:val="2A022ADD"/>
    <w:rsid w:val="2A355ECA"/>
    <w:rsid w:val="2A380363"/>
    <w:rsid w:val="2C676B54"/>
    <w:rsid w:val="2C776DD7"/>
    <w:rsid w:val="2E3A5A3A"/>
    <w:rsid w:val="2EE2240E"/>
    <w:rsid w:val="2FAB1FFF"/>
    <w:rsid w:val="30486438"/>
    <w:rsid w:val="30D97B47"/>
    <w:rsid w:val="35B41E89"/>
    <w:rsid w:val="35FD5DD7"/>
    <w:rsid w:val="362A7627"/>
    <w:rsid w:val="36602B51"/>
    <w:rsid w:val="37D66EDB"/>
    <w:rsid w:val="38593FED"/>
    <w:rsid w:val="3BF635E0"/>
    <w:rsid w:val="3C056FD6"/>
    <w:rsid w:val="3C8E7B11"/>
    <w:rsid w:val="3C956A64"/>
    <w:rsid w:val="3E275D54"/>
    <w:rsid w:val="410A133F"/>
    <w:rsid w:val="428554D7"/>
    <w:rsid w:val="42A51310"/>
    <w:rsid w:val="43F46C62"/>
    <w:rsid w:val="45ED0C64"/>
    <w:rsid w:val="46122C2A"/>
    <w:rsid w:val="466F2A41"/>
    <w:rsid w:val="482509F0"/>
    <w:rsid w:val="48D81E28"/>
    <w:rsid w:val="49544C2E"/>
    <w:rsid w:val="49AC7C29"/>
    <w:rsid w:val="4C6A50E0"/>
    <w:rsid w:val="4CFF4A5A"/>
    <w:rsid w:val="4D7F082B"/>
    <w:rsid w:val="4F5962A2"/>
    <w:rsid w:val="52C2192F"/>
    <w:rsid w:val="57B77605"/>
    <w:rsid w:val="594F0DC7"/>
    <w:rsid w:val="597E6186"/>
    <w:rsid w:val="59AE552A"/>
    <w:rsid w:val="5AA24D0E"/>
    <w:rsid w:val="5BB13DBA"/>
    <w:rsid w:val="5E203CC1"/>
    <w:rsid w:val="60864FE9"/>
    <w:rsid w:val="60C552F8"/>
    <w:rsid w:val="622542C4"/>
    <w:rsid w:val="63C3584B"/>
    <w:rsid w:val="64397549"/>
    <w:rsid w:val="66467586"/>
    <w:rsid w:val="6802092F"/>
    <w:rsid w:val="68C7271F"/>
    <w:rsid w:val="6A582B83"/>
    <w:rsid w:val="6D057F67"/>
    <w:rsid w:val="6EE54B52"/>
    <w:rsid w:val="6F4E33D2"/>
    <w:rsid w:val="713C2FD5"/>
    <w:rsid w:val="720D605A"/>
    <w:rsid w:val="725C7B21"/>
    <w:rsid w:val="74FB3A41"/>
    <w:rsid w:val="75287514"/>
    <w:rsid w:val="7826677D"/>
    <w:rsid w:val="78DA0385"/>
    <w:rsid w:val="79427298"/>
    <w:rsid w:val="7A077DA1"/>
    <w:rsid w:val="7E67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numPr>
        <w:ilvl w:val="0"/>
        <w:numId w:val="1"/>
      </w:numPr>
      <w:spacing w:line="600" w:lineRule="exact"/>
      <w:ind w:left="567" w:firstLine="1173"/>
    </w:pPr>
    <w:rPr>
      <w:rFonts w:ascii="Times New Roman" w:hAnsi="Times New Roman"/>
      <w:szCs w:val="24"/>
    </w:rPr>
  </w:style>
  <w:style w:type="paragraph" w:styleId="3">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8">
    <w:name w:val="Hyperlink"/>
    <w:qFormat/>
    <w:uiPriority w:val="0"/>
    <w:rPr>
      <w:color w:val="0000FF"/>
      <w:u w:val="single"/>
    </w:rPr>
  </w:style>
  <w:style w:type="paragraph" w:customStyle="1" w:styleId="10">
    <w:name w:val="列出段落1"/>
    <w:basedOn w:val="1"/>
    <w:qFormat/>
    <w:uiPriority w:val="0"/>
    <w:pPr>
      <w:ind w:firstLine="420" w:firstLineChars="200"/>
    </w:pPr>
    <w:rPr>
      <w:rFonts w:ascii="Calibri" w:hAnsi="Calibri"/>
      <w:szCs w:val="22"/>
    </w:r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420</Words>
  <Characters>2396</Characters>
  <Lines>19</Lines>
  <Paragraphs>5</Paragraphs>
  <ScaleCrop>false</ScaleCrop>
  <LinksUpToDate>false</LinksUpToDate>
  <CharactersWithSpaces>2811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2021-12-23T01:27:00Z</dcterms:created>
  <dc:creator>Lenovo</dc:creator>
  <cp:lastModifiedBy>Lenovo</cp:lastModifiedBy>
  <cp:lastPrinted>2023-01-05T02:36:00Z</cp:lastPrinted>
  <dcterms:modified xsi:type="dcterms:W3CDTF">2024-01-09T07:36:44Z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