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北京市朝阳区奥运村街道办事处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2022年政府信息公开工作年度报告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5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1.锻造有力组织体系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5"/>
        <w:jc w:val="left"/>
        <w:textAlignment w:val="auto"/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hAnsi="仿宋_GB2312" w:eastAsia="仿宋_GB2312" w:cs="仿宋_GB2312"/>
          <w:color w:val="000000"/>
          <w:sz w:val="32"/>
          <w:szCs w:val="32"/>
          <w:lang w:eastAsia="zh-CN"/>
        </w:rPr>
        <w:t>奥运村街道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认真贯彻落实</w:t>
      </w:r>
      <w:r>
        <w:rPr>
          <w:rFonts w:hint="eastAsia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"/>
        </w:rPr>
        <w:t>政府信息公开条例</w:t>
      </w:r>
      <w:r>
        <w:rPr>
          <w:rFonts w:hint="eastAsia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和《北京市朝阳区政务公开领导小组办公室关于印发&lt;朝阳区2022年政务公开工作要点&gt;的通知》要求，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 w:bidi="ar"/>
        </w:rPr>
        <w:t>将政务公开工作列入街道重要议事日程。坚持主要领导总负责、分管领导直接抓、综合办公室前头抓、业务部门具体抓的工作机制，压紧压实工作责任。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班子领导以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工委（扩大）会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形式听取研究</w:t>
      </w:r>
      <w:r>
        <w:rPr>
          <w:rFonts w:hint="eastAsia" w:eastAsia="仿宋_GB2312" w:cs="Times New Roman"/>
          <w:sz w:val="32"/>
          <w:szCs w:val="32"/>
          <w:lang w:eastAsia="zh-CN"/>
        </w:rPr>
        <w:t>街道政务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和信息报送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工作情况汇报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，分管领导多次专题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调度，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eastAsia" w:eastAsia="仿宋_GB2312" w:cs="Times New Roman"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公开工作进行研判分析，总结工作经验。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 w:bidi="ar"/>
        </w:rPr>
        <w:t>同时，对照法律法规和规章制度，牵头部门综合办公室指导业务部门常态化更新完善权责清单，并在网站公开，主动接受监督。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切实加大公开力度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主动公开情况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我街道20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年主动公开政府信息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，重点领域方面主要公开：街道机构职能、机构设置、领导介绍、行政处罚、财政预决算、基层工作动态等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内容，并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8"/>
          <w:sz w:val="32"/>
          <w:szCs w:val="32"/>
          <w:shd w:val="clear" w:fill="FFFFFF"/>
        </w:rPr>
        <w:t>更新电子刊物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8"/>
          <w:sz w:val="32"/>
          <w:szCs w:val="32"/>
          <w:shd w:val="clear" w:fill="FFFFFF"/>
          <w:lang w:eastAsia="zh-CN"/>
        </w:rPr>
        <w:t>《奥韵时讯》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8"/>
          <w:sz w:val="32"/>
          <w:szCs w:val="32"/>
          <w:shd w:val="clear" w:fill="FFFFFF"/>
          <w:lang w:val="en-US" w:eastAsia="zh-CN"/>
        </w:rPr>
        <w:t>13期，其中冬奥会特刊1期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8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执法公示34条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依申请公开办理情况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我街道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年共收到政府信息公开申请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件，其中，当面申请方式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，电子邮件申请方式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件。按照《条例》要求，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已按时办结。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坚持完善制度建设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积极贯彻《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"/>
        </w:rPr>
        <w:t>政府信息公开条例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》精神，严格落实“先审后发”制度，凡未经过分管领导审核批准的信息不得向外发布。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《北京市朝阳区人民政府奥运村街道办事处政府信息主动公开全清单（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年）》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和《朝阳区奥运村街道办事处政府信息公开指南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》。全面、准确、及时做好公开工作。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研究制定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《奥运村街道关于进一步加强政务信息报送工作的方案》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通过量化信息报送任务、通报信息发布情况、压实考核责任等措施，进一步推动信息公开工作各项要求落实到位。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规范公开</w:t>
      </w:r>
      <w:r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平台</w:t>
      </w: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加强网站栏目维护，坚持专人负责、全程审核，有力保障网站链接规范。深化网站内容建设，聚焦民生关注，主动发布热点信息，实时更新街道咨询应答渠道，完善办公电话、微信公众号等信息，不断拓展政务公开工作的广度和深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强化</w:t>
      </w:r>
      <w:r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培训</w:t>
      </w: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立信息员制度，每个部门设立一名信息员。积极参与区级培训，主动组织街道培训，选取典型案例做示范学习，逐步提高人员素养，增强工作力量。建立监督机制，规范公开流程，坚持分级审核，运用部门监督、会议监督等多种渠道，强化自查力度，确保全年未出现一起政府信息公开投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市和区人民政府工作考核、社会评议和责任追究结果情况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我街道未在市、区第三方组织的工作考核中暴露问题，无责任追究情况。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7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thinThickSmall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inThickSmall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inThickSmall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thinThickSmall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ind w:left="420" w:leftChars="200"/>
        <w:rPr>
          <w:rFonts w:hint="eastAsia"/>
        </w:rPr>
      </w:pPr>
    </w:p>
    <w:p>
      <w:pPr>
        <w:pStyle w:val="2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上级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出台的有关法律法规、规范性文件等，政策解读还需全面深入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下一步将围绕街道“十四五”规划、高质量发展、双奥品牌建设等重点和热点，进一步梳理政务公开重点内容，有针对性地进行政策解读，及时精准回应社会关切。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公开渠道不够多元，在创新运用新媒体方面还需要持续下功夫。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推进微信公众号等政务新媒体的内容共建、信息共享和规范管理，做好审核把关，确保网络安全，进一步扩大信息公开的覆盖面。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72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spacing w:val="8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发出收费通知的件数和总金额以及实际收取的总金额均为0；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72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本报告所列数据的统计期限,自202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pStyle w:val="2"/>
        <w:spacing w:line="560" w:lineRule="exact"/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2"/>
        <w:jc w:val="center"/>
        <w:rPr>
          <w:rFonts w:hint="eastAsia" w:ascii="仿宋_GB2312" w:hAnsi="寰蒋闆呴粦" w:eastAsia="仿宋_GB2312" w:cs="仿宋_GB2312"/>
          <w:i w:val="0"/>
          <w:caps w:val="0"/>
          <w:color w:val="404040"/>
          <w:spacing w:val="-1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寰蒋闆呴粦" w:eastAsia="仿宋_GB2312" w:cs="仿宋_GB2312"/>
          <w:i w:val="0"/>
          <w:caps w:val="0"/>
          <w:color w:val="404040"/>
          <w:spacing w:val="-17"/>
          <w:kern w:val="0"/>
          <w:sz w:val="32"/>
          <w:szCs w:val="32"/>
          <w:shd w:val="clear" w:fill="FFFFFF"/>
          <w:lang w:val="en-US" w:eastAsia="zh-CN" w:bidi="ar"/>
        </w:rPr>
        <w:t xml:space="preserve">            北京市朝阳区奥运村街道办事处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2"/>
        <w:jc w:val="center"/>
        <w:rPr>
          <w:rFonts w:hint="default" w:ascii="寰蒋闆呴粦" w:hAnsi="寰蒋闆呴粦" w:eastAsia="寰蒋闆呴粦" w:cs="寰蒋闆呴粦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寰蒋闆呴粦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2023年1月10日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BD3CA4"/>
    <w:multiLevelType w:val="singleLevel"/>
    <w:tmpl w:val="63BD3CA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0FC7"/>
    <w:rsid w:val="054459D6"/>
    <w:rsid w:val="0B675004"/>
    <w:rsid w:val="29810FC7"/>
    <w:rsid w:val="4B7912F5"/>
    <w:rsid w:val="77F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2023-01-07T08:08:00Z</dcterms:created>
  <dc:creator>aycjdbgs</dc:creator>
  <cp:lastModifiedBy>aycjdbgs</cp:lastModifiedBy>
  <dcterms:modified xsi:type="dcterms:W3CDTF">2023-02-16T08:34:51Z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