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258"/>
        <w:gridCol w:w="540"/>
        <w:gridCol w:w="165"/>
        <w:gridCol w:w="420"/>
        <w:gridCol w:w="266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2018年功能疏解“场清地净”点位集体收益补偿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653来广营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朝阳区来广营乡人民政府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李昊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84950765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2077.854958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目标1：按照《朝阳区农村地区功能疏解专项资金管理办法》（修订版）、《朝阳区功能疏解专项资金管理制度》要求，对疏解点位进行集体收益补偿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29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目标1：按照《朝阳区农村地区功能疏解专项资金管理办法》（修订版）、《朝阳区功能疏解专项资金管理制度》要求，对疏解点位进行集体收益补偿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资金补贴面积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根据验收场清地净面积组织三年集体收益复核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按照政策进行资金补贴发放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根据场清地净面积，核实三年集体收益情况，根据政策安排收益补贴。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加快推进朝阳区非首都功能疏解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相关单位满意度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  <w:t>相关单位满意度90%以上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完成预算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5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李昊  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84950765</w:t>
      </w:r>
      <w:r>
        <w:rPr>
          <w:rFonts w:hint="eastAsia" w:ascii="宋体" w:hAnsi="宋体"/>
          <w:sz w:val="24"/>
          <w:szCs w:val="32"/>
        </w:rPr>
        <w:t xml:space="preserve">   </w:t>
      </w:r>
      <w:bookmarkStart w:id="0" w:name="_GoBack"/>
      <w:r>
        <w:rPr>
          <w:rFonts w:hint="eastAsia" w:ascii="宋体" w:hAnsi="宋体"/>
          <w:sz w:val="24"/>
          <w:szCs w:val="32"/>
        </w:rPr>
        <w:t xml:space="preserve"> </w:t>
      </w:r>
      <w:bookmarkEnd w:id="0"/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60AC"/>
    <w:rsid w:val="0EC20E2B"/>
    <w:rsid w:val="24477DEB"/>
    <w:rsid w:val="26D42FC1"/>
    <w:rsid w:val="288B7C4C"/>
    <w:rsid w:val="6838185D"/>
    <w:rsid w:val="6C41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2022-02-10T07:52:00Z</dcterms:created>
  <dc:creator>财政科-胡霞</dc:creator>
  <cp:lastModifiedBy>₩</cp:lastModifiedBy>
  <dcterms:modified xsi:type="dcterms:W3CDTF">2022-03-04T09:59:51Z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1D10B000D39D42D8A29BD19563A3B338</vt:lpwstr>
  </property>
</Properties>
</file>