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73"/>
        <w:gridCol w:w="825"/>
        <w:gridCol w:w="165"/>
        <w:gridCol w:w="420"/>
        <w:gridCol w:w="266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第二批功能疏解“场清地净”点位集体收益补偿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李昊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84950765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833.687282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833.687282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833.687282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833.687282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833.687282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833.687282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目标1：按照《朝阳区农村地区功能疏解专项资金管理办法》（修订版）、《朝阳区功能疏解专项资金管理制度》要求，对疏解点位进行集体收益补偿</w:t>
            </w:r>
          </w:p>
        </w:tc>
        <w:tc>
          <w:tcPr>
            <w:tcW w:w="3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目标1：按照《朝阳区农村地区功能疏解专项资金管理办法》（修订版）、《朝阳区功能疏解专项资金管理制度》要求，对疏解点位进行集体收益补偿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资金补贴面积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根据验收场清地净面积组织三年集体收益复核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2：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按照政策进行资金补贴发放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根据场清地净面积，核实三年集体收益情况，根据政策安排收益补贴。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2：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加快推进朝阳区非首都功能疏解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相关单位满意度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相关单位满意度90%以上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5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 xml:space="preserve"> 李昊  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84950765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260AC"/>
    <w:rsid w:val="26D42FC1"/>
    <w:rsid w:val="288B7C4C"/>
    <w:rsid w:val="6838185D"/>
    <w:rsid w:val="6C41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2022-02-10T07:52:00Z</dcterms:created>
  <dc:creator>财政科-胡霞</dc:creator>
  <cp:lastModifiedBy>盼宝儿</cp:lastModifiedBy>
  <dcterms:modified xsi:type="dcterms:W3CDTF">2022-03-03T15:35:14Z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1D10B000D39D42D8A29BD19563A3B338</vt:lpwstr>
  </property>
</Properties>
</file>