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AEA9" w14:textId="77777777" w:rsidR="006E2B29" w:rsidRDefault="00234A02">
      <w:pPr>
        <w:spacing w:line="600" w:lineRule="exact"/>
        <w:rPr>
          <w:rFonts w:ascii="仿宋_GB2312" w:eastAsia="仿宋_GB2312"/>
          <w:sz w:val="32"/>
          <w:szCs w:val="32"/>
        </w:rPr>
      </w:pPr>
      <w:r>
        <w:rPr>
          <w:rFonts w:ascii="仿宋_GB2312" w:eastAsia="仿宋_GB2312" w:hint="eastAsia"/>
          <w:sz w:val="32"/>
          <w:szCs w:val="32"/>
        </w:rPr>
        <w:t>附件：</w:t>
      </w:r>
    </w:p>
    <w:p w14:paraId="26414291" w14:textId="77777777" w:rsidR="006E2B29" w:rsidRDefault="006E2B29">
      <w:pPr>
        <w:spacing w:line="600" w:lineRule="exact"/>
        <w:rPr>
          <w:rFonts w:ascii="方正小标宋简体" w:eastAsia="方正小标宋简体"/>
          <w:sz w:val="44"/>
          <w:szCs w:val="44"/>
        </w:rPr>
      </w:pPr>
    </w:p>
    <w:p w14:paraId="30A37EDB" w14:textId="77777777" w:rsidR="006E2B29" w:rsidRDefault="00234A02">
      <w:pPr>
        <w:spacing w:line="60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朝阳区人民政府重大行政决策程序规定</w:t>
      </w:r>
    </w:p>
    <w:p w14:paraId="0B466AA8" w14:textId="77777777" w:rsidR="006E2B29" w:rsidRDefault="00234A02">
      <w:pPr>
        <w:spacing w:line="60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（试行）</w:t>
      </w:r>
    </w:p>
    <w:p w14:paraId="2776735E" w14:textId="77777777" w:rsidR="006E2B29" w:rsidRDefault="00234A02">
      <w:pPr>
        <w:spacing w:line="600" w:lineRule="exact"/>
        <w:jc w:val="center"/>
        <w:rPr>
          <w:rFonts w:ascii="楷体_GB2312" w:eastAsia="楷体_GB2312"/>
          <w:color w:val="000000" w:themeColor="text1"/>
          <w:sz w:val="32"/>
          <w:szCs w:val="32"/>
        </w:rPr>
      </w:pPr>
      <w:r>
        <w:rPr>
          <w:rFonts w:ascii="楷体_GB2312" w:eastAsia="楷体_GB2312" w:hint="eastAsia"/>
          <w:color w:val="000000" w:themeColor="text1"/>
          <w:sz w:val="32"/>
          <w:szCs w:val="32"/>
        </w:rPr>
        <w:t>（征求意见稿）</w:t>
      </w:r>
    </w:p>
    <w:p w14:paraId="0634A9CE" w14:textId="77777777" w:rsidR="006E2B29" w:rsidRDefault="00234A02">
      <w:pPr>
        <w:spacing w:line="600" w:lineRule="exact"/>
        <w:rPr>
          <w:rFonts w:ascii="仿宋_GB2312" w:eastAsia="仿宋_GB2312"/>
          <w:color w:val="000000" w:themeColor="text1"/>
          <w:sz w:val="32"/>
          <w:szCs w:val="32"/>
        </w:rPr>
      </w:pPr>
      <w:r>
        <w:rPr>
          <w:rFonts w:ascii="仿宋_GB2312" w:eastAsia="仿宋_GB2312" w:hint="eastAsia"/>
          <w:b/>
          <w:bCs/>
          <w:color w:val="000000" w:themeColor="text1"/>
          <w:sz w:val="32"/>
          <w:szCs w:val="32"/>
        </w:rPr>
        <w:t> </w:t>
      </w:r>
    </w:p>
    <w:p w14:paraId="2D62F058" w14:textId="77777777" w:rsidR="006E2B29" w:rsidRDefault="00234A02">
      <w:pPr>
        <w:spacing w:line="600" w:lineRule="exact"/>
        <w:ind w:firstLineChars="150" w:firstLine="48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第一条</w:t>
      </w:r>
      <w:r>
        <w:rPr>
          <w:rFonts w:ascii="仿宋_GB2312" w:eastAsia="仿宋_GB2312" w:hint="eastAsia"/>
          <w:color w:val="000000" w:themeColor="text1"/>
          <w:sz w:val="32"/>
          <w:szCs w:val="32"/>
        </w:rPr>
        <w:t xml:space="preserve"> </w:t>
      </w:r>
      <w:r>
        <w:rPr>
          <w:rFonts w:ascii="仿宋_GB2312" w:eastAsia="仿宋_GB2312" w:hAnsi="Times New Roman" w:hint="eastAsia"/>
          <w:color w:val="000000" w:themeColor="text1"/>
          <w:sz w:val="32"/>
          <w:szCs w:val="32"/>
        </w:rPr>
        <w:t>为规范区政府重大行政决策程序，明确决策责任，进一步建立健全重大行政决策机制，促进科学、民主、依法决策，提高决策质量和效率，根据国务院《重大行政决策程序暂行条例》等规定，</w:t>
      </w:r>
      <w:r>
        <w:rPr>
          <w:rFonts w:ascii="仿宋_GB2312" w:eastAsia="仿宋_GB2312" w:hint="eastAsia"/>
          <w:color w:val="000000" w:themeColor="text1"/>
          <w:sz w:val="32"/>
          <w:szCs w:val="32"/>
        </w:rPr>
        <w:t>结合我区实际，制定本规定。</w:t>
      </w:r>
    </w:p>
    <w:p w14:paraId="47AB35C3"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第二条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【适用范围】区政府重大行政决策的</w:t>
      </w:r>
      <w:proofErr w:type="gramStart"/>
      <w:r>
        <w:rPr>
          <w:rFonts w:ascii="仿宋_GB2312" w:eastAsia="仿宋_GB2312" w:hint="eastAsia"/>
          <w:color w:val="000000" w:themeColor="text1"/>
          <w:sz w:val="32"/>
          <w:szCs w:val="32"/>
        </w:rPr>
        <w:t>作出</w:t>
      </w:r>
      <w:proofErr w:type="gramEnd"/>
      <w:r>
        <w:rPr>
          <w:rFonts w:ascii="仿宋_GB2312" w:eastAsia="仿宋_GB2312" w:hint="eastAsia"/>
          <w:color w:val="000000" w:themeColor="text1"/>
          <w:sz w:val="32"/>
          <w:szCs w:val="32"/>
        </w:rPr>
        <w:t>和调整程序，适用本规定。</w:t>
      </w:r>
    </w:p>
    <w:p w14:paraId="0E3A52DC"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第三条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【决策事项范围】本规定所称重大行政决策事项（以下简称决策事项）包括：</w:t>
      </w:r>
    </w:p>
    <w:p w14:paraId="6E896D4E"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（一）制定有关公共服务、市场监管、社会管理、生态环境保护等方面的重大公共政策和措施；</w:t>
      </w:r>
    </w:p>
    <w:p w14:paraId="293329B2"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（二）制定经济和社会发展等方面的重要规划；</w:t>
      </w:r>
    </w:p>
    <w:p w14:paraId="2AD35BEB"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（三）制定开发利用、保护重要自然资源和文化资源的重大公共政策和措施；</w:t>
      </w:r>
    </w:p>
    <w:p w14:paraId="097A2070"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（四）决定在本行政区域实施的重大公共建设项目；</w:t>
      </w:r>
    </w:p>
    <w:p w14:paraId="2D3B28E7"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（五）决定对经济社会发展有重大影响、涉及重大公共利益或者社会公众切身利益的其他重大事项。</w:t>
      </w:r>
    </w:p>
    <w:p w14:paraId="519CF2F2"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法律、行政法规对上述事项决策程序另有规定的，依照</w:t>
      </w:r>
      <w:r>
        <w:rPr>
          <w:rFonts w:ascii="仿宋_GB2312" w:eastAsia="仿宋_GB2312" w:hint="eastAsia"/>
          <w:color w:val="000000" w:themeColor="text1"/>
          <w:sz w:val="32"/>
          <w:szCs w:val="32"/>
        </w:rPr>
        <w:lastRenderedPageBreak/>
        <w:t>其规定。政府内部行政管理、突发事件应急处置决策不适用本规定。</w:t>
      </w:r>
    </w:p>
    <w:p w14:paraId="0D20FD44"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第四条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【职责分工】各相关单位按照下列规定履行职责：</w:t>
      </w:r>
    </w:p>
    <w:p w14:paraId="45A0DAE4"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（一）区政</w:t>
      </w:r>
      <w:r>
        <w:rPr>
          <w:rFonts w:ascii="仿宋_GB2312" w:eastAsia="仿宋_GB2312" w:hint="eastAsia"/>
          <w:color w:val="000000" w:themeColor="text1"/>
          <w:sz w:val="32"/>
          <w:szCs w:val="32"/>
        </w:rPr>
        <w:t>府办公室负责重大行政决策集体讨论</w:t>
      </w:r>
      <w:proofErr w:type="gramStart"/>
      <w:r>
        <w:rPr>
          <w:rFonts w:ascii="仿宋_GB2312" w:eastAsia="仿宋_GB2312" w:hint="eastAsia"/>
          <w:color w:val="000000" w:themeColor="text1"/>
          <w:sz w:val="32"/>
          <w:szCs w:val="32"/>
        </w:rPr>
        <w:t>前材料</w:t>
      </w:r>
      <w:proofErr w:type="gramEnd"/>
      <w:r>
        <w:rPr>
          <w:rFonts w:ascii="仿宋_GB2312" w:eastAsia="仿宋_GB2312" w:hint="eastAsia"/>
          <w:color w:val="000000" w:themeColor="text1"/>
          <w:sz w:val="32"/>
          <w:szCs w:val="32"/>
        </w:rPr>
        <w:t>收集审核、会议组织协调及议定事项的督促检查等工作。</w:t>
      </w:r>
      <w:r>
        <w:rPr>
          <w:rFonts w:ascii="仿宋_GB2312" w:eastAsia="仿宋_GB2312" w:hint="eastAsia"/>
          <w:color w:val="000000" w:themeColor="text1"/>
          <w:sz w:val="32"/>
          <w:szCs w:val="32"/>
        </w:rPr>
        <w:t xml:space="preserve"> </w:t>
      </w:r>
    </w:p>
    <w:p w14:paraId="46FA37B7"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区政府相关部门作为决策承办单位，负责按照法定程序拟定重大行政决策草案，履行重大行政决策程序，组织实施好重大行政决策的公众参与、专家论证、风险评估等工作，拟定重大行政决策解读材料，为区政府</w:t>
      </w:r>
      <w:proofErr w:type="gramStart"/>
      <w:r>
        <w:rPr>
          <w:rFonts w:ascii="仿宋_GB2312" w:eastAsia="仿宋_GB2312" w:hint="eastAsia"/>
          <w:color w:val="000000" w:themeColor="text1"/>
          <w:sz w:val="32"/>
          <w:szCs w:val="32"/>
        </w:rPr>
        <w:t>作出</w:t>
      </w:r>
      <w:proofErr w:type="gramEnd"/>
      <w:r>
        <w:rPr>
          <w:rFonts w:ascii="仿宋_GB2312" w:eastAsia="仿宋_GB2312" w:hint="eastAsia"/>
          <w:color w:val="000000" w:themeColor="text1"/>
          <w:sz w:val="32"/>
          <w:szCs w:val="32"/>
        </w:rPr>
        <w:t>重大行政决策提供依据。</w:t>
      </w:r>
    </w:p>
    <w:p w14:paraId="08384DFC"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（三）区司法局负责重大行政决策的合法性审查工作。</w:t>
      </w:r>
    </w:p>
    <w:p w14:paraId="7314829A"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（四）区政务服务局负责重大行政决策的公开，指导决策承办单位做好政策解读工作。</w:t>
      </w:r>
    </w:p>
    <w:p w14:paraId="74E347C7"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（五）区审计局负责按照规定对重大行政决策进行监督。</w:t>
      </w:r>
    </w:p>
    <w:p w14:paraId="4E45849E"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第五条 【目录管理】</w:t>
      </w:r>
      <w:r>
        <w:rPr>
          <w:rFonts w:ascii="仿宋_GB2312" w:eastAsia="仿宋_GB2312" w:hint="eastAsia"/>
          <w:color w:val="000000" w:themeColor="text1"/>
          <w:sz w:val="32"/>
          <w:szCs w:val="32"/>
        </w:rPr>
        <w:t>重大行政决策事项目录实行动态管理。</w:t>
      </w:r>
      <w:r>
        <w:rPr>
          <w:rFonts w:ascii="仿宋_GB2312" w:eastAsia="仿宋_GB2312" w:hAnsi="仿宋" w:cs="仿宋" w:hint="eastAsia"/>
          <w:color w:val="000000" w:themeColor="text1"/>
          <w:sz w:val="32"/>
          <w:szCs w:val="32"/>
        </w:rPr>
        <w:t>区政府办公室、区司法局在组织拟定年度重大行政决策事项目录（草案）前，应当向本级政府所属部门征集决策事项建议，并根据需要向其他国家机关、社会团体、企事业单位和社会公众征集决策事项建议。</w:t>
      </w:r>
    </w:p>
    <w:p w14:paraId="5BFD8DD1" w14:textId="77777777" w:rsidR="006E2B29" w:rsidRDefault="00234A02">
      <w:pPr>
        <w:pStyle w:val="ad"/>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（一）区长、副区长提出的重大行政决策事项，可以直接列入年度重大行政决策事项目录；</w:t>
      </w:r>
    </w:p>
    <w:p w14:paraId="293684C3" w14:textId="77777777" w:rsidR="006E2B29" w:rsidRDefault="00234A02">
      <w:pPr>
        <w:pStyle w:val="ad"/>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（二）区政府各部门应当对照重大行政决策事项范围，</w:t>
      </w:r>
      <w:r>
        <w:rPr>
          <w:rFonts w:ascii="仿宋_GB2312" w:eastAsia="仿宋_GB2312" w:hAnsi="仿宋" w:cs="仿宋" w:hint="eastAsia"/>
          <w:color w:val="000000" w:themeColor="text1"/>
          <w:sz w:val="32"/>
          <w:szCs w:val="32"/>
        </w:rPr>
        <w:lastRenderedPageBreak/>
        <w:t>结合区政府年度重点工作任务和各自管理领域工作，将拟提请区政府决策的重大行政决策事项，按照重大行政决策事项征集要求中明确的时限和标准向区政府申报；</w:t>
      </w:r>
    </w:p>
    <w:p w14:paraId="2B8FEDA8" w14:textId="77777777" w:rsidR="006E2B29" w:rsidRDefault="00234A02">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（三）相关部门虽未申报，区政府办公室和区司法局认为符合决策事项范围的，也可以建议列入年度重大行政决策事项目录（草案）；</w:t>
      </w:r>
    </w:p>
    <w:p w14:paraId="4B9CFE14" w14:textId="77777777" w:rsidR="006E2B29" w:rsidRDefault="00234A02">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（四）</w:t>
      </w:r>
      <w:r>
        <w:rPr>
          <w:rFonts w:ascii="仿宋_GB2312" w:eastAsia="仿宋_GB2312" w:hAnsi="宋体" w:cs="宋体" w:hint="eastAsia"/>
          <w:color w:val="000000" w:themeColor="text1"/>
          <w:kern w:val="0"/>
          <w:sz w:val="32"/>
          <w:szCs w:val="32"/>
        </w:rPr>
        <w:t>人大代表、政协委员等通过建议、提案等方式提出决策事项建议，以及公民、法人或者其他组织提出书面决策事项建议的，交有关单位研究论证。经研究论证属于</w:t>
      </w:r>
      <w:r>
        <w:rPr>
          <w:rFonts w:ascii="仿宋_GB2312" w:eastAsia="仿宋_GB2312" w:hAnsi="仿宋" w:cs="仿宋" w:hint="eastAsia"/>
          <w:color w:val="000000" w:themeColor="text1"/>
          <w:sz w:val="32"/>
          <w:szCs w:val="32"/>
        </w:rPr>
        <w:t>事项范围的，列入年度重大行政决策事项目录（草案）。</w:t>
      </w:r>
    </w:p>
    <w:p w14:paraId="60CC1A02" w14:textId="77777777" w:rsidR="006E2B29" w:rsidRDefault="00234A02">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区政府办公室将重大行政决策事项目录报经区政府同意，由区政府按程序报区委同意后向社会公布。</w:t>
      </w:r>
    </w:p>
    <w:p w14:paraId="110EA947"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第六条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决策启动】决策承办单位应全面梳理与决策事项有关的法律法规及政策依据，在广泛深入开展调查研究、全面准确掌握有关信息、充分协商协调的基础上，拟订决策草案，对决策事项涉及的人财物投入、资源消耗、环境影响等成本和经济、社会、环</w:t>
      </w:r>
      <w:r>
        <w:rPr>
          <w:rFonts w:ascii="仿宋_GB2312" w:eastAsia="仿宋_GB2312" w:hint="eastAsia"/>
          <w:color w:val="000000" w:themeColor="text1"/>
          <w:sz w:val="32"/>
          <w:szCs w:val="32"/>
        </w:rPr>
        <w:t>境效益进行分析预测。</w:t>
      </w:r>
    </w:p>
    <w:p w14:paraId="7A80C781" w14:textId="77777777" w:rsidR="006E2B29" w:rsidRDefault="00234A02">
      <w:pPr>
        <w:autoSpaceDE w:val="0"/>
        <w:autoSpaceDN w:val="0"/>
        <w:adjustRightInd w:val="0"/>
        <w:spacing w:line="600" w:lineRule="exact"/>
        <w:ind w:firstLineChars="200" w:firstLine="640"/>
        <w:rPr>
          <w:rFonts w:ascii="仿宋_GB2312" w:eastAsia="仿宋_GB2312" w:cs="仿宋_GB2312"/>
          <w:color w:val="000000" w:themeColor="text1"/>
          <w:kern w:val="0"/>
          <w:sz w:val="32"/>
          <w:szCs w:val="32"/>
        </w:rPr>
      </w:pPr>
      <w:r>
        <w:rPr>
          <w:rFonts w:ascii="仿宋_GB2312" w:eastAsia="仿宋_GB2312" w:hint="eastAsia"/>
          <w:color w:val="000000" w:themeColor="text1"/>
          <w:sz w:val="32"/>
          <w:szCs w:val="32"/>
        </w:rPr>
        <w:t>第七条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【公众参与】</w:t>
      </w:r>
      <w:r>
        <w:rPr>
          <w:rFonts w:ascii="仿宋_GB2312" w:eastAsia="仿宋_GB2312" w:hAnsi="宋体" w:cs="宋体" w:hint="eastAsia"/>
          <w:color w:val="000000" w:themeColor="text1"/>
          <w:kern w:val="0"/>
          <w:sz w:val="32"/>
          <w:szCs w:val="32"/>
        </w:rPr>
        <w:t>决策承办单位应当采取便于社会公众参与的方式充分听取意见，依法不予公开的决策事项除外。</w:t>
      </w:r>
      <w:r>
        <w:rPr>
          <w:rFonts w:ascii="仿宋_GB2312" w:eastAsia="仿宋_GB2312" w:hint="eastAsia"/>
          <w:color w:val="000000" w:themeColor="text1"/>
          <w:sz w:val="32"/>
          <w:szCs w:val="32"/>
        </w:rPr>
        <w:t>决策承办单位可以采取向社会公开征求意见、座谈会、听证会、实地走访、书面征求意见、问卷调查、民意调查等便于公众参与的多种方式，充分听取社会公众的意见，并</w:t>
      </w:r>
      <w:r>
        <w:rPr>
          <w:rFonts w:ascii="仿宋_GB2312" w:eastAsia="仿宋_GB2312" w:hAnsi="仿宋_GB2312" w:cs="仿宋_GB2312" w:hint="eastAsia"/>
          <w:color w:val="000000" w:themeColor="text1"/>
          <w:sz w:val="32"/>
          <w:szCs w:val="32"/>
        </w:rPr>
        <w:t>根据需要征求有关人大代表及政协委员的意见。</w:t>
      </w:r>
    </w:p>
    <w:p w14:paraId="3972A157" w14:textId="77777777" w:rsidR="006E2B29" w:rsidRDefault="00234A02">
      <w:pPr>
        <w:widowControl/>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一）决策事项向社会公开征求意见的，决策承办单位应当通过政府网站、政务新媒体以及报刊、广播、电视等便于社会公众知晓的途径。公布内容包括决策草案、制定依据及其说明等材料，明确提出意见的方式、期限和承办单位联系方式。公开征求意见的期限一般不少于</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日，因情况紧急等原因需要缩短期限的，公开征求意见时应当予以说明。</w:t>
      </w:r>
    </w:p>
    <w:p w14:paraId="7DA45BA5" w14:textId="77777777" w:rsidR="006E2B29" w:rsidRDefault="00234A02">
      <w:pPr>
        <w:widowControl/>
        <w:spacing w:line="600" w:lineRule="exact"/>
        <w:ind w:firstLine="48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二）决策事项涉及特定群体利益的，决策承办单位应当与相关人民团体、社会组织以及群众代表进行沟通协商，充分听取相关群体的意见建议。决策事项对相关行业领域有重大影响的，还应当充分听取有代表性的企业和相关协</w:t>
      </w:r>
      <w:r>
        <w:rPr>
          <w:rFonts w:ascii="仿宋_GB2312" w:eastAsia="仿宋_GB2312" w:hint="eastAsia"/>
          <w:color w:val="000000" w:themeColor="text1"/>
          <w:sz w:val="32"/>
          <w:szCs w:val="32"/>
        </w:rPr>
        <w:t>会、商会的意见。</w:t>
      </w:r>
    </w:p>
    <w:p w14:paraId="255CCF5D" w14:textId="77777777" w:rsidR="006E2B29" w:rsidRDefault="00234A02">
      <w:pPr>
        <w:widowControl/>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（三）对社会公众普遍关心或者专业性、技术性较强的问题，决策承办单位可以通过专家访谈等方式进行解释说明。</w:t>
      </w:r>
    </w:p>
    <w:p w14:paraId="748BF787" w14:textId="77777777" w:rsidR="006E2B29" w:rsidRDefault="00234A02">
      <w:pPr>
        <w:widowControl/>
        <w:spacing w:line="600" w:lineRule="exact"/>
        <w:ind w:firstLine="48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（四）决策事项直接涉及公民、法人、其他组织切身利益或者存在较大分歧的，可以召开听证会。法律、法规、规章对召开听证会另有规定的，依照其规定。</w:t>
      </w:r>
    </w:p>
    <w:p w14:paraId="38A3E097" w14:textId="77777777" w:rsidR="006E2B29" w:rsidRDefault="00234A02">
      <w:pPr>
        <w:pStyle w:val="ad"/>
        <w:spacing w:line="600" w:lineRule="exact"/>
        <w:rPr>
          <w:rFonts w:ascii="仿宋_GB2312" w:eastAsia="仿宋_GB2312" w:hAnsiTheme="minorHAnsi" w:cstheme="minorBidi"/>
          <w:color w:val="000000" w:themeColor="text1"/>
          <w:sz w:val="32"/>
          <w:szCs w:val="32"/>
        </w:rPr>
      </w:pPr>
      <w:r>
        <w:rPr>
          <w:rFonts w:ascii="仿宋_GB2312" w:eastAsia="仿宋_GB2312" w:hAnsiTheme="minorHAnsi" w:cstheme="minorBidi" w:hint="eastAsia"/>
          <w:color w:val="000000" w:themeColor="text1"/>
          <w:sz w:val="32"/>
          <w:szCs w:val="32"/>
        </w:rPr>
        <w:t xml:space="preserve">    </w:t>
      </w:r>
      <w:r>
        <w:rPr>
          <w:rFonts w:ascii="仿宋_GB2312" w:eastAsia="仿宋_GB2312" w:hAnsiTheme="minorHAnsi" w:cstheme="minorBidi" w:hint="eastAsia"/>
          <w:color w:val="000000" w:themeColor="text1"/>
          <w:sz w:val="32"/>
          <w:szCs w:val="32"/>
        </w:rPr>
        <w:t>第八条</w:t>
      </w:r>
      <w:r>
        <w:rPr>
          <w:rFonts w:ascii="仿宋_GB2312" w:eastAsia="仿宋_GB2312" w:hAnsiTheme="minorHAnsi" w:cstheme="minorBidi" w:hint="eastAsia"/>
          <w:color w:val="000000" w:themeColor="text1"/>
          <w:sz w:val="32"/>
          <w:szCs w:val="32"/>
        </w:rPr>
        <w:t xml:space="preserve"> </w:t>
      </w:r>
      <w:r>
        <w:rPr>
          <w:rFonts w:ascii="仿宋_GB2312" w:eastAsia="仿宋_GB2312" w:hint="eastAsia"/>
          <w:color w:val="000000" w:themeColor="text1"/>
          <w:sz w:val="32"/>
          <w:szCs w:val="32"/>
        </w:rPr>
        <w:t>【专家论证】</w:t>
      </w:r>
      <w:r>
        <w:rPr>
          <w:rFonts w:ascii="仿宋_GB2312" w:eastAsia="仿宋_GB2312" w:hAnsiTheme="minorHAnsi" w:cstheme="minorBidi" w:hint="eastAsia"/>
          <w:color w:val="000000" w:themeColor="text1"/>
          <w:sz w:val="32"/>
          <w:szCs w:val="32"/>
        </w:rPr>
        <w:t>对专业性、技术性较强的决策事项，决策承办单位应当组织专家、专业机构论证其必要性、可行性、科学性等，并提供必要保障。</w:t>
      </w:r>
    </w:p>
    <w:p w14:paraId="01EBE616" w14:textId="77777777" w:rsidR="006E2B29" w:rsidRDefault="00234A02">
      <w:pPr>
        <w:widowControl/>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（一）选择专家、专业机构参与论证，应当坚持专业性、代表性和中立性，注重选择持不同意见的专家、专业机构，不</w:t>
      </w:r>
      <w:r>
        <w:rPr>
          <w:rFonts w:ascii="仿宋_GB2312" w:eastAsia="仿宋_GB2312" w:hint="eastAsia"/>
          <w:color w:val="000000" w:themeColor="text1"/>
          <w:sz w:val="32"/>
          <w:szCs w:val="32"/>
        </w:rPr>
        <w:t>得选择与决策事项有直接利害关系的专家、专业机构。</w:t>
      </w:r>
    </w:p>
    <w:p w14:paraId="51E69CAD" w14:textId="77777777" w:rsidR="006E2B29" w:rsidRDefault="00234A02">
      <w:pPr>
        <w:widowControl/>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（二）决策承办单位组织专家论证，可以采取论证会、书面咨询、委托咨询论证等方式，专家、专业机构提供书面论证意见的，应当署名、盖章。</w:t>
      </w:r>
    </w:p>
    <w:p w14:paraId="17158C05" w14:textId="77777777" w:rsidR="006E2B29" w:rsidRDefault="00234A02">
      <w:pPr>
        <w:pStyle w:val="ad"/>
        <w:spacing w:line="600" w:lineRule="exact"/>
        <w:ind w:firstLineChars="200" w:firstLine="640"/>
        <w:rPr>
          <w:rFonts w:ascii="仿宋_GB2312" w:eastAsia="仿宋_GB2312" w:hAnsiTheme="minorHAnsi" w:cstheme="minorBidi"/>
          <w:color w:val="000000" w:themeColor="text1"/>
          <w:sz w:val="32"/>
          <w:szCs w:val="32"/>
        </w:rPr>
      </w:pPr>
      <w:r>
        <w:rPr>
          <w:rFonts w:ascii="仿宋_GB2312" w:eastAsia="仿宋_GB2312" w:hAnsiTheme="minorHAnsi" w:cstheme="minorBidi" w:hint="eastAsia"/>
          <w:color w:val="000000" w:themeColor="text1"/>
          <w:sz w:val="32"/>
          <w:szCs w:val="32"/>
        </w:rPr>
        <w:t>第九条</w:t>
      </w:r>
      <w:r>
        <w:rPr>
          <w:rFonts w:ascii="仿宋_GB2312" w:eastAsia="仿宋_GB2312" w:hAnsiTheme="minorHAnsi" w:cstheme="minorBidi" w:hint="eastAsia"/>
          <w:color w:val="000000" w:themeColor="text1"/>
          <w:sz w:val="32"/>
          <w:szCs w:val="32"/>
        </w:rPr>
        <w:t xml:space="preserve"> </w:t>
      </w:r>
      <w:r>
        <w:rPr>
          <w:rFonts w:ascii="仿宋_GB2312" w:eastAsia="仿宋_GB2312" w:hint="eastAsia"/>
          <w:color w:val="000000" w:themeColor="text1"/>
          <w:sz w:val="32"/>
          <w:szCs w:val="32"/>
        </w:rPr>
        <w:t>【风险评估】</w:t>
      </w:r>
      <w:r>
        <w:rPr>
          <w:rFonts w:ascii="仿宋_GB2312" w:eastAsia="仿宋_GB2312" w:hAnsiTheme="minorHAnsi" w:cstheme="minorBidi" w:hint="eastAsia"/>
          <w:color w:val="000000" w:themeColor="text1"/>
          <w:sz w:val="32"/>
          <w:szCs w:val="32"/>
        </w:rPr>
        <w:t>重大行政决策的实施对人民群众切身利益影响较大且涉及面广的，可能对社会稳定、公共安全、</w:t>
      </w:r>
      <w:r>
        <w:rPr>
          <w:rFonts w:ascii="仿宋_GB2312" w:eastAsia="仿宋_GB2312" w:hint="eastAsia"/>
          <w:color w:val="000000" w:themeColor="text1"/>
          <w:sz w:val="32"/>
          <w:szCs w:val="32"/>
        </w:rPr>
        <w:t>生态环境、社会舆情</w:t>
      </w:r>
      <w:r>
        <w:rPr>
          <w:rFonts w:ascii="仿宋_GB2312" w:eastAsia="仿宋_GB2312" w:hAnsiTheme="minorHAnsi" w:cstheme="minorBidi" w:hint="eastAsia"/>
          <w:color w:val="000000" w:themeColor="text1"/>
          <w:sz w:val="32"/>
          <w:szCs w:val="32"/>
        </w:rPr>
        <w:t>等方面造成不利影响的，应该进行风险评估。</w:t>
      </w:r>
    </w:p>
    <w:p w14:paraId="30A946E7" w14:textId="77777777" w:rsidR="006E2B29" w:rsidRDefault="00234A02">
      <w:pPr>
        <w:pStyle w:val="ad"/>
        <w:spacing w:line="600" w:lineRule="exact"/>
        <w:ind w:firstLine="480"/>
        <w:rPr>
          <w:rFonts w:ascii="仿宋_GB2312" w:eastAsia="仿宋_GB2312" w:hAnsiTheme="minorHAnsi" w:cstheme="minorBidi"/>
          <w:color w:val="000000" w:themeColor="text1"/>
          <w:sz w:val="32"/>
          <w:szCs w:val="32"/>
        </w:rPr>
      </w:pPr>
      <w:r>
        <w:rPr>
          <w:rFonts w:ascii="仿宋_GB2312" w:eastAsia="仿宋_GB2312" w:hAnsiTheme="minorHAnsi" w:cstheme="minorBidi" w:hint="eastAsia"/>
          <w:color w:val="000000" w:themeColor="text1"/>
          <w:sz w:val="32"/>
          <w:szCs w:val="32"/>
        </w:rPr>
        <w:t xml:space="preserve"> </w:t>
      </w:r>
      <w:r>
        <w:rPr>
          <w:rFonts w:ascii="仿宋_GB2312" w:eastAsia="仿宋_GB2312" w:hAnsiTheme="minorHAnsi" w:cstheme="minorBidi" w:hint="eastAsia"/>
          <w:color w:val="000000" w:themeColor="text1"/>
          <w:sz w:val="32"/>
          <w:szCs w:val="32"/>
        </w:rPr>
        <w:t>（一）决策承办单位负责组织决策草案的风险评估，可以委托专业机构、社会组织等第三方进行。</w:t>
      </w:r>
    </w:p>
    <w:p w14:paraId="6911D066" w14:textId="77777777" w:rsidR="006E2B29" w:rsidRDefault="00234A02">
      <w:pPr>
        <w:pStyle w:val="ad"/>
        <w:spacing w:line="600" w:lineRule="exact"/>
        <w:ind w:firstLine="480"/>
        <w:rPr>
          <w:rFonts w:ascii="仿宋_GB2312" w:eastAsia="仿宋_GB2312" w:hAnsiTheme="minorHAnsi" w:cstheme="minorBidi"/>
          <w:color w:val="000000" w:themeColor="text1"/>
          <w:sz w:val="32"/>
          <w:szCs w:val="32"/>
        </w:rPr>
      </w:pPr>
      <w:r>
        <w:rPr>
          <w:rFonts w:ascii="仿宋_GB2312" w:eastAsia="仿宋_GB2312" w:hAnsiTheme="minorHAnsi" w:cstheme="minorBidi" w:hint="eastAsia"/>
          <w:color w:val="000000" w:themeColor="text1"/>
          <w:sz w:val="32"/>
          <w:szCs w:val="32"/>
        </w:rPr>
        <w:t xml:space="preserve"> </w:t>
      </w:r>
      <w:r>
        <w:rPr>
          <w:rFonts w:ascii="仿宋_GB2312" w:eastAsia="仿宋_GB2312" w:hAnsiTheme="minorHAnsi" w:cstheme="minorBidi" w:hint="eastAsia"/>
          <w:color w:val="000000" w:themeColor="text1"/>
          <w:sz w:val="32"/>
          <w:szCs w:val="32"/>
        </w:rPr>
        <w:t>（二）风险评估可以通过舆情跟踪、重点走访、会商分析等方式，应当听取有关部门的</w:t>
      </w:r>
      <w:r>
        <w:rPr>
          <w:rFonts w:ascii="仿宋_GB2312" w:eastAsia="仿宋_GB2312" w:hAnsiTheme="minorHAnsi" w:cstheme="minorBidi" w:hint="eastAsia"/>
          <w:color w:val="000000" w:themeColor="text1"/>
          <w:sz w:val="32"/>
          <w:szCs w:val="32"/>
        </w:rPr>
        <w:t>意见，对决策实施的风险进行科学预测、综合</w:t>
      </w:r>
      <w:proofErr w:type="gramStart"/>
      <w:r>
        <w:rPr>
          <w:rFonts w:ascii="仿宋_GB2312" w:eastAsia="仿宋_GB2312" w:hAnsiTheme="minorHAnsi" w:cstheme="minorBidi" w:hint="eastAsia"/>
          <w:color w:val="000000" w:themeColor="text1"/>
          <w:sz w:val="32"/>
          <w:szCs w:val="32"/>
        </w:rPr>
        <w:t>研</w:t>
      </w:r>
      <w:proofErr w:type="gramEnd"/>
      <w:r>
        <w:rPr>
          <w:rFonts w:ascii="仿宋_GB2312" w:eastAsia="仿宋_GB2312" w:hAnsiTheme="minorHAnsi" w:cstheme="minorBidi" w:hint="eastAsia"/>
          <w:color w:val="000000" w:themeColor="text1"/>
          <w:sz w:val="32"/>
          <w:szCs w:val="32"/>
        </w:rPr>
        <w:t>判，评估决策草案的风险可控性，</w:t>
      </w:r>
      <w:proofErr w:type="gramStart"/>
      <w:r>
        <w:rPr>
          <w:rFonts w:ascii="仿宋_GB2312" w:eastAsia="仿宋_GB2312" w:hAnsiTheme="minorHAnsi" w:cstheme="minorBidi" w:hint="eastAsia"/>
          <w:color w:val="000000" w:themeColor="text1"/>
          <w:sz w:val="32"/>
          <w:szCs w:val="32"/>
        </w:rPr>
        <w:t>作出</w:t>
      </w:r>
      <w:proofErr w:type="gramEnd"/>
      <w:r>
        <w:rPr>
          <w:rFonts w:ascii="仿宋_GB2312" w:eastAsia="仿宋_GB2312" w:hAnsiTheme="minorHAnsi" w:cstheme="minorBidi" w:hint="eastAsia"/>
          <w:color w:val="000000" w:themeColor="text1"/>
          <w:sz w:val="32"/>
          <w:szCs w:val="32"/>
        </w:rPr>
        <w:t>风险评估报告，明确风险点，提出风险防范措施和处置预案。</w:t>
      </w:r>
    </w:p>
    <w:p w14:paraId="6B74DA01" w14:textId="77777777" w:rsidR="006E2B29" w:rsidRDefault="00234A02">
      <w:pPr>
        <w:widowControl/>
        <w:spacing w:line="600" w:lineRule="exact"/>
        <w:ind w:firstLine="48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三）风险评估结果应当作为重大行政决策的重要依据。决策承办单位应对评估报告进行研究分析，根据风险提示及时完善决策草案；对于风险不可控和高风险的决策，在采取调整决策草案等措施确保风险较低且可控后，可以</w:t>
      </w:r>
      <w:proofErr w:type="gramStart"/>
      <w:r>
        <w:rPr>
          <w:rFonts w:ascii="仿宋_GB2312" w:eastAsia="仿宋_GB2312" w:hint="eastAsia"/>
          <w:color w:val="000000" w:themeColor="text1"/>
          <w:sz w:val="32"/>
          <w:szCs w:val="32"/>
        </w:rPr>
        <w:t>作出</w:t>
      </w:r>
      <w:proofErr w:type="gramEnd"/>
      <w:r>
        <w:rPr>
          <w:rFonts w:ascii="仿宋_GB2312" w:eastAsia="仿宋_GB2312" w:hint="eastAsia"/>
          <w:color w:val="000000" w:themeColor="text1"/>
          <w:sz w:val="32"/>
          <w:szCs w:val="32"/>
        </w:rPr>
        <w:t>决策。</w:t>
      </w:r>
    </w:p>
    <w:p w14:paraId="7CDC495A" w14:textId="77777777" w:rsidR="006E2B29" w:rsidRDefault="00234A02">
      <w:pPr>
        <w:pStyle w:val="ad"/>
        <w:spacing w:line="600" w:lineRule="exact"/>
        <w:ind w:firstLine="480"/>
        <w:rPr>
          <w:rFonts w:ascii="仿宋_GB2312" w:eastAsia="仿宋_GB2312"/>
          <w:color w:val="000000" w:themeColor="text1"/>
          <w:sz w:val="32"/>
          <w:szCs w:val="32"/>
        </w:rPr>
      </w:pPr>
      <w:r>
        <w:rPr>
          <w:rFonts w:ascii="仿宋_GB2312" w:eastAsia="仿宋_GB2312" w:hAnsiTheme="minorHAnsi" w:cstheme="minorBidi" w:hint="eastAsia"/>
          <w:color w:val="000000" w:themeColor="text1"/>
          <w:sz w:val="32"/>
          <w:szCs w:val="32"/>
        </w:rPr>
        <w:t xml:space="preserve"> </w:t>
      </w:r>
      <w:r>
        <w:rPr>
          <w:rFonts w:ascii="仿宋_GB2312" w:eastAsia="仿宋_GB2312" w:hAnsiTheme="minorHAnsi" w:cstheme="minorBidi" w:hint="eastAsia"/>
          <w:color w:val="000000" w:themeColor="text1"/>
          <w:sz w:val="32"/>
          <w:szCs w:val="32"/>
        </w:rPr>
        <w:t>第十条</w:t>
      </w:r>
      <w:r>
        <w:rPr>
          <w:rFonts w:ascii="仿宋_GB2312" w:eastAsia="仿宋_GB2312" w:hAnsiTheme="minorHAnsi" w:cstheme="minorBidi" w:hint="eastAsia"/>
          <w:color w:val="000000" w:themeColor="text1"/>
          <w:sz w:val="32"/>
          <w:szCs w:val="32"/>
        </w:rPr>
        <w:t xml:space="preserve"> </w:t>
      </w:r>
      <w:r>
        <w:rPr>
          <w:rFonts w:ascii="仿宋_GB2312" w:eastAsia="仿宋_GB2312" w:hint="eastAsia"/>
          <w:color w:val="000000" w:themeColor="text1"/>
          <w:sz w:val="32"/>
          <w:szCs w:val="32"/>
        </w:rPr>
        <w:t>【合法性审查】决策草案在提交区政府集体讨论前，须经区司法局进行合法性审查。不得以征求意见等方式代替合法性审查。决策草案未经合法性审查或者经审查不合法的，不得提交区政府讨论。</w:t>
      </w:r>
    </w:p>
    <w:p w14:paraId="29F6FE9A" w14:textId="77777777" w:rsidR="006E2B29" w:rsidRDefault="00234A02">
      <w:pPr>
        <w:spacing w:line="600" w:lineRule="exact"/>
        <w:ind w:firstLineChars="150" w:firstLine="48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（一）决策草案在报请区司法局进行合法性审查前，决策承办单位应充分发挥本单位法制机构及聘用法律顾问的</w:t>
      </w:r>
      <w:r>
        <w:rPr>
          <w:rFonts w:ascii="仿宋_GB2312" w:eastAsia="仿宋_GB2312" w:hint="eastAsia"/>
          <w:color w:val="000000" w:themeColor="text1"/>
          <w:sz w:val="32"/>
          <w:szCs w:val="32"/>
        </w:rPr>
        <w:lastRenderedPageBreak/>
        <w:t>职能作用和专业优势，对决策草案进行内部合法性审查，形成审查意见。审查通过后，报请本单位集体研究。</w:t>
      </w:r>
    </w:p>
    <w:p w14:paraId="03922BFF" w14:textId="77777777" w:rsidR="006E2B29" w:rsidRDefault="00234A02">
      <w:pPr>
        <w:pStyle w:val="ad"/>
        <w:shd w:val="clear" w:color="auto" w:fill="FFFFFF"/>
        <w:spacing w:line="600" w:lineRule="exact"/>
        <w:ind w:firstLineChars="100" w:firstLine="32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（二）决策承办单位报送区司法局进行合法性审查时，应当提供以下材料，提供的材料不符合要求的，区司法局可以退回，或者要求补充：</w:t>
      </w:r>
    </w:p>
    <w:p w14:paraId="19AE8525" w14:textId="77777777" w:rsidR="006E2B29" w:rsidRDefault="00234A02">
      <w:pPr>
        <w:pStyle w:val="ad"/>
        <w:shd w:val="clear" w:color="auto" w:fill="FFFFFF"/>
        <w:spacing w:line="60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1.</w:t>
      </w:r>
      <w:r>
        <w:rPr>
          <w:rFonts w:ascii="仿宋_GB2312" w:eastAsia="仿宋_GB2312" w:hint="eastAsia"/>
          <w:color w:val="000000" w:themeColor="text1"/>
          <w:sz w:val="32"/>
          <w:szCs w:val="32"/>
        </w:rPr>
        <w:t>决策草案及起草说明，</w:t>
      </w:r>
      <w:r>
        <w:rPr>
          <w:rFonts w:ascii="仿宋_GB2312" w:eastAsia="仿宋_GB2312" w:cs="仿宋_GB2312" w:hint="eastAsia"/>
          <w:color w:val="000000" w:themeColor="text1"/>
          <w:kern w:val="0"/>
          <w:sz w:val="32"/>
          <w:szCs w:val="32"/>
        </w:rPr>
        <w:t>决策草案涉及市场主体经济活动的，应当包含公平竞争审查的有关情况</w:t>
      </w:r>
      <w:r>
        <w:rPr>
          <w:rFonts w:ascii="仿宋_GB2312" w:eastAsia="仿宋_GB2312" w:hint="eastAsia"/>
          <w:color w:val="000000" w:themeColor="text1"/>
          <w:sz w:val="32"/>
          <w:szCs w:val="32"/>
        </w:rPr>
        <w:t>；</w:t>
      </w:r>
    </w:p>
    <w:p w14:paraId="5736960F" w14:textId="77777777" w:rsidR="006E2B29" w:rsidRDefault="00234A02">
      <w:pPr>
        <w:pStyle w:val="ad"/>
        <w:shd w:val="clear" w:color="auto" w:fill="FFFFFF"/>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决策制定的有关法律、法规、规章和政策文件等依据；</w:t>
      </w:r>
    </w:p>
    <w:p w14:paraId="6427B170" w14:textId="77777777" w:rsidR="006E2B29" w:rsidRDefault="00234A02">
      <w:pPr>
        <w:pStyle w:val="ad"/>
        <w:shd w:val="clear" w:color="auto" w:fill="FFFFFF"/>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履行决策相关法定程序的情况，包括</w:t>
      </w:r>
      <w:r>
        <w:rPr>
          <w:rFonts w:ascii="仿宋_GB2312" w:eastAsia="仿宋_GB2312" w:hAnsi="仿宋_GB2312" w:cs="仿宋_GB2312" w:hint="eastAsia"/>
          <w:color w:val="000000" w:themeColor="text1"/>
          <w:sz w:val="32"/>
          <w:szCs w:val="32"/>
        </w:rPr>
        <w:t>公众参与意见及采纳情况、专家论证意见、风险评估报告</w:t>
      </w:r>
      <w:r>
        <w:rPr>
          <w:rFonts w:ascii="仿宋_GB2312" w:eastAsia="仿宋_GB2312" w:hint="eastAsia"/>
          <w:color w:val="000000" w:themeColor="text1"/>
          <w:sz w:val="32"/>
          <w:szCs w:val="32"/>
        </w:rPr>
        <w:t>等材料；</w:t>
      </w:r>
    </w:p>
    <w:p w14:paraId="61CEF66B" w14:textId="77777777" w:rsidR="006E2B29" w:rsidRDefault="00234A02">
      <w:pPr>
        <w:pStyle w:val="ad"/>
        <w:shd w:val="clear" w:color="auto" w:fill="FFFFFF"/>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本单位对决策草案的合法性审查意见；</w:t>
      </w:r>
    </w:p>
    <w:p w14:paraId="5BD053D1" w14:textId="77777777" w:rsidR="006E2B29" w:rsidRDefault="00234A02">
      <w:pPr>
        <w:pStyle w:val="ad"/>
        <w:shd w:val="clear" w:color="auto" w:fill="FFFFFF"/>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审查机构要求的其他材料。</w:t>
      </w:r>
    </w:p>
    <w:p w14:paraId="622C56CF" w14:textId="77777777" w:rsidR="006E2B29" w:rsidRDefault="00234A02">
      <w:pPr>
        <w:pStyle w:val="ad"/>
        <w:spacing w:line="600" w:lineRule="exact"/>
        <w:ind w:firstLine="48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（三）报送区司法局进行合法性审查，应当保证必要的审查时间，一般不少于</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个工作日。合法性审查的内容包括：</w:t>
      </w:r>
    </w:p>
    <w:p w14:paraId="5A0B33E4" w14:textId="77777777" w:rsidR="006E2B29" w:rsidRDefault="00234A02">
      <w:pPr>
        <w:widowControl/>
        <w:spacing w:line="600" w:lineRule="exac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 xml:space="preserve">    1.</w:t>
      </w:r>
      <w:r>
        <w:rPr>
          <w:rFonts w:ascii="仿宋_GB2312" w:eastAsia="仿宋_GB2312" w:hAnsi="Times New Roman" w:cs="Times New Roman" w:hint="eastAsia"/>
          <w:color w:val="000000" w:themeColor="text1"/>
          <w:sz w:val="32"/>
          <w:szCs w:val="32"/>
        </w:rPr>
        <w:t>决策事项是否符合法定权限；</w:t>
      </w:r>
    </w:p>
    <w:p w14:paraId="7AD292DB" w14:textId="77777777" w:rsidR="006E2B29" w:rsidRDefault="00234A02">
      <w:pPr>
        <w:widowControl/>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w:t>
      </w:r>
      <w:r>
        <w:rPr>
          <w:rFonts w:ascii="仿宋_GB2312" w:eastAsia="仿宋_GB2312" w:hAnsi="Times New Roman" w:cs="Times New Roman" w:hint="eastAsia"/>
          <w:color w:val="000000" w:themeColor="text1"/>
          <w:sz w:val="32"/>
          <w:szCs w:val="32"/>
        </w:rPr>
        <w:t>决策草案的形成是否履行相关法定程序；</w:t>
      </w:r>
    </w:p>
    <w:p w14:paraId="7B58E460" w14:textId="77777777" w:rsidR="006E2B29" w:rsidRDefault="00234A02">
      <w:pPr>
        <w:widowControl/>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w:t>
      </w:r>
      <w:r>
        <w:rPr>
          <w:rFonts w:ascii="仿宋_GB2312" w:eastAsia="仿宋_GB2312" w:hAnsi="Times New Roman" w:cs="Times New Roman" w:hint="eastAsia"/>
          <w:color w:val="000000" w:themeColor="text1"/>
          <w:sz w:val="32"/>
          <w:szCs w:val="32"/>
        </w:rPr>
        <w:t>决策草案内容是否符合有关法律、法规、规章和国家政策的规定。</w:t>
      </w:r>
    </w:p>
    <w:p w14:paraId="1C3E2ACB" w14:textId="77777777" w:rsidR="006E2B29" w:rsidRDefault="00234A02">
      <w:pPr>
        <w:pStyle w:val="ad"/>
        <w:shd w:val="clear" w:color="auto" w:fill="FFFFFF"/>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（四）区司法局对决策草案进行合法性审查，出具审查意见。对于审查中出现的重大疑难或专业性较强的问题，可通过邀请相关部门、专家学者和法律顾问、公职律师共同参与研究论证和审查。</w:t>
      </w:r>
    </w:p>
    <w:p w14:paraId="17FC6139" w14:textId="77777777" w:rsidR="006E2B29" w:rsidRDefault="00234A02">
      <w:pPr>
        <w:pStyle w:val="ad"/>
        <w:shd w:val="clear" w:color="auto" w:fill="FFFFFF"/>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第十一条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【提请上会程序】决策承办单位提请区政府</w:t>
      </w:r>
      <w:r>
        <w:rPr>
          <w:rFonts w:ascii="仿宋_GB2312" w:eastAsia="仿宋_GB2312" w:hint="eastAsia"/>
          <w:color w:val="000000" w:themeColor="text1"/>
          <w:sz w:val="32"/>
          <w:szCs w:val="32"/>
        </w:rPr>
        <w:lastRenderedPageBreak/>
        <w:t>审议时应向区政府办公室提交以下材料：</w:t>
      </w:r>
    </w:p>
    <w:p w14:paraId="482A9961" w14:textId="77777777" w:rsidR="006E2B29" w:rsidRDefault="00234A02">
      <w:pPr>
        <w:autoSpaceDE w:val="0"/>
        <w:autoSpaceDN w:val="0"/>
        <w:adjustRightInd w:val="0"/>
        <w:spacing w:line="600" w:lineRule="exact"/>
        <w:ind w:firstLineChars="200" w:firstLine="640"/>
        <w:rPr>
          <w:rFonts w:ascii="仿宋_GB2312" w:eastAsia="仿宋_GB2312" w:cs="仿宋_GB2312"/>
          <w:color w:val="000000" w:themeColor="text1"/>
          <w:kern w:val="0"/>
          <w:sz w:val="32"/>
          <w:szCs w:val="32"/>
        </w:rPr>
      </w:pPr>
      <w:r>
        <w:rPr>
          <w:rFonts w:ascii="仿宋_GB2312" w:eastAsia="仿宋_GB2312" w:hAnsi="Times New Roman" w:cs="Times New Roman" w:hint="eastAsia"/>
          <w:color w:val="000000" w:themeColor="text1"/>
          <w:sz w:val="32"/>
          <w:szCs w:val="32"/>
        </w:rPr>
        <w:t>1</w:t>
      </w:r>
      <w:r>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决策草案及相关材料，</w:t>
      </w:r>
      <w:r>
        <w:rPr>
          <w:rFonts w:ascii="仿宋_GB2312" w:eastAsia="仿宋_GB2312" w:cs="仿宋_GB2312" w:hint="eastAsia"/>
          <w:color w:val="000000" w:themeColor="text1"/>
          <w:kern w:val="0"/>
          <w:sz w:val="32"/>
          <w:szCs w:val="32"/>
        </w:rPr>
        <w:t>决策草案涉及市场主体经济活动的，应当包含公平竞争审查的有关情况</w:t>
      </w:r>
      <w:r>
        <w:rPr>
          <w:rFonts w:ascii="仿宋_GB2312" w:eastAsia="仿宋_GB2312" w:hAnsi="Times New Roman" w:cs="Times New Roman" w:hint="eastAsia"/>
          <w:color w:val="000000" w:themeColor="text1"/>
          <w:sz w:val="32"/>
          <w:szCs w:val="32"/>
        </w:rPr>
        <w:t>；</w:t>
      </w:r>
    </w:p>
    <w:p w14:paraId="254AF7A1" w14:textId="77777777" w:rsidR="006E2B29" w:rsidRDefault="00234A02">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w:t>
      </w:r>
      <w:r>
        <w:rPr>
          <w:rFonts w:ascii="仿宋_GB2312" w:eastAsia="仿宋_GB2312" w:hAnsi="Times New Roman" w:cs="Times New Roman" w:hint="eastAsia"/>
          <w:color w:val="000000" w:themeColor="text1"/>
          <w:sz w:val="32"/>
          <w:szCs w:val="32"/>
        </w:rPr>
        <w:t>履行决策程序的相关材料，包括社会公众提出的主要意见的研究采纳情况、专家论证意见的研究采纳情况、风险评估报告、区司法局的合法性审查意见及对审查意见的采纳情况等；</w:t>
      </w:r>
    </w:p>
    <w:p w14:paraId="480AA9B7" w14:textId="77777777" w:rsidR="006E2B29" w:rsidRDefault="00234A02">
      <w:pPr>
        <w:spacing w:line="60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w:t>
      </w:r>
      <w:r>
        <w:rPr>
          <w:rFonts w:ascii="仿宋_GB2312" w:eastAsia="仿宋_GB2312" w:hAnsi="Times New Roman" w:cs="Times New Roman" w:hint="eastAsia"/>
          <w:color w:val="000000" w:themeColor="text1"/>
          <w:sz w:val="32"/>
          <w:szCs w:val="32"/>
        </w:rPr>
        <w:t>需要报送的其他材料。</w:t>
      </w:r>
    </w:p>
    <w:p w14:paraId="5C1D9D3B" w14:textId="77777777" w:rsidR="006E2B29" w:rsidRDefault="00234A02">
      <w:pPr>
        <w:autoSpaceDE w:val="0"/>
        <w:autoSpaceDN w:val="0"/>
        <w:adjustRightInd w:val="0"/>
        <w:spacing w:line="600" w:lineRule="exact"/>
        <w:ind w:firstLineChars="200" w:firstLine="640"/>
        <w:rPr>
          <w:rFonts w:ascii="仿宋_GB2312" w:eastAsia="仿宋_GB2312" w:cs="黑体"/>
          <w:color w:val="000000" w:themeColor="text1"/>
          <w:kern w:val="0"/>
          <w:sz w:val="32"/>
          <w:szCs w:val="32"/>
        </w:rPr>
      </w:pPr>
      <w:r>
        <w:rPr>
          <w:rFonts w:ascii="仿宋_GB2312" w:eastAsia="仿宋_GB2312" w:hint="eastAsia"/>
          <w:color w:val="000000" w:themeColor="text1"/>
          <w:sz w:val="32"/>
          <w:szCs w:val="32"/>
        </w:rPr>
        <w:t>第十二条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【集体讨论决定】决策草案应当经区政府常务会议或者全体会议讨论</w:t>
      </w:r>
      <w:r>
        <w:rPr>
          <w:rFonts w:ascii="仿宋_GB2312" w:eastAsia="仿宋_GB2312" w:cs="黑体" w:hint="eastAsia"/>
          <w:color w:val="000000" w:themeColor="text1"/>
          <w:kern w:val="0"/>
          <w:sz w:val="32"/>
          <w:szCs w:val="32"/>
        </w:rPr>
        <w:t>。</w:t>
      </w:r>
    </w:p>
    <w:p w14:paraId="7725D2C5" w14:textId="77777777" w:rsidR="006E2B29" w:rsidRDefault="00234A02">
      <w:pPr>
        <w:spacing w:line="600" w:lineRule="exac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 xml:space="preserve">    </w:t>
      </w:r>
      <w:r>
        <w:rPr>
          <w:rFonts w:ascii="仿宋_GB2312" w:eastAsia="仿宋_GB2312" w:hAnsi="Times New Roman" w:cs="Times New Roman" w:hint="eastAsia"/>
          <w:color w:val="000000" w:themeColor="text1"/>
          <w:sz w:val="32"/>
          <w:szCs w:val="32"/>
        </w:rPr>
        <w:t>（一）决策草案议题经区政府领导同意后，提请会议审议。</w:t>
      </w:r>
      <w:r>
        <w:rPr>
          <w:rFonts w:ascii="仿宋_GB2312" w:eastAsia="仿宋_GB2312" w:hint="eastAsia"/>
          <w:color w:val="000000" w:themeColor="text1"/>
          <w:sz w:val="32"/>
          <w:szCs w:val="32"/>
        </w:rPr>
        <w:t>区政府主要负责人在集体讨论、充分听取与会人员意见的基础上，根据具体情况可以</w:t>
      </w:r>
      <w:proofErr w:type="gramStart"/>
      <w:r>
        <w:rPr>
          <w:rFonts w:ascii="仿宋_GB2312" w:eastAsia="仿宋_GB2312" w:hint="eastAsia"/>
          <w:color w:val="000000" w:themeColor="text1"/>
          <w:sz w:val="32"/>
          <w:szCs w:val="32"/>
        </w:rPr>
        <w:t>作出</w:t>
      </w:r>
      <w:proofErr w:type="gramEnd"/>
      <w:r>
        <w:rPr>
          <w:rFonts w:ascii="仿宋_GB2312" w:eastAsia="仿宋_GB2312" w:hint="eastAsia"/>
          <w:color w:val="000000" w:themeColor="text1"/>
          <w:sz w:val="32"/>
          <w:szCs w:val="32"/>
        </w:rPr>
        <w:t>通过、原则通过、再次讨论、不予通过等决定。</w:t>
      </w:r>
    </w:p>
    <w:p w14:paraId="0113D6D1" w14:textId="77777777" w:rsidR="006E2B29" w:rsidRDefault="00234A02">
      <w:pPr>
        <w:autoSpaceDE w:val="0"/>
        <w:autoSpaceDN w:val="0"/>
        <w:adjustRightInd w:val="0"/>
        <w:spacing w:line="600" w:lineRule="exact"/>
        <w:rPr>
          <w:rFonts w:ascii="仿宋_GB2312" w:eastAsia="仿宋_GB2312" w:cs="仿宋_GB2312"/>
          <w:color w:val="000000" w:themeColor="text1"/>
          <w:kern w:val="0"/>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w:t>
      </w:r>
      <w:r>
        <w:rPr>
          <w:rFonts w:ascii="仿宋_GB2312" w:eastAsia="仿宋_GB2312" w:hAnsi="Times New Roman" w:cs="Times New Roman" w:hint="eastAsia"/>
          <w:color w:val="000000" w:themeColor="text1"/>
          <w:sz w:val="32"/>
          <w:szCs w:val="32"/>
        </w:rPr>
        <w:t>二）</w:t>
      </w:r>
      <w:r>
        <w:rPr>
          <w:rFonts w:ascii="仿宋_GB2312" w:eastAsia="仿宋_GB2312" w:cs="仿宋_GB2312" w:hint="eastAsia"/>
          <w:color w:val="000000" w:themeColor="text1"/>
          <w:kern w:val="0"/>
          <w:sz w:val="32"/>
          <w:szCs w:val="32"/>
        </w:rPr>
        <w:t>重大行政决策出台前应当按照规定向区委请示报告。</w:t>
      </w:r>
      <w:r>
        <w:rPr>
          <w:rFonts w:ascii="仿宋_GB2312" w:eastAsia="仿宋_GB2312" w:hAnsi="Times New Roman" w:cs="Times New Roman" w:hint="eastAsia"/>
          <w:color w:val="000000" w:themeColor="text1"/>
          <w:sz w:val="32"/>
          <w:szCs w:val="32"/>
        </w:rPr>
        <w:t>根据法律、法规规定属于区人民代表大会及其常务委员会讨论决定的重大事项范围或者应当在出台前向区人民代表大会常务委员会报告的，按照有关规定办</w:t>
      </w:r>
      <w:r>
        <w:rPr>
          <w:rFonts w:ascii="仿宋_GB2312" w:eastAsia="仿宋_GB2312" w:hint="eastAsia"/>
          <w:color w:val="000000" w:themeColor="text1"/>
          <w:sz w:val="32"/>
          <w:szCs w:val="32"/>
        </w:rPr>
        <w:t>理。</w:t>
      </w:r>
    </w:p>
    <w:p w14:paraId="7124BE27" w14:textId="77777777" w:rsidR="006E2B29" w:rsidRDefault="00234A02">
      <w:pPr>
        <w:spacing w:line="600" w:lineRule="exact"/>
        <w:ind w:firstLine="648"/>
        <w:rPr>
          <w:rFonts w:ascii="仿宋_GB2312" w:eastAsia="仿宋_GB2312"/>
          <w:color w:val="000000" w:themeColor="text1"/>
          <w:sz w:val="32"/>
          <w:szCs w:val="32"/>
        </w:rPr>
      </w:pPr>
      <w:r>
        <w:rPr>
          <w:rFonts w:ascii="仿宋_GB2312" w:eastAsia="仿宋_GB2312" w:hint="eastAsia"/>
          <w:color w:val="000000" w:themeColor="text1"/>
          <w:sz w:val="32"/>
          <w:szCs w:val="32"/>
        </w:rPr>
        <w:t>第十三条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【决策公布和解读】区政府应当通过政府网站、报刊、广播等便于社会公众知晓的方式及时公布决策事项。按照“应解读、尽解读”原则，在决策事项正式公布后</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个工作日内，在区政府网站上公开解读材料。依法不予公开的除外。</w:t>
      </w:r>
    </w:p>
    <w:p w14:paraId="299FE125" w14:textId="77777777" w:rsidR="006E2B29" w:rsidRDefault="00234A02">
      <w:pPr>
        <w:spacing w:line="600" w:lineRule="exact"/>
        <w:ind w:firstLine="648"/>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第十四条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【决策全过程记录】重大行政决策进行全过程记录，决策承办单位将履行决策程序形成的会议纪要，报送的决策程序履行中形成的材料，以及决策执行与后评估产生的资料，及时完整归档，形成决策事项档案。</w:t>
      </w:r>
    </w:p>
    <w:p w14:paraId="758D1AEF"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第十五条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【决策执行】重大行政决策</w:t>
      </w:r>
      <w:proofErr w:type="gramStart"/>
      <w:r>
        <w:rPr>
          <w:rFonts w:ascii="仿宋_GB2312" w:eastAsia="仿宋_GB2312" w:hint="eastAsia"/>
          <w:color w:val="000000" w:themeColor="text1"/>
          <w:sz w:val="32"/>
          <w:szCs w:val="32"/>
        </w:rPr>
        <w:t>作出</w:t>
      </w:r>
      <w:proofErr w:type="gramEnd"/>
      <w:r>
        <w:rPr>
          <w:rFonts w:ascii="仿宋_GB2312" w:eastAsia="仿宋_GB2312" w:hint="eastAsia"/>
          <w:color w:val="000000" w:themeColor="text1"/>
          <w:sz w:val="32"/>
          <w:szCs w:val="32"/>
        </w:rPr>
        <w:t>后，由区政府明确决策执行单位。决策执行单位应当依法全面、及时、正确执行重</w:t>
      </w:r>
      <w:r>
        <w:rPr>
          <w:rFonts w:ascii="仿宋_GB2312" w:eastAsia="仿宋_GB2312" w:hint="eastAsia"/>
          <w:color w:val="000000" w:themeColor="text1"/>
          <w:sz w:val="32"/>
          <w:szCs w:val="32"/>
        </w:rPr>
        <w:t>大行政决策，定期向区政府报告重大行政决策的贯彻落实情况和执行中的主要问题，属于时限性较强或者应急性工作的，应当按照区政府要求及时报告落实情况。</w:t>
      </w:r>
    </w:p>
    <w:p w14:paraId="414F4281"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第十六条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【决策后评估】有下列情形之一的，区政府可以组织决策后评估，并确定承担评估具体工作的单位：</w:t>
      </w:r>
    </w:p>
    <w:p w14:paraId="18B7161F"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（一）重大行政决策实施后明显未达到预期效果的；</w:t>
      </w:r>
    </w:p>
    <w:p w14:paraId="42D87323"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（二）公民、法人或者其他组织提出较多意见的；</w:t>
      </w:r>
    </w:p>
    <w:p w14:paraId="04C5D152"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（三）其他有必要的情形。</w:t>
      </w:r>
    </w:p>
    <w:p w14:paraId="33FBF4D5"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委托社会组织、专业机构等进行决策后评估的，应当选取决策制定过程中未承担主要论证和评估工作的第三方进行。应当注重听取社会公众的意见，吸收人大代表、政协</w:t>
      </w:r>
      <w:r>
        <w:rPr>
          <w:rFonts w:ascii="仿宋_GB2312" w:eastAsia="仿宋_GB2312" w:hint="eastAsia"/>
          <w:color w:val="000000" w:themeColor="text1"/>
          <w:sz w:val="32"/>
          <w:szCs w:val="32"/>
        </w:rPr>
        <w:t>委员、人民团体、基层组织、社会组织参与评估。</w:t>
      </w:r>
    </w:p>
    <w:p w14:paraId="63EC5223"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第十七条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决策的调整和中止】决策执行单位发现重大行政决策存在问题、客观情况发生重大变化或者决策执行中发生不可抗力等严重影响决策目标实现的，应当及时报告决策机关，提出停止执行、暂缓执行或者修正决策的建议。</w:t>
      </w:r>
    </w:p>
    <w:p w14:paraId="7C1802D8"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情况紧急的，区政府主要负责人可以先决定中止执行。</w:t>
      </w:r>
      <w:r>
        <w:rPr>
          <w:rFonts w:ascii="仿宋_GB2312" w:eastAsia="仿宋_GB2312" w:hint="eastAsia"/>
          <w:color w:val="000000" w:themeColor="text1"/>
          <w:sz w:val="32"/>
          <w:szCs w:val="32"/>
        </w:rPr>
        <w:lastRenderedPageBreak/>
        <w:t>区政府对重大行政决策拟作重大调整或者停止执行的，应当依照规定履行相关法定程序。</w:t>
      </w:r>
    </w:p>
    <w:p w14:paraId="40321B85"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第十八条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【法律责任】决策承办单位或者承担决策有关工作的单位未按照本规定履行决策程序或者履行决策程序时失职渎职、弄虚作假的，决策执行</w:t>
      </w:r>
      <w:r>
        <w:rPr>
          <w:rFonts w:ascii="仿宋_GB2312" w:eastAsia="仿宋_GB2312" w:hint="eastAsia"/>
          <w:color w:val="000000" w:themeColor="text1"/>
          <w:sz w:val="32"/>
          <w:szCs w:val="32"/>
        </w:rPr>
        <w:t>单位拒不执行、推诿执行、拖延执行重大行政决策，或者对执行中发现的重大问题瞒报、谎报或者漏报的，由区政府责令改正，对负有责任的领导人员和直接责任人员依法追究责任。</w:t>
      </w:r>
    </w:p>
    <w:p w14:paraId="5D568B51"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承担重大行政决策评估、论证等工作专家、专业机构、社会组织等违反法律法规、职业道德、职业规范造成决策失误的，由责任追究机关予以通报；造成严重后果的，取消评估资格、依法承担法律责任。</w:t>
      </w:r>
    </w:p>
    <w:p w14:paraId="5C2B7FA3"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参与重大行政决策的单位和个人泄露在工作中知悉的国家秘密、商业秘密、个人隐私的，依法追究责任。</w:t>
      </w:r>
    </w:p>
    <w:p w14:paraId="0BCC688F" w14:textId="77777777" w:rsidR="006E2B29" w:rsidRDefault="00234A02">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第十九条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区政府各职能部门和各街</w:t>
      </w:r>
      <w:proofErr w:type="gramStart"/>
      <w:r>
        <w:rPr>
          <w:rFonts w:ascii="仿宋_GB2312" w:eastAsia="仿宋_GB2312" w:hint="eastAsia"/>
          <w:color w:val="000000" w:themeColor="text1"/>
          <w:sz w:val="32"/>
          <w:szCs w:val="32"/>
        </w:rPr>
        <w:t>乡重大</w:t>
      </w:r>
      <w:proofErr w:type="gramEnd"/>
      <w:r>
        <w:rPr>
          <w:rFonts w:ascii="仿宋_GB2312" w:eastAsia="仿宋_GB2312" w:hint="eastAsia"/>
          <w:color w:val="000000" w:themeColor="text1"/>
          <w:sz w:val="32"/>
          <w:szCs w:val="32"/>
        </w:rPr>
        <w:t>行政决策的</w:t>
      </w:r>
      <w:proofErr w:type="gramStart"/>
      <w:r>
        <w:rPr>
          <w:rFonts w:ascii="仿宋_GB2312" w:eastAsia="仿宋_GB2312" w:hint="eastAsia"/>
          <w:color w:val="000000" w:themeColor="text1"/>
          <w:sz w:val="32"/>
          <w:szCs w:val="32"/>
        </w:rPr>
        <w:t>作出</w:t>
      </w:r>
      <w:proofErr w:type="gramEnd"/>
      <w:r>
        <w:rPr>
          <w:rFonts w:ascii="仿宋_GB2312" w:eastAsia="仿宋_GB2312" w:hint="eastAsia"/>
          <w:color w:val="000000" w:themeColor="text1"/>
          <w:sz w:val="32"/>
          <w:szCs w:val="32"/>
        </w:rPr>
        <w:t>和调整，参照本规定执行。</w:t>
      </w:r>
    </w:p>
    <w:p w14:paraId="3BD3EF58" w14:textId="77777777" w:rsidR="006E2B29" w:rsidRDefault="00234A02">
      <w:pPr>
        <w:autoSpaceDE w:val="0"/>
        <w:autoSpaceDN w:val="0"/>
        <w:adjustRightInd w:val="0"/>
        <w:spacing w:line="600" w:lineRule="exact"/>
        <w:ind w:firstLineChars="200" w:firstLine="640"/>
        <w:rPr>
          <w:rFonts w:ascii="仿宋_GB2312" w:eastAsia="仿宋_GB2312" w:cs="黑体"/>
          <w:color w:val="000000" w:themeColor="text1"/>
          <w:kern w:val="0"/>
          <w:sz w:val="32"/>
          <w:szCs w:val="32"/>
        </w:rPr>
      </w:pPr>
      <w:r>
        <w:rPr>
          <w:rFonts w:ascii="仿宋_GB2312" w:eastAsia="仿宋_GB2312" w:hint="eastAsia"/>
          <w:color w:val="000000" w:themeColor="text1"/>
          <w:sz w:val="32"/>
          <w:szCs w:val="32"/>
        </w:rPr>
        <w:t>第二十条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本规定自印发之日起施行。此前有关重大行政决策的相关规定与本规定不一致的</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以本规定为准。</w:t>
      </w:r>
    </w:p>
    <w:p w14:paraId="4C91E20D" w14:textId="77777777" w:rsidR="006E2B29" w:rsidRDefault="006E2B29">
      <w:pPr>
        <w:spacing w:line="600" w:lineRule="exact"/>
        <w:rPr>
          <w:rFonts w:ascii="仿宋_GB2312" w:eastAsia="仿宋_GB2312"/>
          <w:color w:val="000000" w:themeColor="text1"/>
          <w:sz w:val="32"/>
          <w:szCs w:val="32"/>
        </w:rPr>
      </w:pPr>
    </w:p>
    <w:sectPr w:rsidR="006E2B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72D2" w14:textId="77777777" w:rsidR="00234A02" w:rsidRDefault="00234A02">
      <w:r>
        <w:separator/>
      </w:r>
    </w:p>
  </w:endnote>
  <w:endnote w:type="continuationSeparator" w:id="0">
    <w:p w14:paraId="28FFA6FF" w14:textId="77777777" w:rsidR="00234A02" w:rsidRDefault="0023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8392"/>
    </w:sdtPr>
    <w:sdtEndPr/>
    <w:sdtContent>
      <w:p w14:paraId="29B6B6C6" w14:textId="77777777" w:rsidR="006E2B29" w:rsidRDefault="00234A02">
        <w:pPr>
          <w:pStyle w:val="a9"/>
          <w:jc w:val="center"/>
        </w:pPr>
        <w:r>
          <w:fldChar w:fldCharType="begin"/>
        </w:r>
        <w:r>
          <w:instrText>PAGE   \* MERGEFORMAT</w:instrText>
        </w:r>
        <w:r>
          <w:fldChar w:fldCharType="separate"/>
        </w:r>
        <w:r>
          <w:rPr>
            <w:lang w:val="zh-CN"/>
          </w:rPr>
          <w:t>3</w:t>
        </w:r>
        <w:r>
          <w:rPr>
            <w:lang w:val="zh-CN"/>
          </w:rPr>
          <w:fldChar w:fldCharType="end"/>
        </w:r>
      </w:p>
    </w:sdtContent>
  </w:sdt>
  <w:p w14:paraId="618E82F3" w14:textId="77777777" w:rsidR="006E2B29" w:rsidRDefault="006E2B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3742" w14:textId="77777777" w:rsidR="00234A02" w:rsidRDefault="00234A02">
      <w:r>
        <w:separator/>
      </w:r>
    </w:p>
  </w:footnote>
  <w:footnote w:type="continuationSeparator" w:id="0">
    <w:p w14:paraId="7D73920B" w14:textId="77777777" w:rsidR="00234A02" w:rsidRDefault="00234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xZTBkNmVhNmNjNzQ4N2Y1YjFhMmVkYWI2YTliMjEifQ=="/>
  </w:docVars>
  <w:rsids>
    <w:rsidRoot w:val="3DFA0760"/>
    <w:rsid w:val="00010D6B"/>
    <w:rsid w:val="00014746"/>
    <w:rsid w:val="000207A4"/>
    <w:rsid w:val="00020A16"/>
    <w:rsid w:val="000E4AFD"/>
    <w:rsid w:val="00103A4E"/>
    <w:rsid w:val="001072B6"/>
    <w:rsid w:val="001A6682"/>
    <w:rsid w:val="001B6499"/>
    <w:rsid w:val="001C2BD1"/>
    <w:rsid w:val="001C3241"/>
    <w:rsid w:val="001F0DD7"/>
    <w:rsid w:val="001F426F"/>
    <w:rsid w:val="002136A9"/>
    <w:rsid w:val="00234A02"/>
    <w:rsid w:val="002416E5"/>
    <w:rsid w:val="002F0269"/>
    <w:rsid w:val="00300D0F"/>
    <w:rsid w:val="003233C5"/>
    <w:rsid w:val="00340ABC"/>
    <w:rsid w:val="00370187"/>
    <w:rsid w:val="00373650"/>
    <w:rsid w:val="003F20E4"/>
    <w:rsid w:val="00425D7F"/>
    <w:rsid w:val="004816AE"/>
    <w:rsid w:val="004E402C"/>
    <w:rsid w:val="00504A8B"/>
    <w:rsid w:val="005112BB"/>
    <w:rsid w:val="005522C0"/>
    <w:rsid w:val="006A0676"/>
    <w:rsid w:val="006E2B29"/>
    <w:rsid w:val="006E51A4"/>
    <w:rsid w:val="00774DC6"/>
    <w:rsid w:val="00785C24"/>
    <w:rsid w:val="007A1F08"/>
    <w:rsid w:val="007F7FA0"/>
    <w:rsid w:val="00812A95"/>
    <w:rsid w:val="00816B6D"/>
    <w:rsid w:val="00825C07"/>
    <w:rsid w:val="00827EB6"/>
    <w:rsid w:val="00863498"/>
    <w:rsid w:val="00875603"/>
    <w:rsid w:val="008C1BE2"/>
    <w:rsid w:val="008D3457"/>
    <w:rsid w:val="008D34C6"/>
    <w:rsid w:val="008E59DB"/>
    <w:rsid w:val="00933F13"/>
    <w:rsid w:val="009737E6"/>
    <w:rsid w:val="009A4544"/>
    <w:rsid w:val="009E7303"/>
    <w:rsid w:val="009F03D1"/>
    <w:rsid w:val="00A363B3"/>
    <w:rsid w:val="00A86D64"/>
    <w:rsid w:val="00AB2301"/>
    <w:rsid w:val="00AC44E7"/>
    <w:rsid w:val="00B70903"/>
    <w:rsid w:val="00BD35DD"/>
    <w:rsid w:val="00C11AF3"/>
    <w:rsid w:val="00C56C03"/>
    <w:rsid w:val="00CA17B7"/>
    <w:rsid w:val="00D01A1A"/>
    <w:rsid w:val="00D61C2B"/>
    <w:rsid w:val="00D70446"/>
    <w:rsid w:val="00D72D7A"/>
    <w:rsid w:val="00D95FB8"/>
    <w:rsid w:val="00E05F7C"/>
    <w:rsid w:val="00E253D0"/>
    <w:rsid w:val="00E65CD6"/>
    <w:rsid w:val="00F055D3"/>
    <w:rsid w:val="00F84976"/>
    <w:rsid w:val="00F91138"/>
    <w:rsid w:val="00FC5310"/>
    <w:rsid w:val="00FD751E"/>
    <w:rsid w:val="012D2F06"/>
    <w:rsid w:val="014B5687"/>
    <w:rsid w:val="01733280"/>
    <w:rsid w:val="01954757"/>
    <w:rsid w:val="022368D4"/>
    <w:rsid w:val="027B0439"/>
    <w:rsid w:val="028B4564"/>
    <w:rsid w:val="029066B6"/>
    <w:rsid w:val="032C06CB"/>
    <w:rsid w:val="04820E3D"/>
    <w:rsid w:val="048619B4"/>
    <w:rsid w:val="0569240C"/>
    <w:rsid w:val="06094461"/>
    <w:rsid w:val="06821A08"/>
    <w:rsid w:val="06945B29"/>
    <w:rsid w:val="06B34B5E"/>
    <w:rsid w:val="06DC7AC6"/>
    <w:rsid w:val="06F47411"/>
    <w:rsid w:val="0722377A"/>
    <w:rsid w:val="07531837"/>
    <w:rsid w:val="07535DF5"/>
    <w:rsid w:val="077A76B3"/>
    <w:rsid w:val="07910959"/>
    <w:rsid w:val="07BA4FB4"/>
    <w:rsid w:val="07E518D6"/>
    <w:rsid w:val="07E81142"/>
    <w:rsid w:val="08182487"/>
    <w:rsid w:val="082C3F81"/>
    <w:rsid w:val="085805E5"/>
    <w:rsid w:val="08987802"/>
    <w:rsid w:val="08E827CD"/>
    <w:rsid w:val="09025FA6"/>
    <w:rsid w:val="09BD08BE"/>
    <w:rsid w:val="09FE0063"/>
    <w:rsid w:val="0A0C3AFB"/>
    <w:rsid w:val="0A2D1610"/>
    <w:rsid w:val="0AB10A08"/>
    <w:rsid w:val="0B2E4CDB"/>
    <w:rsid w:val="0B5F70F1"/>
    <w:rsid w:val="0B731224"/>
    <w:rsid w:val="0B7D1EB4"/>
    <w:rsid w:val="0B865FE1"/>
    <w:rsid w:val="0BB7240B"/>
    <w:rsid w:val="0BF65FF6"/>
    <w:rsid w:val="0C027718"/>
    <w:rsid w:val="0C79205D"/>
    <w:rsid w:val="0C9B17CD"/>
    <w:rsid w:val="0D2C0E29"/>
    <w:rsid w:val="0DA141BF"/>
    <w:rsid w:val="0DA21730"/>
    <w:rsid w:val="0DEF6B26"/>
    <w:rsid w:val="0DF3702D"/>
    <w:rsid w:val="0E1C1CA4"/>
    <w:rsid w:val="0EA8564E"/>
    <w:rsid w:val="0ECD4AC7"/>
    <w:rsid w:val="0EDF2747"/>
    <w:rsid w:val="0F0617F1"/>
    <w:rsid w:val="111114F7"/>
    <w:rsid w:val="1118717A"/>
    <w:rsid w:val="11400CD1"/>
    <w:rsid w:val="116A6965"/>
    <w:rsid w:val="118B06F0"/>
    <w:rsid w:val="11A256B4"/>
    <w:rsid w:val="12176FBA"/>
    <w:rsid w:val="122D13C9"/>
    <w:rsid w:val="12B42121"/>
    <w:rsid w:val="12D84F9F"/>
    <w:rsid w:val="13276F6E"/>
    <w:rsid w:val="136106DE"/>
    <w:rsid w:val="13832DD3"/>
    <w:rsid w:val="13C0167D"/>
    <w:rsid w:val="13F80E04"/>
    <w:rsid w:val="1498548A"/>
    <w:rsid w:val="14AE4A35"/>
    <w:rsid w:val="1517457C"/>
    <w:rsid w:val="15215A35"/>
    <w:rsid w:val="156F2172"/>
    <w:rsid w:val="15BE72A6"/>
    <w:rsid w:val="15EF44A8"/>
    <w:rsid w:val="172E60BD"/>
    <w:rsid w:val="1761779F"/>
    <w:rsid w:val="183C265B"/>
    <w:rsid w:val="192E1BB1"/>
    <w:rsid w:val="19C2410D"/>
    <w:rsid w:val="1AAB5147"/>
    <w:rsid w:val="1BA970EC"/>
    <w:rsid w:val="1BCD6521"/>
    <w:rsid w:val="1BEA7D73"/>
    <w:rsid w:val="1D0377E3"/>
    <w:rsid w:val="1D971B99"/>
    <w:rsid w:val="1DBD2A62"/>
    <w:rsid w:val="1E75337D"/>
    <w:rsid w:val="1E9250CB"/>
    <w:rsid w:val="1EA646D5"/>
    <w:rsid w:val="1F1D6E63"/>
    <w:rsid w:val="1F4B2F53"/>
    <w:rsid w:val="1F5B14DB"/>
    <w:rsid w:val="1F6170E5"/>
    <w:rsid w:val="1FE05C4B"/>
    <w:rsid w:val="20EF03D8"/>
    <w:rsid w:val="210623D8"/>
    <w:rsid w:val="210D7DE8"/>
    <w:rsid w:val="21272FCE"/>
    <w:rsid w:val="217A5FCD"/>
    <w:rsid w:val="21C82A93"/>
    <w:rsid w:val="22082594"/>
    <w:rsid w:val="22647AC7"/>
    <w:rsid w:val="228858FD"/>
    <w:rsid w:val="23AB12D7"/>
    <w:rsid w:val="23AD441A"/>
    <w:rsid w:val="240510B5"/>
    <w:rsid w:val="24294C46"/>
    <w:rsid w:val="246B6942"/>
    <w:rsid w:val="248A4B6C"/>
    <w:rsid w:val="24B80667"/>
    <w:rsid w:val="24F4093B"/>
    <w:rsid w:val="253365B9"/>
    <w:rsid w:val="25492096"/>
    <w:rsid w:val="255F388F"/>
    <w:rsid w:val="256E2151"/>
    <w:rsid w:val="257F3945"/>
    <w:rsid w:val="25EF6707"/>
    <w:rsid w:val="26044593"/>
    <w:rsid w:val="2657754C"/>
    <w:rsid w:val="273413C0"/>
    <w:rsid w:val="27A22B20"/>
    <w:rsid w:val="27A94886"/>
    <w:rsid w:val="27DE2572"/>
    <w:rsid w:val="28E323AC"/>
    <w:rsid w:val="29044206"/>
    <w:rsid w:val="29114A50"/>
    <w:rsid w:val="2982034B"/>
    <w:rsid w:val="29AC2FC2"/>
    <w:rsid w:val="29E65431"/>
    <w:rsid w:val="2A11049B"/>
    <w:rsid w:val="2A92251C"/>
    <w:rsid w:val="2AE31A48"/>
    <w:rsid w:val="2B345A73"/>
    <w:rsid w:val="2C5B4862"/>
    <w:rsid w:val="2CBA3DBC"/>
    <w:rsid w:val="2CE538F5"/>
    <w:rsid w:val="2D26377F"/>
    <w:rsid w:val="2DA74B3B"/>
    <w:rsid w:val="2F044AD4"/>
    <w:rsid w:val="2FEB12F4"/>
    <w:rsid w:val="301C7401"/>
    <w:rsid w:val="313B7A03"/>
    <w:rsid w:val="318738DF"/>
    <w:rsid w:val="31A9722D"/>
    <w:rsid w:val="31AE018A"/>
    <w:rsid w:val="31D44854"/>
    <w:rsid w:val="31F14366"/>
    <w:rsid w:val="31F25A08"/>
    <w:rsid w:val="324059AE"/>
    <w:rsid w:val="32567D25"/>
    <w:rsid w:val="32957406"/>
    <w:rsid w:val="32A04BD2"/>
    <w:rsid w:val="32B154AC"/>
    <w:rsid w:val="3323728B"/>
    <w:rsid w:val="33245485"/>
    <w:rsid w:val="336A7984"/>
    <w:rsid w:val="338D4A81"/>
    <w:rsid w:val="33C139DA"/>
    <w:rsid w:val="35BE028D"/>
    <w:rsid w:val="35F41810"/>
    <w:rsid w:val="360E5AE8"/>
    <w:rsid w:val="364A6736"/>
    <w:rsid w:val="36705BB0"/>
    <w:rsid w:val="3683228F"/>
    <w:rsid w:val="36847D70"/>
    <w:rsid w:val="369A78DB"/>
    <w:rsid w:val="36C51FC4"/>
    <w:rsid w:val="37173C27"/>
    <w:rsid w:val="37331DD3"/>
    <w:rsid w:val="386C5CEA"/>
    <w:rsid w:val="387765EC"/>
    <w:rsid w:val="388046E3"/>
    <w:rsid w:val="38D7654C"/>
    <w:rsid w:val="39607C40"/>
    <w:rsid w:val="39973522"/>
    <w:rsid w:val="39A423B4"/>
    <w:rsid w:val="3A060CFB"/>
    <w:rsid w:val="3A6A7512"/>
    <w:rsid w:val="3AE10403"/>
    <w:rsid w:val="3AF7736B"/>
    <w:rsid w:val="3B400BE9"/>
    <w:rsid w:val="3B7D1459"/>
    <w:rsid w:val="3C765518"/>
    <w:rsid w:val="3C8152B3"/>
    <w:rsid w:val="3CC97E45"/>
    <w:rsid w:val="3D41746A"/>
    <w:rsid w:val="3D517669"/>
    <w:rsid w:val="3DFA0760"/>
    <w:rsid w:val="3E165488"/>
    <w:rsid w:val="3F000AD6"/>
    <w:rsid w:val="3F267FAC"/>
    <w:rsid w:val="408B4EB0"/>
    <w:rsid w:val="41053DAA"/>
    <w:rsid w:val="412D715B"/>
    <w:rsid w:val="413C0503"/>
    <w:rsid w:val="4192322F"/>
    <w:rsid w:val="41AC4F1F"/>
    <w:rsid w:val="41E17A3E"/>
    <w:rsid w:val="41F6435F"/>
    <w:rsid w:val="427D5637"/>
    <w:rsid w:val="436362C7"/>
    <w:rsid w:val="43757DA7"/>
    <w:rsid w:val="43A27E50"/>
    <w:rsid w:val="43C55654"/>
    <w:rsid w:val="445D307D"/>
    <w:rsid w:val="448E2B15"/>
    <w:rsid w:val="45801842"/>
    <w:rsid w:val="460D5621"/>
    <w:rsid w:val="46F64DCD"/>
    <w:rsid w:val="476130C9"/>
    <w:rsid w:val="48172B0E"/>
    <w:rsid w:val="48701A59"/>
    <w:rsid w:val="48A90154"/>
    <w:rsid w:val="49187778"/>
    <w:rsid w:val="492237C9"/>
    <w:rsid w:val="49990570"/>
    <w:rsid w:val="49ED03B8"/>
    <w:rsid w:val="49FA5569"/>
    <w:rsid w:val="4A1A1473"/>
    <w:rsid w:val="4A707350"/>
    <w:rsid w:val="4AB8660D"/>
    <w:rsid w:val="4B4C384C"/>
    <w:rsid w:val="4B5710CF"/>
    <w:rsid w:val="4B63216D"/>
    <w:rsid w:val="4C413759"/>
    <w:rsid w:val="4CEA66B5"/>
    <w:rsid w:val="4DA81F6D"/>
    <w:rsid w:val="4DE71D77"/>
    <w:rsid w:val="4E187D95"/>
    <w:rsid w:val="4E5237CB"/>
    <w:rsid w:val="4E625E9A"/>
    <w:rsid w:val="4EF16809"/>
    <w:rsid w:val="5007362A"/>
    <w:rsid w:val="51125A17"/>
    <w:rsid w:val="520E3634"/>
    <w:rsid w:val="52104612"/>
    <w:rsid w:val="521E421E"/>
    <w:rsid w:val="52461F65"/>
    <w:rsid w:val="52A36A7C"/>
    <w:rsid w:val="52E41B1C"/>
    <w:rsid w:val="53075086"/>
    <w:rsid w:val="53A76EDB"/>
    <w:rsid w:val="53B836F1"/>
    <w:rsid w:val="53F04519"/>
    <w:rsid w:val="54CD5039"/>
    <w:rsid w:val="55004631"/>
    <w:rsid w:val="55BF5D9F"/>
    <w:rsid w:val="56604075"/>
    <w:rsid w:val="56B028EA"/>
    <w:rsid w:val="56B5707E"/>
    <w:rsid w:val="56DD1862"/>
    <w:rsid w:val="577425CE"/>
    <w:rsid w:val="57841649"/>
    <w:rsid w:val="57AB2395"/>
    <w:rsid w:val="58441266"/>
    <w:rsid w:val="585D29E3"/>
    <w:rsid w:val="589F7E1E"/>
    <w:rsid w:val="58B73B95"/>
    <w:rsid w:val="58D308BB"/>
    <w:rsid w:val="596A5455"/>
    <w:rsid w:val="59DE7D32"/>
    <w:rsid w:val="5A675EEE"/>
    <w:rsid w:val="5AB60A93"/>
    <w:rsid w:val="5AD91D27"/>
    <w:rsid w:val="5AE16FA4"/>
    <w:rsid w:val="5AE81DBF"/>
    <w:rsid w:val="5B4763B9"/>
    <w:rsid w:val="5B8C0999"/>
    <w:rsid w:val="5BA30D3F"/>
    <w:rsid w:val="5BA528F5"/>
    <w:rsid w:val="5BAB6C28"/>
    <w:rsid w:val="5C183DF9"/>
    <w:rsid w:val="5D54350B"/>
    <w:rsid w:val="5DB0593D"/>
    <w:rsid w:val="5E20580B"/>
    <w:rsid w:val="5E4049AF"/>
    <w:rsid w:val="5E7D4177"/>
    <w:rsid w:val="5E8A0DAB"/>
    <w:rsid w:val="5E8E4C61"/>
    <w:rsid w:val="5E924607"/>
    <w:rsid w:val="5EF35111"/>
    <w:rsid w:val="5F892796"/>
    <w:rsid w:val="5F9608B6"/>
    <w:rsid w:val="5FA13D5F"/>
    <w:rsid w:val="60433683"/>
    <w:rsid w:val="61142DA9"/>
    <w:rsid w:val="611B00F5"/>
    <w:rsid w:val="62940B86"/>
    <w:rsid w:val="62A94090"/>
    <w:rsid w:val="63961152"/>
    <w:rsid w:val="64005A67"/>
    <w:rsid w:val="642B5527"/>
    <w:rsid w:val="6431747E"/>
    <w:rsid w:val="643352A8"/>
    <w:rsid w:val="64562F7D"/>
    <w:rsid w:val="646F3970"/>
    <w:rsid w:val="64D86779"/>
    <w:rsid w:val="650F3719"/>
    <w:rsid w:val="66175562"/>
    <w:rsid w:val="669140F0"/>
    <w:rsid w:val="66B31F6E"/>
    <w:rsid w:val="66D05354"/>
    <w:rsid w:val="672A1D36"/>
    <w:rsid w:val="6867324E"/>
    <w:rsid w:val="68E471C8"/>
    <w:rsid w:val="69434899"/>
    <w:rsid w:val="699A24E3"/>
    <w:rsid w:val="69A21F6E"/>
    <w:rsid w:val="6ACE0489"/>
    <w:rsid w:val="6AEC4BE4"/>
    <w:rsid w:val="6AFF10E6"/>
    <w:rsid w:val="6B1B3A6D"/>
    <w:rsid w:val="6B2476E8"/>
    <w:rsid w:val="6B702A36"/>
    <w:rsid w:val="6C0C5B56"/>
    <w:rsid w:val="6CC235D7"/>
    <w:rsid w:val="6CE94F6E"/>
    <w:rsid w:val="6D355AA9"/>
    <w:rsid w:val="6DC52093"/>
    <w:rsid w:val="6DC55D7D"/>
    <w:rsid w:val="6E1D34BC"/>
    <w:rsid w:val="6E9669D7"/>
    <w:rsid w:val="6EDD7C59"/>
    <w:rsid w:val="6F372BED"/>
    <w:rsid w:val="6F4251EC"/>
    <w:rsid w:val="6FD85E6A"/>
    <w:rsid w:val="70435ABC"/>
    <w:rsid w:val="70451345"/>
    <w:rsid w:val="70D26648"/>
    <w:rsid w:val="71163C4D"/>
    <w:rsid w:val="71726416"/>
    <w:rsid w:val="720D6D44"/>
    <w:rsid w:val="72127CEB"/>
    <w:rsid w:val="726933A7"/>
    <w:rsid w:val="727D0112"/>
    <w:rsid w:val="72C05928"/>
    <w:rsid w:val="742E6CC2"/>
    <w:rsid w:val="744476E5"/>
    <w:rsid w:val="74575047"/>
    <w:rsid w:val="74C7647B"/>
    <w:rsid w:val="74EF077F"/>
    <w:rsid w:val="756E37AC"/>
    <w:rsid w:val="75771EDD"/>
    <w:rsid w:val="75AA470D"/>
    <w:rsid w:val="75C72F27"/>
    <w:rsid w:val="75CF0413"/>
    <w:rsid w:val="75FE2ECE"/>
    <w:rsid w:val="76317F59"/>
    <w:rsid w:val="76416AFB"/>
    <w:rsid w:val="774722AC"/>
    <w:rsid w:val="77DF5872"/>
    <w:rsid w:val="780E01FA"/>
    <w:rsid w:val="787B6CA4"/>
    <w:rsid w:val="78B11AD5"/>
    <w:rsid w:val="794B48FF"/>
    <w:rsid w:val="7960363F"/>
    <w:rsid w:val="79A2077C"/>
    <w:rsid w:val="79B34D39"/>
    <w:rsid w:val="79BF304B"/>
    <w:rsid w:val="79F5435C"/>
    <w:rsid w:val="7BE57EFB"/>
    <w:rsid w:val="7C5F7280"/>
    <w:rsid w:val="7C656F19"/>
    <w:rsid w:val="7C830F7F"/>
    <w:rsid w:val="7D7467E8"/>
    <w:rsid w:val="7D952CD1"/>
    <w:rsid w:val="7DFC1D58"/>
    <w:rsid w:val="7E066105"/>
    <w:rsid w:val="7E491835"/>
    <w:rsid w:val="7E4C5E9C"/>
    <w:rsid w:val="7E8C2049"/>
    <w:rsid w:val="7E8D2C52"/>
    <w:rsid w:val="7EEF1D32"/>
    <w:rsid w:val="7F14746E"/>
    <w:rsid w:val="7F22240A"/>
    <w:rsid w:val="7F3D2497"/>
    <w:rsid w:val="7FF6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BC9E9"/>
  <w15:docId w15:val="{F6851A21-8168-41C4-91A8-B8A228BF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Balloon Text"/>
    <w:basedOn w:val="a"/>
    <w:link w:val="a8"/>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d">
    <w:name w:val="Normal (Web)"/>
    <w:basedOn w:val="a"/>
    <w:unhideWhenUsed/>
    <w:qFormat/>
    <w:rPr>
      <w:rFonts w:ascii="Times New Roman" w:hAnsi="Times New Roman" w:cs="Times New Roman"/>
      <w:sz w:val="24"/>
      <w:szCs w:val="24"/>
    </w:rPr>
  </w:style>
  <w:style w:type="character" w:styleId="ae">
    <w:name w:val="annotation reference"/>
    <w:basedOn w:val="a0"/>
    <w:rPr>
      <w:sz w:val="21"/>
      <w:szCs w:val="21"/>
    </w:rPr>
  </w:style>
  <w:style w:type="character" w:customStyle="1" w:styleId="a8">
    <w:name w:val="批注框文本 字符"/>
    <w:basedOn w:val="a0"/>
    <w:link w:val="a7"/>
    <w:rPr>
      <w:rFonts w:asciiTheme="minorHAnsi" w:eastAsiaTheme="minorEastAsia" w:hAnsiTheme="minorHAnsi" w:cstheme="minorBidi"/>
      <w:kern w:val="2"/>
      <w:sz w:val="18"/>
      <w:szCs w:val="18"/>
    </w:rPr>
  </w:style>
  <w:style w:type="character" w:customStyle="1" w:styleId="ac">
    <w:name w:val="页眉 字符"/>
    <w:basedOn w:val="a0"/>
    <w:link w:val="ab"/>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a6">
    <w:name w:val="批注文字 字符"/>
    <w:basedOn w:val="a0"/>
    <w:link w:val="a4"/>
    <w:rPr>
      <w:rFonts w:asciiTheme="minorHAnsi" w:eastAsiaTheme="minorEastAsia" w:hAnsiTheme="minorHAnsi" w:cstheme="minorBidi"/>
      <w:kern w:val="2"/>
      <w:sz w:val="21"/>
      <w:szCs w:val="22"/>
    </w:rPr>
  </w:style>
  <w:style w:type="character" w:customStyle="1" w:styleId="a5">
    <w:name w:val="批注主题 字符"/>
    <w:basedOn w:val="a6"/>
    <w:link w:val="a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673</Words>
  <Characters>3838</Characters>
  <Application>Microsoft Office Word</Application>
  <DocSecurity>0</DocSecurity>
  <Lines>31</Lines>
  <Paragraphs>9</Paragraphs>
  <ScaleCrop>false</ScaleCrop>
  <Company>Lenovo</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dc:creator>
  <cp:lastModifiedBy>DELL</cp:lastModifiedBy>
  <cp:revision>2</cp:revision>
  <dcterms:created xsi:type="dcterms:W3CDTF">2022-06-23T01:35:00Z</dcterms:created>
  <dcterms:modified xsi:type="dcterms:W3CDTF">2022-06-23T01:35:00Z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C69DCC1D812D4396950339AACA9C4FC4</vt:lpwstr>
  </property>
</Properties>
</file>