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before="0" w:beforeAutospacing="0"/>
        <w:jc w:val="center"/>
        <w:rPr>
          <w:sz w:val="32"/>
          <w:szCs w:val="32"/>
        </w:rPr>
      </w:pPr>
      <w:r>
        <w:rPr>
          <w:rStyle w:val="37"/>
          <w:rFonts w:hint="eastAsia" w:ascii="宋体" w:hAnsi="宋体"/>
          <w:sz w:val="32"/>
          <w:szCs w:val="32"/>
          <w:shd w:val="clear" w:color="auto" w:fill="FFFFFF"/>
        </w:rPr>
        <w:t>2021年度部门决算公开</w:t>
      </w:r>
    </w:p>
    <w:p>
      <w:pPr>
        <w:pStyle w:val="24"/>
        <w:jc w:val="center"/>
        <w:rPr>
          <w:rFonts w:hint="eastAsia"/>
          <w:sz w:val="21"/>
          <w:szCs w:val="21"/>
        </w:rPr>
      </w:pPr>
      <w:r>
        <w:rPr>
          <w:rStyle w:val="37"/>
          <w:rFonts w:hint="eastAsia" w:ascii="宋体" w:hAnsi="宋体"/>
          <w:sz w:val="21"/>
          <w:szCs w:val="21"/>
          <w:shd w:val="clear" w:color="auto" w:fill="FFFFFF"/>
        </w:rPr>
        <w:t>目    录</w:t>
      </w:r>
    </w:p>
    <w:p>
      <w:pPr>
        <w:pStyle w:val="24"/>
        <w:spacing w:before="0" w:beforeAutospacing="0"/>
        <w:rPr>
          <w:rFonts w:hint="eastAsia"/>
          <w:sz w:val="21"/>
          <w:szCs w:val="21"/>
        </w:rPr>
      </w:pPr>
      <w:r>
        <w:rPr>
          <w:rFonts w:hint="eastAsia"/>
          <w:sz w:val="21"/>
          <w:szCs w:val="21"/>
          <w:shd w:val="clear" w:color="auto" w:fill="FFFFFF"/>
        </w:rPr>
        <w:t>第一部分 2021年度部门决算报表</w:t>
      </w:r>
    </w:p>
    <w:p>
      <w:pPr>
        <w:pStyle w:val="24"/>
        <w:spacing w:before="0" w:beforeAutospacing="0"/>
        <w:rPr>
          <w:rFonts w:hint="eastAsia"/>
          <w:sz w:val="21"/>
          <w:szCs w:val="21"/>
        </w:rPr>
      </w:pPr>
      <w:r>
        <w:rPr>
          <w:rFonts w:hint="eastAsia"/>
          <w:sz w:val="21"/>
          <w:szCs w:val="21"/>
          <w:shd w:val="clear" w:color="auto" w:fill="FFFFFF"/>
        </w:rPr>
        <w:t>一、收入支出决算总表</w:t>
      </w:r>
    </w:p>
    <w:p>
      <w:pPr>
        <w:pStyle w:val="24"/>
        <w:spacing w:before="0" w:beforeAutospacing="0"/>
        <w:rPr>
          <w:rFonts w:hint="eastAsia"/>
          <w:sz w:val="21"/>
          <w:szCs w:val="21"/>
        </w:rPr>
      </w:pPr>
      <w:r>
        <w:rPr>
          <w:rFonts w:hint="eastAsia"/>
          <w:sz w:val="21"/>
          <w:szCs w:val="21"/>
          <w:shd w:val="clear" w:color="auto" w:fill="FFFFFF"/>
        </w:rPr>
        <w:t>二、收入决算表</w:t>
      </w:r>
    </w:p>
    <w:p>
      <w:pPr>
        <w:pStyle w:val="24"/>
        <w:spacing w:before="0" w:beforeAutospacing="0"/>
        <w:rPr>
          <w:rFonts w:hint="eastAsia"/>
          <w:sz w:val="21"/>
          <w:szCs w:val="21"/>
        </w:rPr>
      </w:pPr>
      <w:r>
        <w:rPr>
          <w:rFonts w:hint="eastAsia"/>
          <w:sz w:val="21"/>
          <w:szCs w:val="21"/>
          <w:shd w:val="clear" w:color="auto" w:fill="FFFFFF"/>
        </w:rPr>
        <w:t>三、支出决算表</w:t>
      </w:r>
    </w:p>
    <w:p>
      <w:pPr>
        <w:pStyle w:val="24"/>
        <w:spacing w:before="0" w:beforeAutospacing="0"/>
        <w:rPr>
          <w:rFonts w:hint="eastAsia"/>
          <w:sz w:val="21"/>
          <w:szCs w:val="21"/>
        </w:rPr>
      </w:pPr>
      <w:r>
        <w:rPr>
          <w:rFonts w:hint="eastAsia"/>
          <w:sz w:val="21"/>
          <w:szCs w:val="21"/>
          <w:shd w:val="clear" w:color="auto" w:fill="FFFFFF"/>
        </w:rPr>
        <w:t>四、财政拨款收入支出决算总表</w:t>
      </w:r>
    </w:p>
    <w:p>
      <w:pPr>
        <w:pStyle w:val="24"/>
        <w:spacing w:before="0" w:beforeAutospacing="0"/>
        <w:rPr>
          <w:rFonts w:hint="eastAsia"/>
          <w:sz w:val="21"/>
          <w:szCs w:val="21"/>
        </w:rPr>
      </w:pPr>
      <w:r>
        <w:rPr>
          <w:rFonts w:hint="eastAsia"/>
          <w:sz w:val="21"/>
          <w:szCs w:val="21"/>
          <w:shd w:val="clear" w:color="auto" w:fill="FFFFFF"/>
        </w:rPr>
        <w:t>五、一般公共预算财政拨款支出决算表</w:t>
      </w:r>
    </w:p>
    <w:p>
      <w:pPr>
        <w:pStyle w:val="24"/>
        <w:spacing w:before="0" w:beforeAutospacing="0"/>
        <w:rPr>
          <w:rFonts w:hint="eastAsia"/>
          <w:sz w:val="21"/>
          <w:szCs w:val="21"/>
        </w:rPr>
      </w:pPr>
      <w:r>
        <w:rPr>
          <w:rFonts w:hint="eastAsia"/>
          <w:sz w:val="21"/>
          <w:szCs w:val="21"/>
          <w:shd w:val="clear" w:color="auto" w:fill="FFFFFF"/>
        </w:rPr>
        <w:t>六、政府性基金预算财政拨款收入支出决算表</w:t>
      </w:r>
    </w:p>
    <w:p>
      <w:pPr>
        <w:pStyle w:val="24"/>
        <w:spacing w:before="0" w:beforeAutospacing="0"/>
        <w:rPr>
          <w:rFonts w:hint="eastAsia"/>
          <w:sz w:val="21"/>
          <w:szCs w:val="21"/>
        </w:rPr>
      </w:pPr>
      <w:r>
        <w:rPr>
          <w:rFonts w:hint="eastAsia"/>
          <w:sz w:val="21"/>
          <w:szCs w:val="21"/>
          <w:shd w:val="clear" w:color="auto" w:fill="FFFFFF"/>
        </w:rPr>
        <w:t>七、财政拨款基本支出经济分类决算表</w:t>
      </w:r>
    </w:p>
    <w:p>
      <w:pPr>
        <w:pStyle w:val="24"/>
        <w:spacing w:before="0" w:beforeAutospacing="0"/>
        <w:rPr>
          <w:rFonts w:hint="eastAsia"/>
          <w:sz w:val="21"/>
          <w:szCs w:val="21"/>
        </w:rPr>
      </w:pPr>
      <w:r>
        <w:rPr>
          <w:rFonts w:hint="eastAsia"/>
          <w:sz w:val="21"/>
          <w:szCs w:val="21"/>
          <w:shd w:val="clear" w:color="auto" w:fill="FFFFFF"/>
        </w:rPr>
        <w:t>八、国有资本经营预算财政拨款支出决算表</w:t>
      </w:r>
    </w:p>
    <w:p>
      <w:pPr>
        <w:pStyle w:val="24"/>
        <w:spacing w:before="0" w:beforeAutospacing="0"/>
        <w:rPr>
          <w:rFonts w:hint="eastAsia"/>
          <w:sz w:val="21"/>
          <w:szCs w:val="21"/>
        </w:rPr>
      </w:pPr>
      <w:r>
        <w:rPr>
          <w:rFonts w:hint="eastAsia"/>
          <w:sz w:val="21"/>
          <w:szCs w:val="21"/>
          <w:shd w:val="clear" w:color="auto" w:fill="FFFFFF"/>
        </w:rPr>
        <w:t>九、财政拨款“三公”经费支出决算表</w:t>
      </w:r>
    </w:p>
    <w:p>
      <w:pPr>
        <w:pStyle w:val="24"/>
        <w:spacing w:before="0" w:beforeAutospacing="0"/>
        <w:rPr>
          <w:rFonts w:hint="eastAsia"/>
          <w:sz w:val="21"/>
          <w:szCs w:val="21"/>
        </w:rPr>
      </w:pPr>
      <w:r>
        <w:rPr>
          <w:rFonts w:hint="eastAsia"/>
          <w:sz w:val="21"/>
          <w:szCs w:val="21"/>
          <w:shd w:val="clear" w:color="auto" w:fill="FFFFFF"/>
        </w:rPr>
        <w:t>十、政府采购情况表</w:t>
      </w:r>
    </w:p>
    <w:p>
      <w:pPr>
        <w:pStyle w:val="24"/>
        <w:spacing w:before="0" w:beforeAutospacing="0"/>
        <w:rPr>
          <w:rFonts w:hint="eastAsia"/>
          <w:sz w:val="21"/>
          <w:szCs w:val="21"/>
        </w:rPr>
      </w:pPr>
      <w:r>
        <w:rPr>
          <w:rFonts w:hint="eastAsia"/>
          <w:sz w:val="21"/>
          <w:szCs w:val="21"/>
          <w:shd w:val="clear" w:color="auto" w:fill="FFFFFF"/>
        </w:rPr>
        <w:t>十一、政府购买服务支出情况表</w:t>
      </w:r>
    </w:p>
    <w:p>
      <w:pPr>
        <w:pStyle w:val="24"/>
        <w:spacing w:before="0" w:beforeAutospacing="0"/>
        <w:rPr>
          <w:rFonts w:hint="eastAsia"/>
          <w:sz w:val="21"/>
          <w:szCs w:val="21"/>
        </w:rPr>
      </w:pPr>
      <w:r>
        <w:rPr>
          <w:rFonts w:hint="eastAsia"/>
          <w:sz w:val="21"/>
          <w:szCs w:val="21"/>
          <w:shd w:val="clear" w:color="auto" w:fill="FFFFFF"/>
        </w:rPr>
        <w:t>第二部分 2021年度部门决算说明</w:t>
      </w:r>
    </w:p>
    <w:p>
      <w:pPr>
        <w:pStyle w:val="24"/>
        <w:spacing w:before="0" w:beforeAutospacing="0"/>
        <w:rPr>
          <w:rFonts w:hint="eastAsia"/>
          <w:sz w:val="21"/>
          <w:szCs w:val="21"/>
        </w:rPr>
      </w:pPr>
      <w:r>
        <w:rPr>
          <w:rFonts w:hint="eastAsia"/>
          <w:sz w:val="21"/>
          <w:szCs w:val="21"/>
          <w:shd w:val="clear" w:color="auto" w:fill="FFFFFF"/>
        </w:rPr>
        <w:t>第三部分 2021年度其他重要事项的情况说明</w:t>
      </w:r>
    </w:p>
    <w:p>
      <w:pPr>
        <w:pStyle w:val="24"/>
        <w:spacing w:before="0" w:beforeAutospacing="0"/>
        <w:rPr>
          <w:rFonts w:hint="eastAsia"/>
          <w:sz w:val="21"/>
          <w:szCs w:val="21"/>
        </w:rPr>
      </w:pPr>
      <w:r>
        <w:rPr>
          <w:rFonts w:hint="eastAsia"/>
          <w:sz w:val="21"/>
          <w:szCs w:val="21"/>
          <w:shd w:val="clear" w:color="auto" w:fill="FFFFFF"/>
        </w:rPr>
        <w:t>第四部分 2021年度部门绩效评价情况</w:t>
      </w:r>
    </w:p>
    <w:p>
      <w:pPr>
        <w:pStyle w:val="24"/>
        <w:spacing w:before="0" w:beforeAutospacing="0"/>
        <w:jc w:val="center"/>
        <w:rPr>
          <w:rFonts w:hint="eastAsia"/>
          <w:sz w:val="21"/>
          <w:szCs w:val="21"/>
        </w:rPr>
      </w:pPr>
      <w:r>
        <w:rPr>
          <w:rStyle w:val="37"/>
          <w:rFonts w:hint="eastAsia" w:ascii="宋体" w:hAnsi="宋体"/>
          <w:sz w:val="21"/>
          <w:szCs w:val="21"/>
          <w:shd w:val="clear" w:color="auto" w:fill="FFFFFF"/>
        </w:rPr>
        <w:t>第一部分 2021年度部门决算报表</w:t>
      </w:r>
    </w:p>
    <w:p>
      <w:pPr>
        <w:pStyle w:val="24"/>
        <w:spacing w:before="0" w:beforeAutospacing="0"/>
        <w:rPr>
          <w:rFonts w:hint="eastAsia"/>
          <w:sz w:val="21"/>
          <w:szCs w:val="21"/>
        </w:rPr>
      </w:pPr>
      <w:r>
        <w:rPr>
          <w:rFonts w:hint="eastAsia"/>
          <w:sz w:val="21"/>
          <w:szCs w:val="21"/>
          <w:shd w:val="clear" w:color="auto" w:fill="FFFFFF"/>
        </w:rPr>
        <w:t xml:space="preserve">    报表详见附件。</w:t>
      </w:r>
    </w:p>
    <w:p>
      <w:pPr>
        <w:pStyle w:val="24"/>
        <w:spacing w:before="0" w:beforeAutospacing="0"/>
        <w:jc w:val="center"/>
        <w:rPr>
          <w:rFonts w:hint="eastAsia"/>
          <w:sz w:val="21"/>
          <w:szCs w:val="21"/>
        </w:rPr>
      </w:pPr>
      <w:r>
        <w:rPr>
          <w:rStyle w:val="37"/>
          <w:rFonts w:hint="eastAsia" w:ascii="宋体" w:hAnsi="宋体"/>
          <w:sz w:val="21"/>
          <w:szCs w:val="21"/>
          <w:shd w:val="clear" w:color="auto" w:fill="FFFFFF"/>
        </w:rPr>
        <w:t>第二部分 2021年度部门决算说明</w:t>
      </w:r>
    </w:p>
    <w:p>
      <w:pPr>
        <w:pStyle w:val="24"/>
        <w:spacing w:before="0" w:beforeAutospacing="0"/>
        <w:jc w:val="center"/>
        <w:rPr>
          <w:rFonts w:hint="eastAsia"/>
          <w:sz w:val="21"/>
          <w:szCs w:val="21"/>
        </w:rPr>
      </w:pPr>
      <w:r>
        <w:rPr>
          <w:rFonts w:hint="eastAsia"/>
          <w:sz w:val="21"/>
          <w:szCs w:val="21"/>
          <w:shd w:val="clear" w:color="auto" w:fill="FFFFFF"/>
        </w:rPr>
        <w:t xml:space="preserve"> </w:t>
      </w:r>
    </w:p>
    <w:p>
      <w:pPr>
        <w:pStyle w:val="24"/>
        <w:numPr>
          <w:ilvl w:val="0"/>
          <w:numId w:val="1"/>
        </w:numPr>
        <w:spacing w:before="0" w:beforeAutospacing="0"/>
        <w:rPr>
          <w:rFonts w:hint="eastAsia"/>
          <w:b/>
          <w:bCs/>
          <w:sz w:val="21"/>
          <w:szCs w:val="21"/>
          <w:shd w:val="clear" w:color="auto" w:fill="FFFFFF"/>
        </w:rPr>
      </w:pPr>
      <w:r>
        <w:rPr>
          <w:rStyle w:val="37"/>
          <w:rFonts w:hint="eastAsia" w:ascii="宋体" w:hAnsi="宋体"/>
          <w:sz w:val="21"/>
          <w:szCs w:val="21"/>
          <w:shd w:val="clear" w:color="auto" w:fill="FFFFFF"/>
        </w:rPr>
        <w:t>部门基本情况</w:t>
      </w:r>
    </w:p>
    <w:p>
      <w:pPr>
        <w:pStyle w:val="24"/>
        <w:numPr>
          <w:ilvl w:val="0"/>
          <w:numId w:val="2"/>
        </w:numPr>
        <w:spacing w:before="0" w:beforeAutospacing="0"/>
        <w:rPr>
          <w:rFonts w:hint="eastAsia"/>
          <w:sz w:val="21"/>
          <w:szCs w:val="21"/>
          <w:shd w:val="clear" w:color="auto" w:fill="FFFFFF"/>
        </w:rPr>
      </w:pPr>
      <w:r>
        <w:rPr>
          <w:rFonts w:hint="eastAsia"/>
          <w:sz w:val="21"/>
          <w:szCs w:val="21"/>
          <w:shd w:val="clear" w:color="auto" w:fill="FFFFFF"/>
        </w:rPr>
        <w:t>机构设置、职责</w:t>
      </w:r>
    </w:p>
    <w:p>
      <w:pPr>
        <w:pStyle w:val="24"/>
        <w:spacing w:before="0" w:beforeAutospacing="0"/>
        <w:ind w:firstLine="420" w:firstLineChars="200"/>
        <w:rPr>
          <w:rFonts w:hint="eastAsia"/>
          <w:sz w:val="21"/>
          <w:szCs w:val="21"/>
          <w:shd w:val="clear" w:color="auto" w:fill="FFFFFF"/>
        </w:rPr>
      </w:pPr>
      <w:r>
        <w:rPr>
          <w:rFonts w:hint="eastAsia"/>
          <w:sz w:val="21"/>
          <w:szCs w:val="21"/>
        </w:rPr>
        <w:t>北</w:t>
      </w:r>
      <w:r>
        <w:rPr>
          <w:rFonts w:hint="eastAsia"/>
          <w:sz w:val="21"/>
          <w:szCs w:val="21"/>
          <w:shd w:val="clear" w:color="auto" w:fill="FFFFFF"/>
        </w:rPr>
        <w:t>京市朝阳区人民政府酒仙桥街道办事处按照朝阳区委、朝阳区编委的三定要求，设行政单位1个，事业单位3个。其中行政单位中设有6个内设机构：综合办公室（统计所）、党群工作办公室（人大街工委办公室）、平安建设办公室（司法所、武装部）、城市管理办公室、社区建设办公室、民生保障办公室；1个监察组：酒仙桥街道纪工委与酒仙桥街道监察组合署办公；1个综合执法队：北京市朝阳区酒仙桥街道综合行政执法队；下属3家正科级事业单位：酒仙桥街道便民服务中心（退役军人服务站）、酒仙桥街道市民活动中心（党群活动中心）、酒仙桥街道市民诉求处置中心（综治中心），均为全额拨款事业单位。</w:t>
      </w:r>
    </w:p>
    <w:p>
      <w:pPr>
        <w:pStyle w:val="24"/>
        <w:spacing w:before="0" w:beforeAutospacing="0"/>
        <w:rPr>
          <w:rFonts w:hint="eastAsia"/>
          <w:sz w:val="21"/>
          <w:szCs w:val="21"/>
          <w:shd w:val="clear" w:color="auto" w:fill="FFFFFF"/>
        </w:rPr>
      </w:pPr>
      <w:r>
        <w:rPr>
          <w:rFonts w:hint="eastAsia"/>
          <w:sz w:val="21"/>
          <w:szCs w:val="21"/>
          <w:shd w:val="clear" w:color="auto" w:fill="FFFFFF"/>
        </w:rPr>
        <w:t xml:space="preserve">   北京市朝阳区人民政府酒仙桥街道办事处：贯彻执行法律、法规、规章和市、区政府的决定、命令，依法管理基层公共事务。承担辖区市容环境卫生、绿化美化的管理工作，推进街巷长、河长制工作，组织、协调城市管理综合执法和环境秩序综合治理工作，推进城市精细化管理。协助依法履行安全生产、消防安全、食品安全、环境保护、劳动保障、流动人口及出租房屋监督管理工作，承担辖区应急、防汛和防灾减灾工作。参与制定并组织实施社区建设规划和公共服务设施规划，组织辖区单位、居民和志愿者队伍为社区发展服务。负责社区居民委员会建设，指导社区居民委员会工作，培育、发展社区社会组织，指导、监督社区业主委员会。推进居民自治，及时处理并向上级政府反映居民的意见和要求。动员社会力量参与社区治理，推动形成社区共治合力。组织开展群众性文化、体育、科普活动，开展法治宣传和社会公德教育，推动社区公益事业发展。组织开展公共服务，落实人力社保、民政、卫生健康、教育、住房保障、便民服务等政策，维护老年人、妇女、未成年人、残疾人等合法权益。承办区政府交办的其他事项。</w:t>
      </w:r>
    </w:p>
    <w:p>
      <w:pPr>
        <w:pStyle w:val="24"/>
        <w:spacing w:before="0" w:beforeAutospacing="0"/>
        <w:rPr>
          <w:rFonts w:hint="eastAsia"/>
          <w:sz w:val="21"/>
          <w:szCs w:val="21"/>
          <w:shd w:val="clear" w:color="auto" w:fill="FFFFFF"/>
        </w:rPr>
      </w:pPr>
      <w:r>
        <w:rPr>
          <w:rFonts w:hint="eastAsia"/>
          <w:sz w:val="21"/>
          <w:szCs w:val="21"/>
        </w:rPr>
        <w:t xml:space="preserve">    </w:t>
      </w:r>
      <w:r>
        <w:rPr>
          <w:rFonts w:hint="eastAsia"/>
          <w:sz w:val="21"/>
          <w:szCs w:val="21"/>
          <w:shd w:val="clear" w:color="auto" w:fill="FFFFFF"/>
        </w:rPr>
        <w:t>酒仙桥街道便民服务中心（退役军人服务站）：承担政务服务、社会保障、住房保障、养老助残以及其他直接面向群众和驻区单位的综合便民服务工作。做好本辖区退役军人服务管理、权益保障、数据信息采集、优抚帮扶等相关事务性工作。</w:t>
      </w:r>
    </w:p>
    <w:p>
      <w:pPr>
        <w:pStyle w:val="24"/>
        <w:spacing w:before="0" w:beforeAutospacing="0"/>
        <w:ind w:firstLine="420" w:firstLineChars="200"/>
        <w:rPr>
          <w:rFonts w:hint="eastAsia"/>
          <w:sz w:val="21"/>
          <w:szCs w:val="21"/>
          <w:shd w:val="clear" w:color="auto" w:fill="FFFFFF"/>
        </w:rPr>
      </w:pPr>
      <w:r>
        <w:rPr>
          <w:rFonts w:hint="eastAsia"/>
          <w:sz w:val="21"/>
          <w:szCs w:val="21"/>
          <w:shd w:val="clear" w:color="auto" w:fill="FFFFFF"/>
        </w:rPr>
        <w:t>酒仙桥街道市民活动中心（党群活动中心）：协调社会服务资源，为辖区居民提供文化、教育、体育等各种便民服务。组织社区开展各类党群文体活动，为辖区党群组织开展活动提供场地支持。承担辖区内基层党组织和群团组织日常事务性工作。协助开展区域化党建、流动党员教育管理、社会组织培育等事务性、辅助性工作。</w:t>
      </w:r>
      <w:r>
        <w:rPr>
          <w:rFonts w:hint="eastAsia"/>
          <w:sz w:val="21"/>
          <w:szCs w:val="21"/>
          <w:shd w:val="clear" w:color="auto" w:fill="FFFFFF"/>
        </w:rPr>
        <w:br w:type="textWrapping"/>
      </w:r>
      <w:r>
        <w:rPr>
          <w:rFonts w:hint="eastAsia"/>
          <w:sz w:val="21"/>
          <w:szCs w:val="21"/>
          <w:shd w:val="clear" w:color="auto" w:fill="FFFFFF"/>
        </w:rPr>
        <w:t xml:space="preserve">    酒仙桥街道市民诉求处置中心（综治中心）：负责街道网格化服务管理信息平台的日常值守、运行管理和监督工作。承担“12345”市政府非紧急救助服务热线及其他各类政府热线、网格化服务管理信息平台、群众来信来访、社区上报等各类事件的统一接收、按责转办、督办落实等工作。负责街道网格化服务管理信息平台的数据统计和案件分析。推进街道、社区各信息系统、基础数据等方面的深度融合，为街道决策提供数据基础。负责配合处置、应对应急突发事件。承担城市管理、综合治理等相关的事务性、辅助性工作。</w:t>
      </w:r>
    </w:p>
    <w:p>
      <w:pPr>
        <w:pStyle w:val="24"/>
        <w:spacing w:before="0" w:beforeAutospacing="0"/>
        <w:ind w:firstLine="420" w:firstLineChars="200"/>
        <w:rPr>
          <w:rFonts w:hint="eastAsia"/>
          <w:sz w:val="21"/>
          <w:szCs w:val="21"/>
        </w:rPr>
      </w:pPr>
      <w:r>
        <w:rPr>
          <w:rFonts w:hint="eastAsia"/>
          <w:sz w:val="21"/>
          <w:szCs w:val="21"/>
          <w:shd w:val="clear" w:color="auto" w:fill="FFFFFF"/>
        </w:rPr>
        <w:t>（二）人员构成情况</w:t>
      </w:r>
    </w:p>
    <w:p>
      <w:pPr>
        <w:pStyle w:val="24"/>
        <w:spacing w:before="0" w:beforeAutospacing="0"/>
        <w:ind w:firstLine="420" w:firstLineChars="200"/>
        <w:rPr>
          <w:rFonts w:hint="eastAsia"/>
          <w:sz w:val="21"/>
          <w:szCs w:val="21"/>
        </w:rPr>
      </w:pPr>
      <w:r>
        <w:rPr>
          <w:rFonts w:hint="eastAsia"/>
          <w:sz w:val="21"/>
          <w:szCs w:val="21"/>
          <w:shd w:val="clear" w:color="auto" w:fill="FFFFFF"/>
        </w:rPr>
        <w:t>行政编制99人，实有人数92人；事业编制47人，实有人数40人。</w:t>
      </w:r>
    </w:p>
    <w:p>
      <w:pPr>
        <w:pStyle w:val="24"/>
        <w:spacing w:before="0" w:beforeAutospacing="0"/>
        <w:rPr>
          <w:rFonts w:hint="eastAsia"/>
          <w:sz w:val="21"/>
          <w:szCs w:val="21"/>
        </w:rPr>
      </w:pPr>
      <w:r>
        <w:rPr>
          <w:rStyle w:val="37"/>
          <w:rFonts w:hint="eastAsia" w:ascii="宋体" w:hAnsi="宋体"/>
          <w:sz w:val="21"/>
          <w:szCs w:val="21"/>
          <w:shd w:val="clear" w:color="auto" w:fill="FFFFFF"/>
        </w:rPr>
        <w:t xml:space="preserve"> 二、收入支出决算总体情况说明</w:t>
      </w:r>
    </w:p>
    <w:p>
      <w:pPr>
        <w:pStyle w:val="24"/>
        <w:spacing w:before="0" w:beforeAutospacing="0"/>
        <w:ind w:firstLine="420" w:firstLineChars="200"/>
        <w:rPr>
          <w:rFonts w:hint="eastAsia"/>
          <w:sz w:val="21"/>
          <w:szCs w:val="21"/>
        </w:rPr>
      </w:pPr>
      <w:r>
        <w:rPr>
          <w:rFonts w:hint="eastAsia"/>
          <w:sz w:val="21"/>
          <w:szCs w:val="21"/>
          <w:shd w:val="clear" w:color="auto" w:fill="FFFFFF"/>
        </w:rPr>
        <w:t>2021年度收、支总计19,147.60万元，比上年减少1,034.05万元，下降5.12%。</w:t>
      </w:r>
    </w:p>
    <w:p>
      <w:pPr>
        <w:pStyle w:val="24"/>
        <w:spacing w:before="0" w:beforeAutospacing="0"/>
        <w:rPr>
          <w:rFonts w:hint="eastAsia"/>
          <w:sz w:val="21"/>
          <w:szCs w:val="21"/>
        </w:rPr>
      </w:pPr>
      <w:r>
        <w:rPr>
          <w:rFonts w:hint="eastAsia"/>
          <w:sz w:val="21"/>
          <w:szCs w:val="21"/>
          <w:shd w:val="clear" w:color="auto" w:fill="FFFFFF"/>
        </w:rPr>
        <w:t>（一）收入决算说明</w:t>
      </w:r>
    </w:p>
    <w:p>
      <w:pPr>
        <w:pStyle w:val="24"/>
        <w:spacing w:before="0" w:beforeAutospacing="0"/>
        <w:rPr>
          <w:rFonts w:hint="eastAsia"/>
          <w:sz w:val="21"/>
          <w:szCs w:val="21"/>
        </w:rPr>
      </w:pPr>
      <w:r>
        <w:rPr>
          <w:rFonts w:hint="eastAsia"/>
          <w:sz w:val="21"/>
          <w:szCs w:val="21"/>
          <w:shd w:val="clear" w:color="auto" w:fill="FFFFFF"/>
        </w:rPr>
        <w:t xml:space="preserve">   2021年度本年收入合计16,686.45万元，比上年增加36.87万元，增长0.22%，其中：财政拨款收入16,591.30万元，占收入合计的99.43%；上级补助收入0.00万元，占收入合计的0.00%；事业收入0.00万元，占收入合计的0.00%；经营收入0.00万元，占收入合计的0.00%；附属单位上缴收入0.00万元，占收入合计的0.00%；其他收入95.15万元，占收入合计的0.57%。</w:t>
      </w:r>
    </w:p>
    <w:p>
      <w:pPr>
        <w:pStyle w:val="24"/>
        <w:spacing w:before="0" w:beforeAutospacing="0"/>
        <w:rPr>
          <w:rFonts w:hint="eastAsia"/>
          <w:sz w:val="21"/>
          <w:szCs w:val="21"/>
        </w:rPr>
      </w:pPr>
      <w:r>
        <w:rPr>
          <w:rFonts w:hint="eastAsia"/>
          <w:sz w:val="21"/>
          <w:szCs w:val="21"/>
          <w:shd w:val="clear" w:color="auto" w:fill="FFFFFF"/>
        </w:rPr>
        <w:t>（二）支出决算说明</w:t>
      </w:r>
    </w:p>
    <w:p>
      <w:pPr>
        <w:pStyle w:val="24"/>
        <w:spacing w:before="0" w:beforeAutospacing="0"/>
        <w:ind w:firstLine="420" w:firstLineChars="200"/>
        <w:rPr>
          <w:rFonts w:hint="eastAsia"/>
          <w:sz w:val="21"/>
          <w:szCs w:val="21"/>
        </w:rPr>
      </w:pPr>
      <w:r>
        <w:rPr>
          <w:rFonts w:hint="eastAsia"/>
          <w:sz w:val="21"/>
          <w:szCs w:val="21"/>
          <w:shd w:val="clear" w:color="auto" w:fill="FFFFFF"/>
        </w:rPr>
        <w:t>2021年度本年支出合计16,788.05万元，比上年减少912.71万元，下降5.16%，其中：基本支出4,646.89万元，占支出合计的27.68%；项目支出12,141.16万元，占支出合计的72.32%;上缴上级支出0.00万元，占支出合计的0.00%；经营支出0.00万元，占支出合计的0.00%；对附属单位补助支出0.00万元，占支出合计的0.00%。</w:t>
      </w:r>
    </w:p>
    <w:p>
      <w:pPr>
        <w:pStyle w:val="24"/>
        <w:spacing w:before="0" w:beforeAutospacing="0"/>
        <w:rPr>
          <w:rFonts w:hint="eastAsia"/>
          <w:sz w:val="21"/>
          <w:szCs w:val="21"/>
        </w:rPr>
      </w:pPr>
      <w:r>
        <w:rPr>
          <w:rStyle w:val="37"/>
          <w:rFonts w:hint="eastAsia" w:ascii="宋体" w:hAnsi="宋体"/>
          <w:sz w:val="21"/>
          <w:szCs w:val="21"/>
          <w:shd w:val="clear" w:color="auto" w:fill="FFFFFF"/>
        </w:rPr>
        <w:t>三、财政拨款收入支出决算总体情况说明</w:t>
      </w:r>
    </w:p>
    <w:p>
      <w:pPr>
        <w:pStyle w:val="24"/>
        <w:spacing w:before="0" w:beforeAutospacing="0"/>
        <w:ind w:firstLine="420" w:firstLineChars="200"/>
        <w:rPr>
          <w:rFonts w:hint="eastAsia"/>
          <w:sz w:val="21"/>
          <w:szCs w:val="21"/>
        </w:rPr>
      </w:pPr>
      <w:r>
        <w:rPr>
          <w:rFonts w:hint="eastAsia"/>
          <w:sz w:val="21"/>
          <w:szCs w:val="21"/>
          <w:shd w:val="clear" w:color="auto" w:fill="FFFFFF"/>
        </w:rPr>
        <w:t>2021年度财政拨款收、支总计18,907.59万元，比上年减少1,026.11万元，下降5.15%。主要原因：为过紧日子，压缩一般公共服务、城乡社区等经费的支出。</w:t>
      </w:r>
    </w:p>
    <w:p>
      <w:pPr>
        <w:pStyle w:val="24"/>
        <w:spacing w:before="0" w:beforeAutospacing="0"/>
        <w:rPr>
          <w:rFonts w:hint="eastAsia"/>
          <w:sz w:val="21"/>
          <w:szCs w:val="21"/>
        </w:rPr>
      </w:pPr>
      <w:r>
        <w:rPr>
          <w:rStyle w:val="37"/>
          <w:rFonts w:hint="eastAsia" w:ascii="宋体" w:hAnsi="宋体"/>
          <w:sz w:val="21"/>
          <w:szCs w:val="21"/>
          <w:shd w:val="clear" w:color="auto" w:fill="FFFFFF"/>
        </w:rPr>
        <w:t>四、一般公共预算财政拨款支出决算情况说明</w:t>
      </w:r>
    </w:p>
    <w:p>
      <w:pPr>
        <w:pStyle w:val="24"/>
        <w:spacing w:before="0" w:beforeAutospacing="0"/>
        <w:rPr>
          <w:rFonts w:hint="eastAsia"/>
          <w:sz w:val="21"/>
          <w:szCs w:val="21"/>
        </w:rPr>
      </w:pPr>
      <w:r>
        <w:rPr>
          <w:rFonts w:hint="eastAsia"/>
          <w:sz w:val="21"/>
          <w:szCs w:val="21"/>
          <w:shd w:val="clear" w:color="auto" w:fill="FFFFFF"/>
        </w:rPr>
        <w:t>（一）一般公共预算财政拨款支出决算总体情况</w:t>
      </w:r>
    </w:p>
    <w:p>
      <w:pPr>
        <w:pStyle w:val="24"/>
        <w:spacing w:before="0" w:beforeAutospacing="0"/>
        <w:rPr>
          <w:rFonts w:hint="eastAsia"/>
          <w:sz w:val="21"/>
          <w:szCs w:val="21"/>
          <w:shd w:val="clear" w:color="auto" w:fill="FFFFFF"/>
        </w:rPr>
      </w:pPr>
      <w:r>
        <w:rPr>
          <w:rFonts w:hint="eastAsia"/>
          <w:sz w:val="21"/>
          <w:szCs w:val="21"/>
          <w:shd w:val="clear" w:color="auto" w:fill="FFFFFF"/>
        </w:rPr>
        <w:t xml:space="preserve">   2021年度一般公共预算财政拨款支出16,578.01万元，主要用于以下方面（按大类）：一般公共服务支出2,439.31万元，占本年财政拨款支出14.71%；国防支出0.00万元，占本年财政拨款支0.00%；公共安全支出633.57万元，占本年财政拨款支出3.82%；教育支出0.22万元，占本年财政拨款支出0.00%；科学技术支出0.00万元，占本年财政拨款支出0.00%；文化旅游体育与传媒支出78.63万元，占本年财政拨款支出0.47%；社会保障和就业支出7,729.84万元，占本年财政拨款支出46.63%；卫生健康支出820.67万元，占本年财政拨款支出4.95%；节能环保支出161.38万元，占本年财政拨款支出0.97%；城乡社区支出4,484.09万元，占本年财政拨款支出27.05%；农林水支出213.06万元，占本年财政拨款支出1.29%；交通运输支出0.00万元，占本年财政拨款支出0.00%；资源勘探信息等支出0.00万元，占本年财政拨款支出0.00%；商业服务业等支出0.00万元，占本年财政拨款支出0.00%；金融支出0.00万元，占本年财政拨款支出0.00%；住房保障支出0.00万元，占本年财政拨款支出0.00%；灾害防治及应急管理支出17.24万元，占本年财政拨款支出0.10%。</w:t>
      </w:r>
    </w:p>
    <w:p>
      <w:pPr>
        <w:pStyle w:val="24"/>
        <w:spacing w:before="0" w:beforeAutospacing="0"/>
        <w:rPr>
          <w:rFonts w:hint="eastAsia"/>
          <w:sz w:val="21"/>
          <w:szCs w:val="21"/>
        </w:rPr>
      </w:pPr>
      <w:r>
        <w:rPr>
          <w:rFonts w:hint="eastAsia"/>
          <w:sz w:val="21"/>
          <w:szCs w:val="21"/>
          <w:shd w:val="clear" w:color="auto" w:fill="FFFFFF"/>
        </w:rPr>
        <w:t>（二）一般公共预算财政拨款支出决算具体情况</w:t>
      </w:r>
    </w:p>
    <w:p>
      <w:pPr>
        <w:pStyle w:val="24"/>
        <w:spacing w:before="0" w:beforeAutospacing="0"/>
        <w:jc w:val="both"/>
        <w:rPr>
          <w:rFonts w:hint="eastAsia"/>
          <w:sz w:val="21"/>
          <w:szCs w:val="21"/>
          <w:shd w:val="clear" w:color="auto" w:fill="FFFFFF"/>
        </w:rPr>
      </w:pPr>
      <w:r>
        <w:rPr>
          <w:rFonts w:hint="eastAsia"/>
          <w:sz w:val="21"/>
          <w:szCs w:val="21"/>
          <w:shd w:val="clear" w:color="auto" w:fill="FFFFFF"/>
        </w:rPr>
        <w:t xml:space="preserve">  1、“一般公共服务支出”（类）2021年度决算2,439.31万元，比2021年年初预算增加360.67万元，增长17.35%。其中：</w:t>
      </w:r>
    </w:p>
    <w:p>
      <w:pPr>
        <w:pStyle w:val="24"/>
        <w:spacing w:before="0" w:beforeAutospacing="0"/>
        <w:jc w:val="both"/>
        <w:rPr>
          <w:rFonts w:hint="eastAsia"/>
          <w:sz w:val="21"/>
          <w:szCs w:val="21"/>
        </w:rPr>
      </w:pPr>
      <w:r>
        <w:rPr>
          <w:rFonts w:hint="eastAsia"/>
          <w:sz w:val="21"/>
          <w:szCs w:val="21"/>
          <w:shd w:val="clear" w:color="auto" w:fill="FFFFFF"/>
        </w:rPr>
        <w:t>“人大事务”（款）2021年度决算38.74万元，比2021年年初预算增加38.74万元，增长100.00%。主要用于人大换届选举经费。</w:t>
      </w:r>
    </w:p>
    <w:p>
      <w:pPr>
        <w:pStyle w:val="24"/>
        <w:spacing w:before="0" w:beforeAutospacing="0"/>
        <w:jc w:val="both"/>
        <w:rPr>
          <w:rFonts w:hint="eastAsia"/>
          <w:sz w:val="21"/>
          <w:szCs w:val="21"/>
          <w:shd w:val="clear" w:color="auto" w:fill="FFFFFF"/>
        </w:rPr>
      </w:pPr>
      <w:r>
        <w:rPr>
          <w:rFonts w:hint="eastAsia"/>
          <w:sz w:val="21"/>
          <w:szCs w:val="21"/>
          <w:shd w:val="clear" w:color="auto" w:fill="FFFFFF"/>
        </w:rPr>
        <w:t>“政府办公厅（室）及相关机构事务”（款）2021年度决算1,930.99万元，比2021年年初预算增加248.39万元，增长14.76%。主要用于：街道办事处（乡政府）的机构正常运转等经费。</w:t>
      </w:r>
    </w:p>
    <w:p>
      <w:pPr>
        <w:pStyle w:val="24"/>
        <w:spacing w:before="0" w:beforeAutospacing="0"/>
        <w:jc w:val="both"/>
        <w:rPr>
          <w:rFonts w:hint="eastAsia"/>
          <w:sz w:val="21"/>
          <w:szCs w:val="21"/>
        </w:rPr>
      </w:pPr>
      <w:r>
        <w:rPr>
          <w:rFonts w:hint="eastAsia"/>
          <w:sz w:val="21"/>
          <w:szCs w:val="21"/>
          <w:shd w:val="clear" w:color="auto" w:fill="FFFFFF"/>
        </w:rPr>
        <w:t>“统计信息事务”（款）2021年度决算114.36万元，比2021年年初预算增加7.62万元，增长7.14%。主要用于主要用于</w:t>
      </w:r>
      <w:r>
        <w:rPr>
          <w:rFonts w:hint="eastAsia"/>
          <w:sz w:val="21"/>
          <w:szCs w:val="21"/>
        </w:rPr>
        <w:t>人口抽样调查和全国经济普查等经费</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“港澳台事务”（款）2021年度决算0.72万元，比2021年年初预算增加0.00万元，增长0.00%。主要用于</w:t>
      </w:r>
      <w:r>
        <w:rPr>
          <w:rFonts w:hint="eastAsia"/>
          <w:sz w:val="21"/>
          <w:szCs w:val="21"/>
        </w:rPr>
        <w:t>侨联事务管理</w:t>
      </w:r>
      <w:r>
        <w:rPr>
          <w:rFonts w:hint="eastAsia"/>
          <w:sz w:val="21"/>
          <w:szCs w:val="21"/>
          <w:shd w:val="clear" w:color="auto" w:fill="FFFFFF"/>
        </w:rPr>
        <w:t>。</w:t>
      </w:r>
    </w:p>
    <w:p>
      <w:pPr>
        <w:pStyle w:val="24"/>
        <w:spacing w:before="0" w:beforeAutospacing="0"/>
        <w:jc w:val="both"/>
        <w:rPr>
          <w:rFonts w:hint="eastAsia"/>
          <w:sz w:val="21"/>
          <w:szCs w:val="21"/>
          <w:shd w:val="clear" w:color="auto" w:fill="FFFFFF"/>
        </w:rPr>
      </w:pPr>
      <w:r>
        <w:rPr>
          <w:rFonts w:hint="eastAsia"/>
          <w:sz w:val="21"/>
          <w:szCs w:val="21"/>
          <w:shd w:val="clear" w:color="auto" w:fill="FFFFFF"/>
        </w:rPr>
        <w:t>“群众团体事务”（款）2021年度决算10.58万元，比2021年年初预算增加2.12万元，增长24.99%。主要用于妇女之家建设、基层团建青少年安全教育等工作经费。</w:t>
      </w:r>
    </w:p>
    <w:p>
      <w:pPr>
        <w:pStyle w:val="24"/>
        <w:spacing w:before="0" w:beforeAutospacing="0"/>
        <w:jc w:val="both"/>
        <w:rPr>
          <w:rFonts w:hint="eastAsia"/>
          <w:sz w:val="21"/>
          <w:szCs w:val="21"/>
        </w:rPr>
      </w:pPr>
      <w:r>
        <w:rPr>
          <w:rFonts w:hint="eastAsia"/>
          <w:sz w:val="21"/>
          <w:szCs w:val="21"/>
          <w:shd w:val="clear" w:color="auto" w:fill="FFFFFF"/>
        </w:rPr>
        <w:t>“组织事务”（款）2021年度决算268.59万元，比2021年年初预算减少0.93万元，下降0.34%。主要用于</w:t>
      </w:r>
      <w:r>
        <w:rPr>
          <w:rFonts w:hint="eastAsia"/>
          <w:sz w:val="21"/>
          <w:szCs w:val="21"/>
        </w:rPr>
        <w:t>基层党组织服务群众经费</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“宣传事务”（款）2021年度决算50.00万元，比2021年年初预算增加50.00万元，增长100.00%。主要用于文明城区宣传、文明环境提升等项目支出。</w:t>
      </w:r>
    </w:p>
    <w:p>
      <w:pPr>
        <w:pStyle w:val="24"/>
        <w:spacing w:before="0" w:beforeAutospacing="0"/>
        <w:jc w:val="both"/>
        <w:rPr>
          <w:rFonts w:hint="eastAsia"/>
          <w:sz w:val="21"/>
          <w:szCs w:val="21"/>
        </w:rPr>
      </w:pPr>
      <w:r>
        <w:rPr>
          <w:rFonts w:hint="eastAsia"/>
          <w:sz w:val="21"/>
          <w:szCs w:val="21"/>
          <w:shd w:val="clear" w:color="auto" w:fill="FFFFFF"/>
        </w:rPr>
        <w:t>“其他共产党事务支出”（款）2021年度决算14.80万元，比2021年年初预算增加14.74万元，增长24,566.67%。主要用于建党周年庆祝活动期间专项工作经费。</w:t>
      </w:r>
    </w:p>
    <w:p>
      <w:pPr>
        <w:pStyle w:val="24"/>
        <w:spacing w:before="0" w:beforeAutospacing="0"/>
        <w:jc w:val="both"/>
        <w:rPr>
          <w:rFonts w:hint="eastAsia"/>
          <w:sz w:val="21"/>
          <w:szCs w:val="21"/>
        </w:rPr>
      </w:pPr>
      <w:r>
        <w:rPr>
          <w:rFonts w:hint="eastAsia"/>
          <w:sz w:val="21"/>
          <w:szCs w:val="21"/>
          <w:shd w:val="clear" w:color="auto" w:fill="FFFFFF"/>
        </w:rPr>
        <w:t>“市场监督管理事务”（款）2021年度决算10.54万元，比2021年年初预算减少0.01万元，下降0.09%。主要用于街乡</w:t>
      </w:r>
      <w:r>
        <w:rPr>
          <w:rFonts w:hint="eastAsia"/>
          <w:sz w:val="21"/>
          <w:szCs w:val="21"/>
        </w:rPr>
        <w:t>食品药品安全工作经费</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2、“公共安全支出”(类)2021年度决算633.57万元，比2021年年初预算增加471.62万元，增长291.22%。其中：</w:t>
      </w:r>
    </w:p>
    <w:p>
      <w:pPr>
        <w:pStyle w:val="24"/>
        <w:spacing w:before="0" w:beforeAutospacing="0"/>
        <w:jc w:val="both"/>
        <w:rPr>
          <w:rFonts w:hint="eastAsia"/>
          <w:sz w:val="21"/>
          <w:szCs w:val="21"/>
        </w:rPr>
      </w:pPr>
      <w:r>
        <w:rPr>
          <w:rFonts w:hint="eastAsia"/>
          <w:sz w:val="21"/>
          <w:szCs w:val="21"/>
          <w:shd w:val="clear" w:color="auto" w:fill="FFFFFF"/>
        </w:rPr>
        <w:t>“公安”（款）2021年度决算13.00万元，比2021年年初预算增加13.00万元，增长100.00%。主要用于民警驻区制经费、警务室及警务车规范化建设等支出。</w:t>
      </w:r>
    </w:p>
    <w:p>
      <w:pPr>
        <w:pStyle w:val="24"/>
        <w:spacing w:before="0" w:beforeAutospacing="0"/>
        <w:jc w:val="both"/>
        <w:rPr>
          <w:rFonts w:hint="eastAsia"/>
          <w:sz w:val="21"/>
          <w:szCs w:val="21"/>
        </w:rPr>
      </w:pPr>
      <w:r>
        <w:rPr>
          <w:rFonts w:hint="eastAsia"/>
          <w:sz w:val="21"/>
          <w:szCs w:val="21"/>
          <w:shd w:val="clear" w:color="auto" w:fill="FFFFFF"/>
        </w:rPr>
        <w:t>“司法”（款）2021年度决算8.60万元，比2021年年初预算增加0.00万元，增长0.00%。主要用于</w:t>
      </w:r>
      <w:r>
        <w:rPr>
          <w:rFonts w:hint="eastAsia"/>
          <w:sz w:val="21"/>
          <w:szCs w:val="21"/>
        </w:rPr>
        <w:t>司法所的机构运转及普法宣传、人民调解等司法工作，根据本部门支出功能定位，按照北京市统一政策发放的司法所人员工资在此科目列示</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“其他公共安全支出”（款）2021年度决算611.97万元，比2021年年初预算增加458.62万元，增长299.08%。主要用于维护社会公共安全方面的支出，根据本部门支出功能定位，街道用于</w:t>
      </w:r>
      <w:r>
        <w:rPr>
          <w:rFonts w:hint="eastAsia"/>
          <w:sz w:val="21"/>
          <w:szCs w:val="21"/>
        </w:rPr>
        <w:t>疫情集中隔离点专项经费、疫苗接种专项有关等经费</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 xml:space="preserve"> 3、“教育支出”（类）2021年度决算0.22万元，比2021年年初预算增加0.22万元，增长100.00%。其中：</w:t>
      </w:r>
    </w:p>
    <w:p>
      <w:pPr>
        <w:pStyle w:val="24"/>
        <w:spacing w:before="0" w:beforeAutospacing="0"/>
        <w:ind w:firstLine="210" w:firstLineChars="100"/>
        <w:jc w:val="both"/>
        <w:rPr>
          <w:rFonts w:hint="eastAsia"/>
          <w:sz w:val="21"/>
          <w:szCs w:val="21"/>
        </w:rPr>
      </w:pPr>
      <w:r>
        <w:rPr>
          <w:rFonts w:hint="eastAsia"/>
          <w:sz w:val="21"/>
          <w:szCs w:val="21"/>
          <w:shd w:val="clear" w:color="auto" w:fill="FFFFFF"/>
        </w:rPr>
        <w:t>“进修及培训”（款）2021年度决算0.22万元，比2021年年初预算增加0.22万元，增长100.00%。主要用于</w:t>
      </w:r>
      <w:r>
        <w:rPr>
          <w:rFonts w:hint="eastAsia"/>
          <w:sz w:val="21"/>
          <w:szCs w:val="21"/>
        </w:rPr>
        <w:t>基层党校教育经费</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 xml:space="preserve"> 4、“文化旅游体育与传媒支出”（类）2021年度决算78.63万元，比2021年年初预算增加69.88万元，增长798.25%。其中：</w:t>
      </w:r>
    </w:p>
    <w:p>
      <w:pPr>
        <w:pStyle w:val="24"/>
        <w:spacing w:before="0" w:beforeAutospacing="0"/>
        <w:jc w:val="both"/>
        <w:rPr>
          <w:rFonts w:hint="eastAsia"/>
          <w:sz w:val="21"/>
          <w:szCs w:val="21"/>
        </w:rPr>
      </w:pPr>
      <w:r>
        <w:rPr>
          <w:rFonts w:hint="eastAsia"/>
          <w:sz w:val="21"/>
          <w:szCs w:val="21"/>
          <w:shd w:val="clear" w:color="auto" w:fill="FFFFFF"/>
        </w:rPr>
        <w:t>“文化和旅游”（款）2021年度决算78.63万元，比2021年年初预算增加69.88万元，增长798.25%。主要用于</w:t>
      </w:r>
      <w:r>
        <w:rPr>
          <w:rFonts w:hint="eastAsia"/>
          <w:sz w:val="21"/>
          <w:szCs w:val="21"/>
        </w:rPr>
        <w:t>社区美术馆、图书馆和文化馆免费开放和各项群众文化活动开展等，根据本部门支出功能定位，按照北京市统一政策发放的文化服务中心职工工资在此科目列示</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5、“社会保障和就业支出”（类）2021年度决算7,729.84万元，比2021年年初预算增加1,543.82万元，增长24.96%。其中：</w:t>
      </w:r>
    </w:p>
    <w:p>
      <w:pPr>
        <w:pStyle w:val="24"/>
        <w:spacing w:before="0" w:beforeAutospacing="0"/>
        <w:jc w:val="both"/>
        <w:rPr>
          <w:rFonts w:hint="eastAsia"/>
          <w:sz w:val="21"/>
          <w:szCs w:val="21"/>
        </w:rPr>
      </w:pPr>
      <w:r>
        <w:rPr>
          <w:rFonts w:hint="eastAsia"/>
          <w:sz w:val="21"/>
          <w:szCs w:val="21"/>
          <w:shd w:val="clear" w:color="auto" w:fill="FFFFFF"/>
        </w:rPr>
        <w:t>“人力资源和社会保障管理事务”（款）2021年度决算535.84万元，比2021年年初预算增加101.94万元，增长23.49%。主要用于：人力资源和社会保障管理事务</w:t>
      </w:r>
      <w:r>
        <w:rPr>
          <w:rFonts w:hint="eastAsia"/>
          <w:sz w:val="21"/>
          <w:szCs w:val="21"/>
        </w:rPr>
        <w:t>机构正常运转等经费</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“民政管理事务”（款）2021年度决算2,437.30万元，比2021年年初预算减少175.76万元，下降6.73%。主要用于</w:t>
      </w:r>
      <w:r>
        <w:rPr>
          <w:rFonts w:hint="eastAsia"/>
          <w:sz w:val="21"/>
          <w:szCs w:val="21"/>
        </w:rPr>
        <w:t>社区机构运转、社区治理、网格化信息建设、公益事业等社区公共服务项目</w:t>
      </w:r>
      <w:r>
        <w:rPr>
          <w:rFonts w:hint="eastAsia"/>
          <w:sz w:val="21"/>
          <w:szCs w:val="21"/>
          <w:shd w:val="clear" w:color="auto" w:fill="FFFFFF"/>
        </w:rPr>
        <w:t>。</w:t>
      </w:r>
    </w:p>
    <w:p>
      <w:pPr>
        <w:pStyle w:val="24"/>
        <w:spacing w:before="0" w:beforeAutospacing="0"/>
        <w:jc w:val="both"/>
        <w:rPr>
          <w:rFonts w:hint="eastAsia"/>
          <w:sz w:val="21"/>
          <w:szCs w:val="21"/>
          <w:shd w:val="clear" w:color="auto" w:fill="FFFFFF"/>
        </w:rPr>
      </w:pPr>
      <w:r>
        <w:rPr>
          <w:rFonts w:hint="eastAsia"/>
          <w:sz w:val="21"/>
          <w:szCs w:val="21"/>
          <w:shd w:val="clear" w:color="auto" w:fill="FFFFFF"/>
        </w:rPr>
        <w:t>“行政事业单位养老支出”（款）2021年度决算519.29万元，比2021年年初预算增加25.09万元，增长5.08%。主要用于根据北京市统一政策发放离退休人员工资、实施养老保险制度由单位缴纳的职业年金和基本养老保险缴费。</w:t>
      </w:r>
    </w:p>
    <w:p>
      <w:pPr>
        <w:pStyle w:val="24"/>
        <w:spacing w:before="0" w:beforeAutospacing="0"/>
        <w:jc w:val="both"/>
        <w:rPr>
          <w:rFonts w:hint="eastAsia"/>
          <w:sz w:val="21"/>
          <w:szCs w:val="21"/>
        </w:rPr>
      </w:pPr>
      <w:r>
        <w:rPr>
          <w:rFonts w:hint="eastAsia"/>
          <w:sz w:val="21"/>
          <w:szCs w:val="21"/>
          <w:shd w:val="clear" w:color="auto" w:fill="FFFFFF"/>
        </w:rPr>
        <w:t>“就业补助”（款）2021年度决算315.01万元，比2021年年初预算增加315.01万元，增长100.00%。主要用于</w:t>
      </w:r>
      <w:r>
        <w:rPr>
          <w:rFonts w:hint="eastAsia"/>
          <w:sz w:val="21"/>
          <w:szCs w:val="21"/>
        </w:rPr>
        <w:t>街乡促进就业工作和公益性就业组织补助经费</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“抚恤”（款）2021年度决算37.58万元，比2021年年初预算增加37.58万元，增长100.00%。主要用于</w:t>
      </w:r>
      <w:r>
        <w:rPr>
          <w:rFonts w:hint="eastAsia"/>
          <w:sz w:val="21"/>
          <w:szCs w:val="21"/>
        </w:rPr>
        <w:t>义务兵优待金等事务</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“社会福利”（款）2021年度决算46.58万元，比2021年年初预算增加41.97万元，增长910.76%。主要用于：</w:t>
      </w:r>
      <w:r>
        <w:rPr>
          <w:rFonts w:hint="eastAsia"/>
          <w:sz w:val="21"/>
          <w:szCs w:val="21"/>
        </w:rPr>
        <w:t>辖区内政策性农转居人员补贴、无丧葬补助居民丧葬补贴、高龄老人补贴、孤儿安置、创新街乡社区养老补助等</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“残疾人事业”（款）2021年度决算118.25万元，比2021年年初预算减少1.04万元，下降0.87%。主要用于</w:t>
      </w:r>
      <w:r>
        <w:rPr>
          <w:rFonts w:hint="eastAsia"/>
          <w:sz w:val="21"/>
          <w:szCs w:val="21"/>
        </w:rPr>
        <w:t>辖区内残疾儿童少年康复和成人职业康复、残疾人各项社保补贴、残疾人温馨家园运转等</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“最低生活保障”（款）2021年度决算52.67万元，比2021年年初预算增加52.67万元，增长100.00%。主要用于</w:t>
      </w:r>
      <w:r>
        <w:rPr>
          <w:rFonts w:hint="eastAsia"/>
          <w:sz w:val="21"/>
          <w:szCs w:val="21"/>
        </w:rPr>
        <w:t>辖区内最低生活保障人员的采暖补贴支出</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“其他生活救助”（款）2021年度决算3.95万元，比2021年年初预算增加3.95万元，增长100.00%。主要用于城乡低收入家庭生活补贴。</w:t>
      </w:r>
    </w:p>
    <w:p>
      <w:pPr>
        <w:pStyle w:val="24"/>
        <w:spacing w:before="0" w:beforeAutospacing="0"/>
        <w:jc w:val="both"/>
        <w:rPr>
          <w:rFonts w:hint="eastAsia"/>
          <w:sz w:val="21"/>
          <w:szCs w:val="21"/>
        </w:rPr>
      </w:pPr>
      <w:r>
        <w:rPr>
          <w:rFonts w:hint="eastAsia"/>
          <w:sz w:val="21"/>
          <w:szCs w:val="21"/>
          <w:shd w:val="clear" w:color="auto" w:fill="FFFFFF"/>
        </w:rPr>
        <w:t>“其他社会保障和就业支出”（款）2021年度决算3,663.36万元，比2021年年初预算增加1,142.41万元，增长45.32%。主要用于</w:t>
      </w:r>
      <w:r>
        <w:rPr>
          <w:rFonts w:hint="eastAsia"/>
          <w:sz w:val="21"/>
          <w:szCs w:val="21"/>
        </w:rPr>
        <w:t>美丽乡村建设、环境提升、为民办实事、基层党组织服务群众等事务</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 xml:space="preserve"> 6、“卫生健康支出”（类）2021年度决算820.67万元，比2021年年初预算增加460.55万元，增长127.89%。其中：</w:t>
      </w:r>
    </w:p>
    <w:p>
      <w:pPr>
        <w:pStyle w:val="24"/>
        <w:spacing w:before="0" w:beforeAutospacing="0"/>
        <w:jc w:val="both"/>
        <w:rPr>
          <w:rFonts w:hint="eastAsia"/>
          <w:sz w:val="21"/>
          <w:szCs w:val="21"/>
        </w:rPr>
      </w:pPr>
      <w:r>
        <w:rPr>
          <w:rFonts w:hint="eastAsia"/>
          <w:sz w:val="21"/>
          <w:szCs w:val="21"/>
          <w:shd w:val="clear" w:color="auto" w:fill="FFFFFF"/>
        </w:rPr>
        <w:t>“计划生育事务”（款）2021年度决算42.48万元，比2021年年初预算增加36.82万元，增长651.25%。主要用于</w:t>
      </w:r>
      <w:r>
        <w:rPr>
          <w:rFonts w:hint="eastAsia"/>
          <w:sz w:val="21"/>
          <w:szCs w:val="21"/>
        </w:rPr>
        <w:t>独生子女父母补助，流动人口计划生育控制和儿童早教工作等</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“行政事业单位医疗”（款）2021年度决算334.04万元，比2021年年初预算增加15.65万元，增长4.91%。主要用于</w:t>
      </w:r>
      <w:r>
        <w:rPr>
          <w:rFonts w:hint="eastAsia"/>
          <w:sz w:val="21"/>
          <w:szCs w:val="21"/>
        </w:rPr>
        <w:t>根据北京市统一政策缴纳人员医疗保险</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“医疗救助”（款）2021年度决算229.41万元，比2021年年初预算增加229.41万元，增长100.00%。主要用于</w:t>
      </w:r>
      <w:r>
        <w:rPr>
          <w:rFonts w:hint="eastAsia"/>
          <w:sz w:val="21"/>
          <w:szCs w:val="21"/>
        </w:rPr>
        <w:t>城乡特困人员（含退离居老积极分子）医疗待遇补助</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“老龄卫生健康事务”（款）2021年度决算0.20万元，比2021年年初预算增加0.20万元，增长100.00%。主要用于孝顺之星榜样。</w:t>
      </w:r>
    </w:p>
    <w:p>
      <w:pPr>
        <w:pStyle w:val="24"/>
        <w:spacing w:before="0" w:beforeAutospacing="0"/>
        <w:jc w:val="both"/>
        <w:rPr>
          <w:rFonts w:hint="eastAsia"/>
          <w:sz w:val="21"/>
          <w:szCs w:val="21"/>
        </w:rPr>
      </w:pPr>
      <w:r>
        <w:rPr>
          <w:rFonts w:hint="eastAsia"/>
          <w:sz w:val="21"/>
          <w:szCs w:val="21"/>
          <w:shd w:val="clear" w:color="auto" w:fill="FFFFFF"/>
        </w:rPr>
        <w:t>“其他卫生健康支出”（款）2021年度决算214.55万元，比2021年年初预算增加178.47万元，增长494.74%。主要用于</w:t>
      </w:r>
      <w:r>
        <w:rPr>
          <w:rFonts w:hint="eastAsia"/>
          <w:sz w:val="21"/>
          <w:szCs w:val="21"/>
        </w:rPr>
        <w:t>街乡病媒消杀、街乡健康教育和国家卫生城区创建工作、严重精神障碍患者监护工作</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 xml:space="preserve"> 7、“节能环保支出”（类）2021年度决算161.38万元，比2021年年初预算增加95.24万元，增长143.99%。其中：</w:t>
      </w:r>
    </w:p>
    <w:p>
      <w:pPr>
        <w:pStyle w:val="24"/>
        <w:spacing w:before="0" w:beforeAutospacing="0"/>
        <w:jc w:val="both"/>
        <w:rPr>
          <w:rFonts w:hint="eastAsia"/>
          <w:sz w:val="21"/>
          <w:szCs w:val="21"/>
        </w:rPr>
      </w:pPr>
      <w:r>
        <w:rPr>
          <w:rFonts w:hint="eastAsia"/>
          <w:sz w:val="21"/>
          <w:szCs w:val="21"/>
          <w:shd w:val="clear" w:color="auto" w:fill="FFFFFF"/>
        </w:rPr>
        <w:t>“污染防治”（款）2021年度决算66.14万元，比2021年年初预算增加0.00万元，增长0.00%。主要用于</w:t>
      </w:r>
      <w:r>
        <w:rPr>
          <w:rFonts w:hint="eastAsia"/>
          <w:sz w:val="21"/>
          <w:szCs w:val="21"/>
        </w:rPr>
        <w:t>地区功能疏解、城乡结合部重点地区环境整治等</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“其他节能环保支出”（款）2021年度决算95.24万元，比2021年年初预算增加95.24万元，增长100.00%。主要用于垃圾分类、宣传制作等项目支出。</w:t>
      </w:r>
    </w:p>
    <w:p>
      <w:pPr>
        <w:pStyle w:val="24"/>
        <w:spacing w:before="0" w:beforeAutospacing="0"/>
        <w:jc w:val="both"/>
        <w:rPr>
          <w:rFonts w:hint="eastAsia"/>
          <w:sz w:val="21"/>
          <w:szCs w:val="21"/>
        </w:rPr>
      </w:pPr>
      <w:r>
        <w:rPr>
          <w:rFonts w:hint="eastAsia"/>
          <w:sz w:val="21"/>
          <w:szCs w:val="21"/>
          <w:shd w:val="clear" w:color="auto" w:fill="FFFFFF"/>
        </w:rPr>
        <w:t xml:space="preserve"> 8、“城乡社区支出”（类）2021年度决算4,484.09万元，比2021年年初预算增加1,385.86万元，增长44.73%。其中：</w:t>
      </w:r>
    </w:p>
    <w:p>
      <w:pPr>
        <w:pStyle w:val="24"/>
        <w:spacing w:before="0" w:beforeAutospacing="0"/>
        <w:jc w:val="both"/>
        <w:rPr>
          <w:rFonts w:hint="eastAsia"/>
          <w:sz w:val="21"/>
          <w:szCs w:val="21"/>
        </w:rPr>
      </w:pPr>
      <w:r>
        <w:rPr>
          <w:rFonts w:hint="eastAsia"/>
          <w:sz w:val="21"/>
          <w:szCs w:val="21"/>
          <w:shd w:val="clear" w:color="auto" w:fill="FFFFFF"/>
        </w:rPr>
        <w:t>“城乡社区管理事务”（款）2021年度决算648.95万元，比2021年年初预算增加80.26万元，增长14.11%。主要用于：城乡社区管理事务</w:t>
      </w:r>
      <w:r>
        <w:rPr>
          <w:rFonts w:hint="eastAsia"/>
          <w:sz w:val="21"/>
          <w:szCs w:val="21"/>
        </w:rPr>
        <w:t>机构正常运转等经费。</w:t>
      </w:r>
    </w:p>
    <w:p>
      <w:pPr>
        <w:pStyle w:val="24"/>
        <w:spacing w:before="0" w:beforeAutospacing="0"/>
        <w:jc w:val="both"/>
        <w:rPr>
          <w:rFonts w:hint="eastAsia"/>
          <w:sz w:val="21"/>
          <w:szCs w:val="21"/>
        </w:rPr>
      </w:pPr>
      <w:r>
        <w:rPr>
          <w:rFonts w:hint="eastAsia"/>
          <w:sz w:val="21"/>
          <w:szCs w:val="21"/>
          <w:shd w:val="clear" w:color="auto" w:fill="FFFFFF"/>
        </w:rPr>
        <w:t>“城乡社区规划与管理”（款）2021年度决算33.47万元，比2021年年初预算减少9.00万元，下降21.19%。主要用于街区责任规划师及职康站运转工作。</w:t>
      </w:r>
    </w:p>
    <w:p>
      <w:pPr>
        <w:pStyle w:val="24"/>
        <w:spacing w:before="0" w:beforeAutospacing="0"/>
        <w:jc w:val="both"/>
        <w:rPr>
          <w:rFonts w:hint="eastAsia"/>
          <w:sz w:val="21"/>
          <w:szCs w:val="21"/>
        </w:rPr>
      </w:pPr>
      <w:r>
        <w:rPr>
          <w:rFonts w:hint="eastAsia"/>
          <w:sz w:val="21"/>
          <w:szCs w:val="21"/>
          <w:shd w:val="clear" w:color="auto" w:fill="FFFFFF"/>
        </w:rPr>
        <w:t>“城乡社区环境卫生”（款）2021年度决算804.08万元，比2021年年初预算增加83.96万元，增长11.66%。主要用于</w:t>
      </w:r>
      <w:r>
        <w:rPr>
          <w:rFonts w:hint="eastAsia"/>
          <w:sz w:val="21"/>
          <w:szCs w:val="21"/>
        </w:rPr>
        <w:t>自管保洁、绿化支出、辖区建筑物层顶牌匾标识规范、优美大街建设、环境整治提升、建设全要素示范小区等工作</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“其他城乡社区支出”（款）2021年度决算2,997.61万元，比2021年年初预算增加1,230.65万元，增长69.65%。主要用于</w:t>
      </w:r>
      <w:r>
        <w:rPr>
          <w:rFonts w:hint="eastAsia"/>
          <w:sz w:val="21"/>
          <w:szCs w:val="21"/>
        </w:rPr>
        <w:t>事业单位机构运转及编外协管员工资支出，为民办实事项目支出、社区公共服务配套设施、垃圾分类、地下室清理等其他辖区事务</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9、“农林水支出”（类）2021年度决算213.06万元，比2021年年初预算增加150.67万元，增长241.53%。其中：</w:t>
      </w:r>
    </w:p>
    <w:p>
      <w:pPr>
        <w:pStyle w:val="24"/>
        <w:spacing w:before="0" w:beforeAutospacing="0"/>
        <w:jc w:val="both"/>
        <w:rPr>
          <w:rFonts w:hint="eastAsia"/>
          <w:sz w:val="21"/>
          <w:szCs w:val="21"/>
        </w:rPr>
      </w:pPr>
      <w:r>
        <w:rPr>
          <w:rFonts w:hint="eastAsia"/>
          <w:sz w:val="21"/>
          <w:szCs w:val="21"/>
          <w:shd w:val="clear" w:color="auto" w:fill="FFFFFF"/>
        </w:rPr>
        <w:t>“水利”（款）2021年度决算16.68万元，比2021年年初预算减少1.32万元，下降7.35%。主要用于</w:t>
      </w:r>
      <w:r>
        <w:rPr>
          <w:rFonts w:hint="eastAsia"/>
          <w:sz w:val="21"/>
          <w:szCs w:val="21"/>
        </w:rPr>
        <w:t>大中型水库后期扶持农转非培训补贴</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“其他农林水支出”（款）2021年度决算196.38万元，比2021年年初预算增加152.00万元，增长342.46%。主要用于</w:t>
      </w:r>
      <w:r>
        <w:rPr>
          <w:rFonts w:hint="eastAsia"/>
          <w:sz w:val="21"/>
          <w:szCs w:val="21"/>
        </w:rPr>
        <w:t>功能疏解、环境整治等</w:t>
      </w:r>
      <w:r>
        <w:rPr>
          <w:rFonts w:hint="eastAsia"/>
          <w:sz w:val="21"/>
          <w:szCs w:val="21"/>
          <w:shd w:val="clear" w:color="auto" w:fill="FFFFFF"/>
        </w:rPr>
        <w:t>。</w:t>
      </w:r>
    </w:p>
    <w:p>
      <w:pPr>
        <w:pStyle w:val="24"/>
        <w:spacing w:before="0" w:beforeAutospacing="0"/>
        <w:jc w:val="both"/>
        <w:rPr>
          <w:rFonts w:hint="eastAsia"/>
          <w:sz w:val="21"/>
          <w:szCs w:val="21"/>
        </w:rPr>
      </w:pPr>
      <w:r>
        <w:rPr>
          <w:rFonts w:hint="eastAsia"/>
          <w:sz w:val="21"/>
          <w:szCs w:val="21"/>
          <w:shd w:val="clear" w:color="auto" w:fill="FFFFFF"/>
        </w:rPr>
        <w:t xml:space="preserve"> 10、“灾害防治及应急管理支出”（类）2021年度决算17.24万元，比2021年年初预算增加12.24万元，增长244.80%。其中：</w:t>
      </w:r>
    </w:p>
    <w:p>
      <w:pPr>
        <w:pStyle w:val="24"/>
        <w:spacing w:before="0" w:beforeAutospacing="0"/>
        <w:jc w:val="both"/>
        <w:rPr>
          <w:rFonts w:hint="eastAsia"/>
          <w:sz w:val="21"/>
          <w:szCs w:val="21"/>
        </w:rPr>
      </w:pPr>
      <w:r>
        <w:rPr>
          <w:rFonts w:hint="eastAsia"/>
          <w:sz w:val="21"/>
          <w:szCs w:val="21"/>
          <w:shd w:val="clear" w:color="auto" w:fill="FFFFFF"/>
        </w:rPr>
        <w:t>“应急管理事务”（款）2021年度决算17.24万元，比2021年年初预算增加12.24万元，增长244.80%。主要用于安全生产责任宣传规划等。</w:t>
      </w:r>
    </w:p>
    <w:p>
      <w:pPr>
        <w:pStyle w:val="24"/>
        <w:spacing w:before="0" w:beforeAutospacing="0"/>
        <w:rPr>
          <w:rFonts w:hint="eastAsia"/>
          <w:sz w:val="21"/>
          <w:szCs w:val="21"/>
        </w:rPr>
      </w:pPr>
      <w:r>
        <w:rPr>
          <w:rStyle w:val="37"/>
          <w:rFonts w:hint="eastAsia" w:ascii="宋体" w:hAnsi="宋体"/>
          <w:sz w:val="21"/>
          <w:szCs w:val="21"/>
          <w:shd w:val="clear" w:color="auto" w:fill="FFFFFF"/>
        </w:rPr>
        <w:t xml:space="preserve"> 五、政府性基金预算财政拨款支出决算情况说明</w:t>
      </w:r>
    </w:p>
    <w:p>
      <w:pPr>
        <w:pStyle w:val="24"/>
        <w:spacing w:before="0" w:beforeAutospacing="0"/>
        <w:rPr>
          <w:rFonts w:hint="eastAsia"/>
          <w:sz w:val="21"/>
          <w:szCs w:val="21"/>
        </w:rPr>
      </w:pPr>
      <w:r>
        <w:rPr>
          <w:rFonts w:hint="eastAsia"/>
          <w:sz w:val="21"/>
          <w:szCs w:val="21"/>
          <w:shd w:val="clear" w:color="auto" w:fill="FFFFFF"/>
        </w:rPr>
        <w:t>（一）政府性基金预算财政拨款支出决算总体情况</w:t>
      </w:r>
    </w:p>
    <w:p>
      <w:pPr>
        <w:pStyle w:val="24"/>
        <w:spacing w:before="0" w:beforeAutospacing="0"/>
        <w:ind w:firstLine="420" w:firstLineChars="200"/>
        <w:rPr>
          <w:rFonts w:hint="eastAsia"/>
          <w:sz w:val="21"/>
          <w:szCs w:val="21"/>
        </w:rPr>
      </w:pPr>
      <w:r>
        <w:rPr>
          <w:rFonts w:hint="eastAsia"/>
          <w:sz w:val="21"/>
          <w:szCs w:val="21"/>
          <w:shd w:val="clear" w:color="auto" w:fill="FFFFFF"/>
        </w:rPr>
        <w:t>2021年度政府性基金预算财政拨款支出12.17万元，主要用于以下方面（按大类）：社会保障和就业支出0.00万元，占本年财政拨款支出0.00%；城乡社区支出0.00万元，占本年财政拨款支出0.00%；其他支出12.17万元，占本年财政拨款支出100.00%；抗疫特别国债安排的支出0.00万元，占本年财政拨款支出0.00%。</w:t>
      </w:r>
    </w:p>
    <w:p>
      <w:pPr>
        <w:pStyle w:val="24"/>
        <w:spacing w:before="0" w:beforeAutospacing="0"/>
        <w:rPr>
          <w:rFonts w:hint="eastAsia"/>
          <w:sz w:val="21"/>
          <w:szCs w:val="21"/>
        </w:rPr>
      </w:pPr>
      <w:r>
        <w:rPr>
          <w:rFonts w:hint="eastAsia"/>
          <w:sz w:val="21"/>
          <w:szCs w:val="21"/>
          <w:shd w:val="clear" w:color="auto" w:fill="FFFFFF"/>
        </w:rPr>
        <w:t>（二）政府性基金预算财政拨款支出决算具体情况</w:t>
      </w:r>
    </w:p>
    <w:p>
      <w:pPr>
        <w:pStyle w:val="24"/>
        <w:spacing w:before="0" w:beforeAutospacing="0"/>
        <w:ind w:firstLine="420" w:firstLineChars="200"/>
        <w:jc w:val="both"/>
        <w:rPr>
          <w:rFonts w:hint="eastAsia"/>
          <w:sz w:val="21"/>
          <w:szCs w:val="21"/>
        </w:rPr>
      </w:pPr>
      <w:r>
        <w:rPr>
          <w:rFonts w:hint="eastAsia"/>
          <w:sz w:val="21"/>
          <w:szCs w:val="21"/>
          <w:shd w:val="clear" w:color="auto" w:fill="FFFFFF"/>
        </w:rPr>
        <w:t>1、“其他支出”（类）2021年度决算12.17万元，比2021年年初预算减少0.03万元，下降0.26%。其中：</w:t>
      </w:r>
    </w:p>
    <w:p>
      <w:pPr>
        <w:pStyle w:val="24"/>
        <w:spacing w:before="0" w:beforeAutospacing="0"/>
        <w:ind w:firstLine="210" w:firstLineChars="100"/>
        <w:jc w:val="both"/>
        <w:rPr>
          <w:rFonts w:hint="eastAsia"/>
          <w:sz w:val="21"/>
          <w:szCs w:val="21"/>
        </w:rPr>
      </w:pPr>
      <w:r>
        <w:rPr>
          <w:rFonts w:hint="eastAsia"/>
          <w:sz w:val="21"/>
          <w:szCs w:val="21"/>
          <w:shd w:val="clear" w:color="auto" w:fill="FFFFFF"/>
        </w:rPr>
        <w:t>“彩票公益金安排的支出”（款）2021年度决算12.17万元，比2021年年初预算减少0.03万元，下降0.26%。主要用于</w:t>
      </w:r>
      <w:r>
        <w:rPr>
          <w:rFonts w:hint="eastAsia"/>
          <w:sz w:val="21"/>
          <w:szCs w:val="21"/>
        </w:rPr>
        <w:t>城乡老年人助餐配餐试点项目等</w:t>
      </w:r>
      <w:r>
        <w:rPr>
          <w:rFonts w:hint="eastAsia"/>
          <w:sz w:val="21"/>
          <w:szCs w:val="21"/>
          <w:shd w:val="clear" w:color="auto" w:fill="FFFFFF"/>
        </w:rPr>
        <w:t>。</w:t>
      </w:r>
    </w:p>
    <w:p>
      <w:pPr>
        <w:pStyle w:val="24"/>
        <w:spacing w:before="0" w:beforeAutospacing="0"/>
        <w:rPr>
          <w:rFonts w:hint="eastAsia"/>
          <w:sz w:val="21"/>
          <w:szCs w:val="21"/>
        </w:rPr>
      </w:pPr>
      <w:r>
        <w:rPr>
          <w:rStyle w:val="37"/>
          <w:rFonts w:hint="eastAsia" w:ascii="宋体" w:hAnsi="宋体"/>
          <w:sz w:val="21"/>
          <w:szCs w:val="21"/>
          <w:shd w:val="clear" w:color="auto" w:fill="FFFFFF"/>
        </w:rPr>
        <w:t>六、国有资本经营预算财政拨款收支情况</w:t>
      </w:r>
    </w:p>
    <w:p>
      <w:pPr>
        <w:pStyle w:val="24"/>
        <w:spacing w:before="0" w:beforeAutospacing="0"/>
        <w:ind w:firstLine="420" w:firstLineChars="200"/>
        <w:rPr>
          <w:rFonts w:hint="eastAsia"/>
          <w:sz w:val="21"/>
          <w:szCs w:val="21"/>
          <w:shd w:val="clear" w:color="auto" w:fill="FFFFFF"/>
        </w:rPr>
      </w:pPr>
      <w:r>
        <w:rPr>
          <w:rFonts w:hint="eastAsia"/>
          <w:sz w:val="21"/>
          <w:szCs w:val="21"/>
          <w:shd w:val="clear" w:color="auto" w:fill="FFFFFF"/>
        </w:rPr>
        <w:t xml:space="preserve">本年度无此项经费    </w:t>
      </w:r>
    </w:p>
    <w:p>
      <w:pPr>
        <w:pStyle w:val="24"/>
        <w:spacing w:before="0" w:beforeAutospacing="0"/>
        <w:rPr>
          <w:rFonts w:hint="eastAsia"/>
          <w:sz w:val="21"/>
          <w:szCs w:val="21"/>
        </w:rPr>
      </w:pPr>
      <w:r>
        <w:rPr>
          <w:rStyle w:val="37"/>
          <w:rFonts w:hint="eastAsia" w:ascii="宋体" w:hAnsi="宋体"/>
          <w:sz w:val="21"/>
          <w:szCs w:val="21"/>
          <w:shd w:val="clear" w:color="auto" w:fill="FFFFFF"/>
        </w:rPr>
        <w:t>七、财政拨款基本支出决算情况说明</w:t>
      </w:r>
    </w:p>
    <w:p>
      <w:pPr>
        <w:pStyle w:val="24"/>
        <w:spacing w:before="0" w:beforeAutospacing="0"/>
        <w:rPr>
          <w:rFonts w:hint="eastAsia"/>
          <w:sz w:val="21"/>
          <w:szCs w:val="21"/>
        </w:rPr>
      </w:pPr>
      <w:r>
        <w:rPr>
          <w:rFonts w:hint="eastAsia"/>
          <w:sz w:val="21"/>
          <w:szCs w:val="21"/>
          <w:shd w:val="clear" w:color="auto" w:fill="FFFFFF"/>
        </w:rPr>
        <w:t xml:space="preserve">   2021年使用一般公共预算财政拨款安排基本支出4,646.89万元，使用政府性基金财政拨款安排基本支出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资本性支出包括办公设备购置、专用设备购置等。</w:t>
      </w:r>
    </w:p>
    <w:p>
      <w:pPr>
        <w:pStyle w:val="24"/>
        <w:spacing w:before="0" w:beforeAutospacing="0"/>
        <w:jc w:val="center"/>
        <w:rPr>
          <w:rFonts w:hint="eastAsia"/>
          <w:sz w:val="21"/>
          <w:szCs w:val="21"/>
        </w:rPr>
      </w:pPr>
      <w:r>
        <w:rPr>
          <w:rStyle w:val="37"/>
          <w:rFonts w:hint="eastAsia" w:ascii="宋体" w:hAnsi="宋体"/>
          <w:sz w:val="21"/>
          <w:szCs w:val="21"/>
          <w:shd w:val="clear" w:color="auto" w:fill="FFFFFF"/>
        </w:rPr>
        <w:t>第三部分2021年度其他重要事项的情况说明</w:t>
      </w:r>
    </w:p>
    <w:p>
      <w:pPr>
        <w:pStyle w:val="24"/>
        <w:spacing w:before="0" w:beforeAutospacing="0"/>
        <w:rPr>
          <w:rFonts w:hint="eastAsia"/>
          <w:sz w:val="21"/>
          <w:szCs w:val="21"/>
        </w:rPr>
      </w:pPr>
      <w:r>
        <w:rPr>
          <w:rStyle w:val="37"/>
          <w:rFonts w:hint="eastAsia" w:ascii="宋体" w:hAnsi="宋体"/>
          <w:sz w:val="21"/>
          <w:szCs w:val="21"/>
          <w:shd w:val="clear" w:color="auto" w:fill="FFFFFF"/>
        </w:rPr>
        <w:t>一、“三公”经费财政拨款决算情况</w:t>
      </w:r>
    </w:p>
    <w:p>
      <w:pPr>
        <w:pStyle w:val="24"/>
        <w:spacing w:before="0" w:beforeAutospacing="0"/>
        <w:ind w:firstLine="420" w:firstLineChars="200"/>
        <w:rPr>
          <w:rFonts w:hint="eastAsia"/>
          <w:sz w:val="21"/>
          <w:szCs w:val="21"/>
        </w:rPr>
      </w:pPr>
      <w:r>
        <w:rPr>
          <w:rFonts w:hint="eastAsia"/>
          <w:sz w:val="21"/>
          <w:szCs w:val="21"/>
          <w:shd w:val="clear" w:color="auto" w:fill="FFFFFF"/>
        </w:rPr>
        <w:t>“三公”经费包括本部门所属1个行政单位、3个事业单位。2021年“三公”经费财政拨款决算数4.20万元，比2021年“三公”经费财政拨款预算12.41万元减少8.21万元。其中：</w:t>
      </w:r>
    </w:p>
    <w:p>
      <w:pPr>
        <w:pStyle w:val="24"/>
        <w:numPr>
          <w:ilvl w:val="0"/>
          <w:numId w:val="3"/>
        </w:numPr>
        <w:spacing w:before="0" w:beforeAutospacing="0"/>
        <w:rPr>
          <w:rFonts w:hint="eastAsia"/>
          <w:sz w:val="21"/>
          <w:szCs w:val="21"/>
          <w:shd w:val="clear" w:color="auto" w:fill="FFFFFF"/>
        </w:rPr>
      </w:pPr>
      <w:r>
        <w:rPr>
          <w:rFonts w:hint="eastAsia"/>
          <w:sz w:val="21"/>
          <w:szCs w:val="21"/>
          <w:shd w:val="clear" w:color="auto" w:fill="FFFFFF"/>
        </w:rPr>
        <w:t>因公出国（境）费用。2021年决算数0.00万元，比2021年年初预算数0.00万元增加0.00万元。</w:t>
      </w:r>
    </w:p>
    <w:p>
      <w:pPr>
        <w:pStyle w:val="24"/>
        <w:numPr>
          <w:ilvl w:val="0"/>
          <w:numId w:val="3"/>
        </w:numPr>
        <w:spacing w:before="0" w:beforeAutospacing="0"/>
        <w:rPr>
          <w:rFonts w:hint="eastAsia"/>
          <w:sz w:val="21"/>
          <w:szCs w:val="21"/>
        </w:rPr>
      </w:pPr>
      <w:r>
        <w:rPr>
          <w:rFonts w:hint="eastAsia"/>
          <w:sz w:val="21"/>
          <w:szCs w:val="21"/>
          <w:shd w:val="clear" w:color="auto" w:fill="FFFFFF"/>
        </w:rPr>
        <w:t>公务接待费。2021年决算数0.00万元，比2021年年初预算数1.54万元减少1.54万元。主要原因：</w:t>
      </w:r>
      <w:r>
        <w:rPr>
          <w:rFonts w:hint="eastAsia"/>
          <w:sz w:val="21"/>
          <w:szCs w:val="21"/>
        </w:rPr>
        <w:t>严格贯彻执行中央八项规定，坚持厉行节约、压缩公务接待费。公务接待0批次，公务接待0人次</w:t>
      </w:r>
      <w:r>
        <w:rPr>
          <w:rFonts w:hint="eastAsia"/>
          <w:sz w:val="21"/>
          <w:szCs w:val="21"/>
          <w:shd w:val="clear" w:color="auto" w:fill="FFFFFF"/>
        </w:rPr>
        <w:t>。</w:t>
      </w:r>
    </w:p>
    <w:p>
      <w:pPr>
        <w:pStyle w:val="24"/>
        <w:numPr>
          <w:ilvl w:val="0"/>
          <w:numId w:val="3"/>
        </w:numPr>
        <w:spacing w:before="0" w:beforeAutospacing="0"/>
        <w:rPr>
          <w:rFonts w:hint="eastAsia"/>
          <w:sz w:val="21"/>
          <w:szCs w:val="21"/>
        </w:rPr>
      </w:pPr>
      <w:r>
        <w:rPr>
          <w:rFonts w:hint="eastAsia"/>
          <w:sz w:val="21"/>
          <w:szCs w:val="21"/>
          <w:shd w:val="clear" w:color="auto" w:fill="FFFFFF"/>
        </w:rPr>
        <w:t>公务用车购置及运行维护费。2021年决算数4.20万元，比2021年年初预算数10.87万元减少6.67万元。其中，公务用车购置费2021年决算数0.00万元，比2021年年初预算数0.00万元增加0.00万元。2021年购置（更新）0辆，车均购置费0.00万元。公务用车运行维护费2021年决算数4.20万元，比2021年年初预算数10.87万元减少6.67万元，主要原因：</w:t>
      </w:r>
      <w:r>
        <w:rPr>
          <w:rFonts w:hint="eastAsia"/>
          <w:sz w:val="21"/>
          <w:szCs w:val="21"/>
        </w:rPr>
        <w:t>严格贯彻执行中央八项规定和《党政机关厉行节约反对浪费条例》精神，压缩车辆燃油费、维修费、车辆杂费等车辆运行费用</w:t>
      </w:r>
      <w:r>
        <w:rPr>
          <w:rFonts w:hint="eastAsia"/>
          <w:sz w:val="21"/>
          <w:szCs w:val="21"/>
          <w:shd w:val="clear" w:color="auto" w:fill="FFFFFF"/>
        </w:rPr>
        <w:t>。2021年公务用车保有量12辆，车均运行维护费0.35万元。</w:t>
      </w:r>
    </w:p>
    <w:p>
      <w:pPr>
        <w:pStyle w:val="24"/>
        <w:spacing w:before="0" w:beforeAutospacing="0"/>
        <w:rPr>
          <w:rFonts w:hint="eastAsia"/>
          <w:sz w:val="21"/>
          <w:szCs w:val="21"/>
        </w:rPr>
      </w:pPr>
      <w:r>
        <w:rPr>
          <w:rStyle w:val="37"/>
          <w:rFonts w:hint="eastAsia" w:ascii="宋体" w:hAnsi="宋体"/>
          <w:sz w:val="21"/>
          <w:szCs w:val="21"/>
          <w:shd w:val="clear" w:color="auto" w:fill="FFFFFF"/>
        </w:rPr>
        <w:t>二、机关运行经费支出情况</w:t>
      </w:r>
    </w:p>
    <w:p>
      <w:pPr>
        <w:pStyle w:val="24"/>
        <w:spacing w:before="0" w:beforeAutospacing="0"/>
        <w:rPr>
          <w:rFonts w:hint="eastAsia"/>
          <w:sz w:val="21"/>
          <w:szCs w:val="21"/>
        </w:rPr>
      </w:pPr>
      <w:r>
        <w:rPr>
          <w:rFonts w:hint="eastAsia"/>
          <w:sz w:val="21"/>
          <w:szCs w:val="21"/>
          <w:shd w:val="clear" w:color="auto" w:fill="FFFFFF"/>
        </w:rPr>
        <w:t>2021年使用一般公共预算财政拨款安排的日常公用经费支出，合计268.77万元。</w:t>
      </w:r>
    </w:p>
    <w:p>
      <w:pPr>
        <w:pStyle w:val="24"/>
        <w:spacing w:before="0" w:beforeAutospacing="0"/>
        <w:rPr>
          <w:rFonts w:hint="eastAsia"/>
          <w:sz w:val="21"/>
          <w:szCs w:val="21"/>
        </w:rPr>
      </w:pPr>
      <w:r>
        <w:rPr>
          <w:rStyle w:val="37"/>
          <w:rFonts w:hint="eastAsia" w:ascii="宋体" w:hAnsi="宋体"/>
          <w:sz w:val="21"/>
          <w:szCs w:val="21"/>
          <w:shd w:val="clear" w:color="auto" w:fill="FFFFFF"/>
        </w:rPr>
        <w:t>三、政府采购支出情况</w:t>
      </w:r>
    </w:p>
    <w:p>
      <w:pPr>
        <w:pStyle w:val="24"/>
        <w:spacing w:before="0" w:beforeAutospacing="0"/>
        <w:rPr>
          <w:rFonts w:hint="eastAsia"/>
          <w:sz w:val="21"/>
          <w:szCs w:val="21"/>
        </w:rPr>
      </w:pPr>
      <w:r>
        <w:rPr>
          <w:rFonts w:hint="eastAsia"/>
          <w:sz w:val="21"/>
          <w:szCs w:val="21"/>
          <w:shd w:val="clear" w:color="auto" w:fill="FFFFFF"/>
        </w:rPr>
        <w:t>2021年政府采购支出总额105.27万元，其中：政府采购货物支出84.13万元，政府采购工程支出0.00万元，政府采购服务支出21.14万元。授予中小企业合同金额105.27万元，占政府采购支出总额的100.00%，其中：授予小微企业合同金额49.67万元，占政府采购支出总额的47.18%。</w:t>
      </w:r>
    </w:p>
    <w:p>
      <w:pPr>
        <w:pStyle w:val="24"/>
        <w:spacing w:before="0" w:beforeAutospacing="0"/>
        <w:rPr>
          <w:rFonts w:hint="eastAsia"/>
          <w:sz w:val="21"/>
          <w:szCs w:val="21"/>
        </w:rPr>
      </w:pPr>
      <w:r>
        <w:rPr>
          <w:rStyle w:val="37"/>
          <w:rFonts w:hint="eastAsia" w:ascii="宋体" w:hAnsi="宋体"/>
          <w:sz w:val="21"/>
          <w:szCs w:val="21"/>
          <w:shd w:val="clear" w:color="auto" w:fill="FFFFFF"/>
        </w:rPr>
        <w:t>四、国有资产占用情况</w:t>
      </w:r>
    </w:p>
    <w:p>
      <w:pPr>
        <w:pStyle w:val="24"/>
        <w:spacing w:before="0" w:beforeAutospacing="0"/>
        <w:rPr>
          <w:rFonts w:hint="eastAsia"/>
          <w:sz w:val="21"/>
          <w:szCs w:val="21"/>
        </w:rPr>
      </w:pPr>
      <w:r>
        <w:rPr>
          <w:rFonts w:hint="eastAsia"/>
          <w:sz w:val="21"/>
          <w:szCs w:val="21"/>
          <w:shd w:val="clear" w:color="auto" w:fill="FFFFFF"/>
        </w:rPr>
        <w:t>2021年车辆12台，157.71万元；单位价值50万元以上的通用设备0台（套），单位价值100万元以上的专用设备0台（套）。</w:t>
      </w:r>
    </w:p>
    <w:p>
      <w:pPr>
        <w:pStyle w:val="24"/>
        <w:spacing w:before="0" w:beforeAutospacing="0"/>
        <w:rPr>
          <w:rFonts w:hint="eastAsia"/>
          <w:sz w:val="21"/>
          <w:szCs w:val="21"/>
        </w:rPr>
      </w:pPr>
      <w:r>
        <w:rPr>
          <w:rStyle w:val="37"/>
          <w:rFonts w:hint="eastAsia" w:ascii="宋体" w:hAnsi="宋体"/>
          <w:sz w:val="21"/>
          <w:szCs w:val="21"/>
          <w:shd w:val="clear" w:color="auto" w:fill="FFFFFF"/>
        </w:rPr>
        <w:t>五、政府购买服务支出说明</w:t>
      </w:r>
    </w:p>
    <w:p>
      <w:pPr>
        <w:pStyle w:val="24"/>
        <w:spacing w:before="0" w:beforeAutospacing="0"/>
        <w:rPr>
          <w:rFonts w:hint="eastAsia"/>
          <w:sz w:val="21"/>
          <w:szCs w:val="21"/>
        </w:rPr>
      </w:pPr>
      <w:r>
        <w:rPr>
          <w:rFonts w:hint="eastAsia"/>
          <w:sz w:val="21"/>
          <w:szCs w:val="21"/>
          <w:shd w:val="clear" w:color="auto" w:fill="FFFFFF"/>
        </w:rPr>
        <w:t xml:space="preserve"> 2021年政府购买服务决算939.34万元。</w:t>
      </w:r>
    </w:p>
    <w:p>
      <w:pPr>
        <w:pStyle w:val="24"/>
        <w:spacing w:before="0" w:beforeAutospacing="0"/>
        <w:rPr>
          <w:rFonts w:hint="eastAsia"/>
          <w:sz w:val="21"/>
          <w:szCs w:val="21"/>
        </w:rPr>
      </w:pPr>
      <w:r>
        <w:rPr>
          <w:rStyle w:val="37"/>
          <w:rFonts w:hint="eastAsia" w:ascii="宋体" w:hAnsi="宋体"/>
          <w:sz w:val="21"/>
          <w:szCs w:val="21"/>
          <w:shd w:val="clear" w:color="auto" w:fill="FFFFFF"/>
        </w:rPr>
        <w:t>六、专业名词解释</w:t>
      </w:r>
    </w:p>
    <w:p>
      <w:pPr>
        <w:pStyle w:val="24"/>
        <w:spacing w:before="0" w:beforeAutospacing="0"/>
        <w:rPr>
          <w:rFonts w:hint="eastAsia"/>
          <w:sz w:val="21"/>
          <w:szCs w:val="21"/>
        </w:rPr>
      </w:pPr>
      <w:r>
        <w:rPr>
          <w:rFonts w:hint="eastAsia"/>
          <w:sz w:val="21"/>
          <w:szCs w:val="21"/>
          <w:shd w:val="clear" w:color="auto" w:fill="FFFFFF"/>
        </w:rPr>
        <w:t>1.基本支出：指为保障机构正常运转、完成日常工作任务而发生的人员支出和公用支出。</w:t>
      </w:r>
    </w:p>
    <w:p>
      <w:pPr>
        <w:pStyle w:val="24"/>
        <w:spacing w:before="0" w:beforeAutospacing="0"/>
        <w:rPr>
          <w:rFonts w:hint="eastAsia"/>
          <w:sz w:val="21"/>
          <w:szCs w:val="21"/>
        </w:rPr>
      </w:pPr>
      <w:r>
        <w:rPr>
          <w:rFonts w:hint="eastAsia"/>
          <w:sz w:val="21"/>
          <w:szCs w:val="21"/>
          <w:shd w:val="clear" w:color="auto" w:fill="FFFFFF"/>
        </w:rPr>
        <w:t>2.项目支出：指在基本支出之外为完成特定行政任务或事业发展目标所发生的支出。</w:t>
      </w:r>
    </w:p>
    <w:p>
      <w:pPr>
        <w:pStyle w:val="24"/>
        <w:spacing w:before="0" w:beforeAutospacing="0"/>
        <w:rPr>
          <w:rFonts w:hint="eastAsia"/>
          <w:sz w:val="21"/>
          <w:szCs w:val="21"/>
        </w:rPr>
      </w:pPr>
      <w:r>
        <w:rPr>
          <w:rFonts w:hint="eastAsia"/>
          <w:sz w:val="21"/>
          <w:szCs w:val="21"/>
          <w:shd w:val="clear" w:color="auto" w:fill="FFFFFF"/>
        </w:rPr>
        <w:t>3.“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pStyle w:val="24"/>
        <w:spacing w:before="0" w:beforeAutospacing="0"/>
        <w:rPr>
          <w:rFonts w:hint="eastAsia"/>
          <w:sz w:val="21"/>
          <w:szCs w:val="21"/>
        </w:rPr>
      </w:pPr>
      <w:r>
        <w:rPr>
          <w:rFonts w:hint="eastAsia"/>
          <w:sz w:val="21"/>
          <w:szCs w:val="21"/>
          <w:shd w:val="clear" w:color="auto" w:fill="FFFFFF"/>
        </w:rPr>
        <w:t>4.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pStyle w:val="24"/>
        <w:spacing w:before="0" w:beforeAutospacing="0"/>
        <w:rPr>
          <w:rFonts w:hint="eastAsia"/>
          <w:sz w:val="21"/>
          <w:szCs w:val="21"/>
        </w:rPr>
      </w:pPr>
      <w:r>
        <w:rPr>
          <w:rFonts w:hint="eastAsia"/>
          <w:sz w:val="21"/>
          <w:szCs w:val="21"/>
          <w:shd w:val="clear" w:color="auto" w:fill="FFFFFF"/>
        </w:rPr>
        <w:t>5.政府采购：指各级国家机关、事业单位和团体组织，使用财政性资金采购依法制定的集中目录以内的或者采购限额标准以上的货物、工程和服务的行为。</w:t>
      </w:r>
    </w:p>
    <w:p>
      <w:pPr>
        <w:pStyle w:val="24"/>
        <w:spacing w:before="0" w:beforeAutospacing="0"/>
        <w:rPr>
          <w:rFonts w:hint="eastAsia"/>
          <w:sz w:val="21"/>
          <w:szCs w:val="21"/>
          <w:shd w:val="clear" w:color="auto" w:fill="FFFFFF"/>
        </w:rPr>
      </w:pPr>
      <w:r>
        <w:rPr>
          <w:rFonts w:hint="eastAsia"/>
          <w:sz w:val="21"/>
          <w:szCs w:val="21"/>
          <w:shd w:val="clear" w:color="auto" w:fill="FFFFFF"/>
        </w:rPr>
        <w:t>6.政府购买服务：是指各级国家机关将属于自身职责范围且适合通过市场化方式提供的服务事项，按照政府采购方式和程序，交由符合条件的服务供应商承担，并根据服务数量和质量等因素向其支付费用的行为。</w:t>
      </w:r>
    </w:p>
    <w:p>
      <w:pPr>
        <w:pStyle w:val="24"/>
        <w:spacing w:before="0" w:beforeAutospacing="0"/>
        <w:rPr>
          <w:rFonts w:hint="eastAsia"/>
          <w:sz w:val="21"/>
          <w:szCs w:val="21"/>
          <w:shd w:val="clear" w:color="auto" w:fill="FFFFFF"/>
        </w:rPr>
      </w:pPr>
      <w:r>
        <w:rPr>
          <w:rFonts w:hint="eastAsia"/>
          <w:sz w:val="21"/>
          <w:szCs w:val="21"/>
          <w:shd w:val="clear" w:color="auto" w:fill="FFFFFF"/>
        </w:rPr>
        <w:t>7.本部门/本单位所使用的支出功能分类“类级”科目名词解释</w:t>
      </w:r>
    </w:p>
    <w:p>
      <w:pPr>
        <w:pStyle w:val="24"/>
        <w:spacing w:before="0" w:beforeAutospacing="0"/>
        <w:rPr>
          <w:rFonts w:hint="eastAsia"/>
          <w:sz w:val="21"/>
          <w:szCs w:val="21"/>
          <w:shd w:val="clear" w:color="auto" w:fill="FFFFFF"/>
        </w:rPr>
      </w:pPr>
      <w:r>
        <w:rPr>
          <w:rFonts w:hint="eastAsia"/>
          <w:sz w:val="21"/>
          <w:szCs w:val="21"/>
          <w:shd w:val="clear" w:color="auto" w:fill="FFFFFF"/>
        </w:rPr>
        <w:t>201一般公共服务支出：反映政府提供一般公共服务支出。</w:t>
      </w:r>
    </w:p>
    <w:p>
      <w:pPr>
        <w:pStyle w:val="24"/>
        <w:spacing w:before="0" w:beforeAutospacing="0"/>
        <w:rPr>
          <w:rFonts w:hint="eastAsia"/>
          <w:sz w:val="21"/>
          <w:szCs w:val="21"/>
          <w:shd w:val="clear" w:color="auto" w:fill="FFFFFF"/>
        </w:rPr>
      </w:pPr>
      <w:r>
        <w:rPr>
          <w:rFonts w:hint="eastAsia"/>
          <w:sz w:val="21"/>
          <w:szCs w:val="21"/>
          <w:shd w:val="clear" w:color="auto" w:fill="FFFFFF"/>
        </w:rPr>
        <w:t>204公共安全支出：反映政府维护社会公共安全方面的支出。</w:t>
      </w:r>
    </w:p>
    <w:p>
      <w:pPr>
        <w:pStyle w:val="24"/>
        <w:spacing w:before="0" w:beforeAutospacing="0"/>
        <w:rPr>
          <w:rFonts w:hint="eastAsia"/>
          <w:sz w:val="21"/>
          <w:szCs w:val="21"/>
          <w:shd w:val="clear" w:color="auto" w:fill="FFFFFF"/>
        </w:rPr>
      </w:pPr>
      <w:r>
        <w:rPr>
          <w:rFonts w:hint="eastAsia"/>
          <w:sz w:val="21"/>
          <w:szCs w:val="21"/>
          <w:shd w:val="clear" w:color="auto" w:fill="FFFFFF"/>
        </w:rPr>
        <w:t>205教育支出：反映政府教育事务支出。</w:t>
      </w:r>
    </w:p>
    <w:p>
      <w:pPr>
        <w:pStyle w:val="24"/>
        <w:spacing w:before="0" w:beforeAutospacing="0"/>
        <w:rPr>
          <w:rFonts w:hint="eastAsia"/>
          <w:sz w:val="21"/>
          <w:szCs w:val="21"/>
          <w:shd w:val="clear" w:color="auto" w:fill="FFFFFF"/>
        </w:rPr>
      </w:pPr>
      <w:r>
        <w:rPr>
          <w:rFonts w:hint="eastAsia"/>
          <w:sz w:val="21"/>
          <w:szCs w:val="21"/>
          <w:shd w:val="clear" w:color="auto" w:fill="FFFFFF"/>
        </w:rPr>
        <w:t>207文化旅游体育与传媒支出：反映政府在文化、旅游、文物、体育、广播电视、电影、新闻出版等方面的支出。</w:t>
      </w:r>
    </w:p>
    <w:p>
      <w:pPr>
        <w:pStyle w:val="24"/>
        <w:spacing w:before="0" w:beforeAutospacing="0"/>
        <w:rPr>
          <w:rFonts w:hint="eastAsia"/>
          <w:sz w:val="21"/>
          <w:szCs w:val="21"/>
          <w:shd w:val="clear" w:color="auto" w:fill="FFFFFF"/>
        </w:rPr>
      </w:pPr>
      <w:r>
        <w:rPr>
          <w:rFonts w:hint="eastAsia"/>
          <w:sz w:val="21"/>
          <w:szCs w:val="21"/>
          <w:shd w:val="clear" w:color="auto" w:fill="FFFFFF"/>
        </w:rPr>
        <w:t>208社会保障和就业支出：反映政府在社会保障与就业方面的支出。</w:t>
      </w:r>
    </w:p>
    <w:p>
      <w:pPr>
        <w:pStyle w:val="24"/>
        <w:spacing w:before="0" w:beforeAutospacing="0"/>
        <w:rPr>
          <w:rFonts w:hint="eastAsia"/>
          <w:sz w:val="21"/>
          <w:szCs w:val="21"/>
          <w:shd w:val="clear" w:color="auto" w:fill="FFFFFF"/>
        </w:rPr>
      </w:pPr>
      <w:r>
        <w:rPr>
          <w:rFonts w:hint="eastAsia"/>
          <w:sz w:val="21"/>
          <w:szCs w:val="21"/>
          <w:shd w:val="clear" w:color="auto" w:fill="FFFFFF"/>
        </w:rPr>
        <w:t>210卫生健康支出：反映政府卫生健康方面的支出。</w:t>
      </w:r>
    </w:p>
    <w:p>
      <w:pPr>
        <w:pStyle w:val="24"/>
        <w:spacing w:before="0" w:beforeAutospacing="0"/>
        <w:rPr>
          <w:rFonts w:hint="eastAsia"/>
          <w:sz w:val="21"/>
          <w:szCs w:val="21"/>
          <w:shd w:val="clear" w:color="auto" w:fill="FFFFFF"/>
        </w:rPr>
      </w:pPr>
      <w:r>
        <w:rPr>
          <w:rFonts w:hint="eastAsia"/>
          <w:sz w:val="21"/>
          <w:szCs w:val="21"/>
          <w:shd w:val="clear" w:color="auto" w:fill="FFFFFF"/>
          <w:lang w:val="en-US" w:eastAsia="zh-CN"/>
        </w:rPr>
        <w:t>211</w:t>
      </w:r>
      <w:r>
        <w:rPr>
          <w:rFonts w:hint="eastAsia"/>
          <w:sz w:val="21"/>
          <w:szCs w:val="21"/>
          <w:shd w:val="clear" w:color="auto" w:fill="FFFFFF"/>
        </w:rPr>
        <w:t>能环保支出：反映政府节能环保支出。</w:t>
      </w:r>
    </w:p>
    <w:p>
      <w:pPr>
        <w:pStyle w:val="24"/>
        <w:spacing w:before="0" w:beforeAutospacing="0"/>
        <w:rPr>
          <w:rFonts w:hint="eastAsia"/>
          <w:sz w:val="21"/>
          <w:szCs w:val="21"/>
          <w:shd w:val="clear" w:color="auto" w:fill="FFFFFF"/>
        </w:rPr>
      </w:pPr>
      <w:r>
        <w:rPr>
          <w:rFonts w:hint="eastAsia"/>
          <w:sz w:val="21"/>
          <w:szCs w:val="21"/>
          <w:shd w:val="clear" w:color="auto" w:fill="FFFFFF"/>
        </w:rPr>
        <w:t>212城乡社区支出：反映政府城乡社区事务支出。</w:t>
      </w:r>
    </w:p>
    <w:p>
      <w:pPr>
        <w:pStyle w:val="24"/>
        <w:spacing w:before="0" w:beforeAutospacing="0"/>
        <w:rPr>
          <w:rFonts w:hint="eastAsia"/>
          <w:sz w:val="21"/>
          <w:szCs w:val="21"/>
          <w:shd w:val="clear" w:color="auto" w:fill="FFFFFF"/>
        </w:rPr>
      </w:pPr>
      <w:r>
        <w:rPr>
          <w:rFonts w:hint="eastAsia"/>
          <w:sz w:val="21"/>
          <w:szCs w:val="21"/>
          <w:shd w:val="clear" w:color="auto" w:fill="FFFFFF"/>
        </w:rPr>
        <w:t>213农林水支出：反映政府农林水事务支出。</w:t>
      </w:r>
    </w:p>
    <w:p>
      <w:pPr>
        <w:pStyle w:val="24"/>
        <w:spacing w:before="0" w:beforeAutospacing="0"/>
        <w:rPr>
          <w:rFonts w:hint="eastAsia"/>
          <w:sz w:val="21"/>
          <w:szCs w:val="21"/>
          <w:shd w:val="clear" w:color="auto" w:fill="FFFFFF"/>
        </w:rPr>
      </w:pPr>
      <w:r>
        <w:rPr>
          <w:rFonts w:hint="eastAsia"/>
          <w:sz w:val="21"/>
          <w:szCs w:val="21"/>
          <w:shd w:val="clear" w:color="auto" w:fill="FFFFFF"/>
        </w:rPr>
        <w:t>224灾害防治及应急管理支出：反映政府用于自然灾害防治、安全生产监管及应急管理等方面的支出。</w:t>
      </w:r>
    </w:p>
    <w:p>
      <w:pPr>
        <w:pStyle w:val="24"/>
        <w:spacing w:before="0" w:beforeAutospacing="0"/>
        <w:rPr>
          <w:rFonts w:hint="eastAsia"/>
          <w:sz w:val="21"/>
          <w:szCs w:val="21"/>
          <w:shd w:val="clear" w:color="auto" w:fill="FFFFFF"/>
        </w:rPr>
      </w:pPr>
      <w:r>
        <w:rPr>
          <w:rFonts w:hint="eastAsia"/>
          <w:sz w:val="21"/>
          <w:szCs w:val="21"/>
          <w:shd w:val="clear" w:color="auto" w:fill="FFFFFF"/>
        </w:rPr>
        <w:t>229其他支出：反映不能划分到上述功能科目的其他政府支出。</w:t>
      </w:r>
    </w:p>
    <w:p>
      <w:pPr>
        <w:pStyle w:val="24"/>
        <w:shd w:val="clear" w:color="auto" w:fill="FFFFFF"/>
        <w:rPr>
          <w:rFonts w:hint="eastAsia"/>
          <w:sz w:val="21"/>
          <w:szCs w:val="21"/>
          <w:shd w:val="clear" w:color="auto" w:fill="FFFFFF"/>
        </w:rPr>
      </w:pPr>
      <w:r>
        <w:rPr>
          <w:rFonts w:hint="eastAsia"/>
          <w:sz w:val="21"/>
          <w:szCs w:val="21"/>
          <w:shd w:val="clear" w:color="auto" w:fill="FFFFFF"/>
        </w:rPr>
        <w:t xml:space="preserve"> </w:t>
      </w:r>
    </w:p>
    <w:p>
      <w:pPr>
        <w:pStyle w:val="24"/>
        <w:spacing w:before="0" w:beforeAutospacing="0"/>
        <w:rPr>
          <w:rFonts w:hint="eastAsia"/>
          <w:sz w:val="21"/>
          <w:szCs w:val="21"/>
          <w:shd w:val="clear" w:color="auto" w:fill="FFFFFF"/>
        </w:rPr>
      </w:pPr>
      <w:r>
        <w:rPr>
          <w:rFonts w:hint="eastAsia"/>
          <w:sz w:val="21"/>
          <w:szCs w:val="21"/>
          <w:shd w:val="clear" w:color="auto" w:fill="FFFFFF"/>
        </w:rPr>
        <w:t xml:space="preserve"> </w:t>
      </w:r>
    </w:p>
    <w:p>
      <w:pPr>
        <w:pStyle w:val="24"/>
        <w:spacing w:before="0" w:beforeAutospacing="0"/>
        <w:jc w:val="center"/>
        <w:rPr>
          <w:rFonts w:hint="eastAsia"/>
          <w:sz w:val="21"/>
          <w:szCs w:val="21"/>
        </w:rPr>
      </w:pPr>
      <w:r>
        <w:rPr>
          <w:rStyle w:val="37"/>
          <w:rFonts w:hint="eastAsia" w:ascii="宋体" w:hAnsi="宋体"/>
          <w:sz w:val="21"/>
          <w:szCs w:val="21"/>
          <w:shd w:val="clear" w:color="auto" w:fill="FFFFFF"/>
        </w:rPr>
        <w:t>第四部分</w:t>
      </w:r>
      <w:r>
        <w:rPr>
          <w:rStyle w:val="37"/>
          <w:sz w:val="21"/>
          <w:szCs w:val="21"/>
          <w:shd w:val="clear" w:color="auto" w:fill="FFFFFF"/>
        </w:rPr>
        <w:t xml:space="preserve">  2021</w:t>
      </w:r>
      <w:r>
        <w:rPr>
          <w:rStyle w:val="37"/>
          <w:rFonts w:hint="eastAsia" w:ascii="宋体" w:hAnsi="宋体"/>
          <w:sz w:val="21"/>
          <w:szCs w:val="21"/>
          <w:shd w:val="clear" w:color="auto" w:fill="FFFFFF"/>
        </w:rPr>
        <w:t>年度部门绩效评价情况</w:t>
      </w:r>
    </w:p>
    <w:p>
      <w:pPr>
        <w:pStyle w:val="24"/>
        <w:spacing w:before="0" w:beforeAutospacing="0"/>
        <w:jc w:val="center"/>
        <w:rPr>
          <w:rFonts w:hint="eastAsia"/>
          <w:sz w:val="21"/>
          <w:szCs w:val="21"/>
        </w:rPr>
      </w:pPr>
      <w:r>
        <w:rPr>
          <w:rFonts w:hint="eastAsia"/>
          <w:sz w:val="21"/>
          <w:szCs w:val="21"/>
          <w:shd w:val="clear" w:color="auto" w:fill="FFFFFF"/>
        </w:rPr>
        <w:t xml:space="preserve"> </w:t>
      </w:r>
    </w:p>
    <w:p>
      <w:pPr>
        <w:pStyle w:val="24"/>
        <w:spacing w:before="0" w:beforeAutospacing="0"/>
        <w:rPr>
          <w:rFonts w:hint="eastAsia"/>
          <w:sz w:val="21"/>
          <w:szCs w:val="21"/>
        </w:rPr>
      </w:pPr>
      <w:r>
        <w:rPr>
          <w:rStyle w:val="37"/>
          <w:rFonts w:hint="eastAsia" w:ascii="宋体" w:hAnsi="宋体"/>
          <w:sz w:val="21"/>
          <w:szCs w:val="21"/>
          <w:shd w:val="clear" w:color="auto" w:fill="FFFFFF"/>
        </w:rPr>
        <w:t>一、部门整体绩效评价报告</w:t>
      </w:r>
    </w:p>
    <w:p>
      <w:pPr>
        <w:pStyle w:val="24"/>
        <w:spacing w:before="0" w:beforeAutospacing="0"/>
        <w:jc w:val="both"/>
        <w:rPr>
          <w:rFonts w:hint="eastAsia"/>
          <w:sz w:val="21"/>
          <w:szCs w:val="21"/>
        </w:rPr>
      </w:pPr>
      <w:r>
        <w:rPr>
          <w:rFonts w:hint="eastAsia"/>
          <w:sz w:val="21"/>
          <w:szCs w:val="21"/>
          <w:shd w:val="clear" w:color="auto" w:fill="FFFFFF"/>
        </w:rPr>
        <w:t xml:space="preserve"> (一)本部门职能</w:t>
      </w:r>
    </w:p>
    <w:p>
      <w:pPr>
        <w:pStyle w:val="24"/>
        <w:spacing w:before="0" w:beforeAutospacing="0"/>
        <w:jc w:val="both"/>
        <w:rPr>
          <w:rFonts w:hint="eastAsia"/>
          <w:sz w:val="21"/>
          <w:szCs w:val="21"/>
        </w:rPr>
      </w:pPr>
      <w:r>
        <w:rPr>
          <w:rFonts w:hint="eastAsia"/>
          <w:sz w:val="21"/>
          <w:szCs w:val="21"/>
          <w:shd w:val="clear" w:color="auto" w:fill="FFFFFF"/>
        </w:rPr>
        <w:t xml:space="preserve"> 1、部门机构设置情况</w:t>
      </w:r>
    </w:p>
    <w:p>
      <w:pPr>
        <w:pStyle w:val="24"/>
        <w:spacing w:before="0" w:beforeAutospacing="0"/>
        <w:ind w:firstLine="420" w:firstLineChars="200"/>
        <w:jc w:val="both"/>
        <w:rPr>
          <w:rFonts w:hint="eastAsia"/>
          <w:sz w:val="21"/>
          <w:szCs w:val="21"/>
          <w:shd w:val="clear" w:color="auto" w:fill="FFFFFF"/>
        </w:rPr>
      </w:pPr>
      <w:r>
        <w:rPr>
          <w:rFonts w:hint="eastAsia"/>
          <w:sz w:val="21"/>
          <w:szCs w:val="21"/>
          <w:shd w:val="clear" w:color="auto" w:fill="FFFFFF"/>
        </w:rPr>
        <w:t>行政单位1个，为北京市朝阳区人民政府酒仙桥街道办事处；全额事业单位3个，分别是北京市朝阳区酒仙桥街道便民服务中心、北京市朝阳区酒仙桥街道市民活动中心、北京市朝阳区酒仙桥街道市民诉求处置中心；社区居委会11个。</w:t>
      </w:r>
    </w:p>
    <w:p>
      <w:pPr>
        <w:pStyle w:val="24"/>
        <w:spacing w:before="0" w:beforeAutospacing="0"/>
        <w:ind w:firstLine="420" w:firstLineChars="200"/>
        <w:jc w:val="both"/>
        <w:rPr>
          <w:rFonts w:hint="eastAsia"/>
          <w:sz w:val="21"/>
          <w:szCs w:val="21"/>
          <w:shd w:val="clear" w:color="auto" w:fill="FFFFFF"/>
        </w:rPr>
      </w:pPr>
      <w:r>
        <w:rPr>
          <w:rFonts w:hint="eastAsia"/>
          <w:sz w:val="21"/>
          <w:szCs w:val="21"/>
          <w:shd w:val="clear" w:color="auto" w:fill="FFFFFF"/>
        </w:rPr>
        <w:t xml:space="preserve">2021年行政编制99人，事业编制47人。2021年末实有行政人员92人，2021年末实有事业人员40人。   </w:t>
      </w:r>
    </w:p>
    <w:p>
      <w:pPr>
        <w:pStyle w:val="24"/>
        <w:spacing w:before="0" w:beforeAutospacing="0"/>
        <w:jc w:val="both"/>
        <w:rPr>
          <w:rFonts w:hint="eastAsia"/>
          <w:sz w:val="21"/>
          <w:szCs w:val="21"/>
        </w:rPr>
      </w:pPr>
      <w:r>
        <w:rPr>
          <w:rFonts w:hint="eastAsia"/>
          <w:sz w:val="21"/>
          <w:szCs w:val="21"/>
          <w:shd w:val="clear" w:color="auto" w:fill="FFFFFF"/>
        </w:rPr>
        <w:t>2、部门职能情况</w:t>
      </w:r>
    </w:p>
    <w:p>
      <w:pPr>
        <w:pStyle w:val="24"/>
        <w:spacing w:before="0" w:beforeAutospacing="0"/>
        <w:ind w:firstLine="420" w:firstLineChars="200"/>
        <w:jc w:val="both"/>
        <w:rPr>
          <w:rFonts w:hint="eastAsia"/>
          <w:sz w:val="21"/>
          <w:szCs w:val="21"/>
          <w:shd w:val="clear" w:color="auto" w:fill="FFFFFF"/>
        </w:rPr>
      </w:pPr>
      <w:r>
        <w:rPr>
          <w:rFonts w:hint="eastAsia"/>
          <w:sz w:val="21"/>
          <w:szCs w:val="21"/>
          <w:shd w:val="clear" w:color="auto" w:fill="FFFFFF"/>
        </w:rPr>
        <w:t>街道办事处通过加强城市管理，完善社区服务，创造良好投资环境。以城市管理重心下移为重点，进一步理顺区街关系，加强街道对城市环境卫生、园林绿化、市政设施、社会治安等方面的行政管理、指挥调度和协调监督。根据区委、区政府授权，加强对专业管理部门派驻街道机构负责人的评议、考核和监督工作。加强社区建设，建立以社区党组织为核心，社区自治组织为主体，各类社会组织充分发挥作用的新型社区管理体制。</w:t>
      </w:r>
    </w:p>
    <w:p>
      <w:pPr>
        <w:pStyle w:val="24"/>
        <w:spacing w:before="0" w:beforeAutospacing="0"/>
        <w:jc w:val="both"/>
        <w:rPr>
          <w:rFonts w:hint="eastAsia"/>
          <w:sz w:val="21"/>
          <w:szCs w:val="21"/>
        </w:rPr>
      </w:pPr>
      <w:r>
        <w:rPr>
          <w:rFonts w:hint="eastAsia"/>
          <w:sz w:val="21"/>
          <w:szCs w:val="21"/>
          <w:shd w:val="clear" w:color="auto" w:fill="FFFFFF"/>
        </w:rPr>
        <w:t>（二）年度预算执行及项目管理情况</w:t>
      </w:r>
    </w:p>
    <w:p>
      <w:pPr>
        <w:rPr>
          <w:rFonts w:hint="eastAsia"/>
          <w:sz w:val="21"/>
          <w:szCs w:val="21"/>
          <w:shd w:val="clear" w:color="auto" w:fill="FFFFFF"/>
        </w:rPr>
      </w:pPr>
      <w:r>
        <w:rPr>
          <w:rFonts w:hint="eastAsia"/>
          <w:sz w:val="21"/>
          <w:szCs w:val="21"/>
          <w:shd w:val="clear" w:color="auto" w:fill="FFFFFF"/>
        </w:rPr>
        <w:t>1、收入支出预算安排情况</w:t>
      </w:r>
    </w:p>
    <w:p>
      <w:pPr>
        <w:ind w:left="120" w:leftChars="50" w:firstLine="315" w:firstLineChars="150"/>
        <w:rPr>
          <w:rFonts w:hint="eastAsia"/>
          <w:sz w:val="21"/>
          <w:szCs w:val="21"/>
          <w:shd w:val="clear" w:color="auto" w:fill="FFFFFF"/>
        </w:rPr>
      </w:pPr>
      <w:r>
        <w:rPr>
          <w:rFonts w:hint="eastAsia"/>
          <w:sz w:val="21"/>
          <w:szCs w:val="21"/>
          <w:shd w:val="clear" w:color="auto" w:fill="FFFFFF"/>
        </w:rPr>
        <w:t>2021年年初收入预算数9721.32万元，其中基本支出预算3737.20万元，占总支出预算38.44%；项目支出预算5984.12万元，占总支出预算61.56%。收入调整预算数16591.3万元；支出年初预算数12039.43万元，支出调整预算数19147.6万元。</w:t>
      </w:r>
    </w:p>
    <w:p>
      <w:pPr>
        <w:rPr>
          <w:rFonts w:hint="eastAsia"/>
          <w:sz w:val="21"/>
          <w:szCs w:val="21"/>
          <w:shd w:val="clear" w:color="auto" w:fill="FFFFFF"/>
        </w:rPr>
      </w:pPr>
      <w:r>
        <w:rPr>
          <w:rFonts w:hint="eastAsia"/>
          <w:sz w:val="21"/>
          <w:szCs w:val="21"/>
          <w:shd w:val="clear" w:color="auto" w:fill="FFFFFF"/>
        </w:rPr>
        <w:t>2、收入支出预算执行情况</w:t>
      </w:r>
    </w:p>
    <w:p>
      <w:pPr>
        <w:ind w:firstLine="420" w:firstLineChars="200"/>
        <w:rPr>
          <w:rFonts w:hint="eastAsia"/>
          <w:sz w:val="21"/>
          <w:szCs w:val="21"/>
          <w:shd w:val="clear" w:color="auto" w:fill="FFFFFF"/>
        </w:rPr>
      </w:pPr>
      <w:r>
        <w:rPr>
          <w:rFonts w:hint="eastAsia"/>
          <w:sz w:val="21"/>
          <w:szCs w:val="21"/>
          <w:shd w:val="clear" w:color="auto" w:fill="FFFFFF"/>
        </w:rPr>
        <w:t>2021年度收入总计19147.60万元，其中：本年收入16686.45万元，年初结转和结余2461.16 万元。在本年收入中，财政拨款收入16591.3万元，占收入合计的99.43%；其他收入95.15万元，占收入合计的0.57%。</w:t>
      </w:r>
    </w:p>
    <w:p>
      <w:pPr>
        <w:ind w:firstLine="420" w:firstLineChars="200"/>
        <w:rPr>
          <w:rFonts w:hint="eastAsia"/>
          <w:sz w:val="21"/>
          <w:szCs w:val="21"/>
          <w:shd w:val="clear" w:color="auto" w:fill="FFFFFF"/>
        </w:rPr>
      </w:pPr>
      <w:r>
        <w:rPr>
          <w:rFonts w:hint="eastAsia"/>
          <w:sz w:val="21"/>
          <w:szCs w:val="21"/>
          <w:shd w:val="clear" w:color="auto" w:fill="FFFFFF"/>
        </w:rPr>
        <w:t>2021度本年支出合计16788.05万元，其中：基本支出4646.89万元，占支出合计的27.68%；项目支出12141.16万元，占支出合计的72.32%。</w:t>
      </w:r>
    </w:p>
    <w:p>
      <w:pPr>
        <w:ind w:firstLine="420" w:firstLineChars="200"/>
        <w:rPr>
          <w:rFonts w:hint="eastAsia"/>
          <w:sz w:val="21"/>
          <w:szCs w:val="21"/>
          <w:shd w:val="clear" w:color="auto" w:fill="FFFFFF"/>
        </w:rPr>
      </w:pPr>
      <w:r>
        <w:rPr>
          <w:rFonts w:hint="eastAsia"/>
          <w:sz w:val="21"/>
          <w:szCs w:val="21"/>
          <w:shd w:val="clear" w:color="auto" w:fill="FFFFFF"/>
        </w:rPr>
        <w:t>2021年年末结转2359.56万元，其中基本支出结转37.94万元，项目支出结转2321.62万元。</w:t>
      </w:r>
    </w:p>
    <w:p>
      <w:pPr>
        <w:rPr>
          <w:rFonts w:hint="eastAsia"/>
          <w:sz w:val="21"/>
          <w:szCs w:val="21"/>
          <w:shd w:val="clear" w:color="auto" w:fill="FFFFFF"/>
        </w:rPr>
      </w:pPr>
      <w:r>
        <w:rPr>
          <w:rFonts w:hint="eastAsia"/>
          <w:sz w:val="21"/>
          <w:szCs w:val="21"/>
          <w:shd w:val="clear" w:color="auto" w:fill="FFFFFF"/>
        </w:rPr>
        <w:t>3、本单位财务管理、绩效管理情况</w:t>
      </w:r>
    </w:p>
    <w:p>
      <w:pPr>
        <w:ind w:firstLine="420" w:firstLineChars="200"/>
        <w:rPr>
          <w:rFonts w:hint="eastAsia"/>
          <w:sz w:val="21"/>
          <w:szCs w:val="21"/>
          <w:shd w:val="clear" w:color="auto" w:fill="FFFFFF"/>
        </w:rPr>
      </w:pPr>
      <w:r>
        <w:rPr>
          <w:rFonts w:hint="eastAsia"/>
          <w:sz w:val="21"/>
          <w:szCs w:val="21"/>
          <w:shd w:val="clear" w:color="auto" w:fill="FFFFFF"/>
        </w:rPr>
        <w:t>财务管理工作如实反映财务状况，提供真实可靠的会计信息，严格依法办事，严格把关，对不合法的会计事项及时予以纠正，充分发挥监督作用。设立内部审计机构,配备兼职内审人员,对办事处财政财务管理和资金使用情况进行监督；对拨付给办事处所属事业单位的财政专项资金进行指导、监督和检查；对所属事业单位执行《会计法》情况进行检查；制定内部审计管理办法。财政科设会计机构负责人、财政总会计、会计核算、预算控制、复核与稽核、工资、个人所得税、固定资产、公积金、社会保险、往来结算、会计报表编制、数据分析、电算化操作与维护、会计档案管理、出纳等岗位，并根据工作要求制定本单位会计岗位责任制、会计人员工作规范等制度。</w:t>
      </w:r>
    </w:p>
    <w:p>
      <w:pPr>
        <w:ind w:firstLine="420" w:firstLineChars="200"/>
        <w:rPr>
          <w:rFonts w:hint="eastAsia"/>
          <w:sz w:val="21"/>
          <w:szCs w:val="21"/>
          <w:shd w:val="clear" w:color="auto" w:fill="FFFFFF"/>
        </w:rPr>
      </w:pPr>
      <w:r>
        <w:rPr>
          <w:rFonts w:hint="eastAsia"/>
          <w:sz w:val="21"/>
          <w:szCs w:val="21"/>
          <w:shd w:val="clear" w:color="auto" w:fill="FFFFFF"/>
        </w:rPr>
        <w:t>绩效管理工作列出预算批复时的项目绩效目标，注意绩效目标要明确、细化、量化。说明项目的实施方案、预算等是否发生了重大调整及调整内容。对照初始绩效目标，提出需细化补充的绩效指标和应修改的绩效目标，并说明原因。考查项目申报单位使用资金和拨付资金是否足额、及时，自筹资金到位是否足额、及时。考查与项目执行相关的财务制度是否健全、执行是否严格，与项目相关的会计核算是否符合会计原则。考查项目管理执行机构是否健全、人员分工是否明确，列出项目实施组织架构和职责分工。说明项目实际进度与预期进度相比是否存在滞后，影响因素是什么，能否按原计划完成项目。如不能按原计划完成，说明调整方式和新的项目进度安排。说明项目已完成的产出和已实现的效益，并分析绩效目标实现程度。</w:t>
      </w:r>
    </w:p>
    <w:p>
      <w:pPr>
        <w:pStyle w:val="24"/>
        <w:spacing w:before="0" w:beforeAutospacing="0"/>
        <w:jc w:val="both"/>
        <w:rPr>
          <w:rFonts w:hint="eastAsia"/>
          <w:sz w:val="21"/>
          <w:szCs w:val="21"/>
          <w:shd w:val="clear" w:color="auto" w:fill="FFFFFF"/>
        </w:rPr>
      </w:pPr>
      <w:r>
        <w:rPr>
          <w:rFonts w:hint="eastAsia"/>
          <w:sz w:val="21"/>
          <w:szCs w:val="21"/>
          <w:shd w:val="clear" w:color="auto" w:fill="FFFFFF"/>
        </w:rPr>
        <w:t xml:space="preserve"> </w:t>
      </w:r>
    </w:p>
    <w:p>
      <w:pPr>
        <w:pStyle w:val="24"/>
        <w:spacing w:before="0" w:beforeAutospacing="0"/>
        <w:jc w:val="both"/>
        <w:rPr>
          <w:rFonts w:hint="eastAsia"/>
          <w:sz w:val="21"/>
          <w:szCs w:val="21"/>
        </w:rPr>
      </w:pPr>
      <w:r>
        <w:rPr>
          <w:rFonts w:hint="eastAsia"/>
          <w:sz w:val="21"/>
          <w:szCs w:val="21"/>
          <w:shd w:val="clear" w:color="auto" w:fill="FFFFFF"/>
        </w:rPr>
        <w:t>（三）部门绩效实现情况</w:t>
      </w:r>
    </w:p>
    <w:p>
      <w:pPr>
        <w:ind w:firstLine="420" w:firstLineChars="200"/>
        <w:rPr>
          <w:rFonts w:hint="eastAsia"/>
          <w:sz w:val="21"/>
          <w:szCs w:val="21"/>
          <w:shd w:val="clear" w:color="auto" w:fill="FFFFFF"/>
        </w:rPr>
      </w:pPr>
      <w:r>
        <w:rPr>
          <w:rFonts w:hint="eastAsia"/>
          <w:sz w:val="21"/>
          <w:szCs w:val="21"/>
          <w:shd w:val="clear" w:color="auto" w:fill="FFFFFF"/>
        </w:rPr>
        <w:t>2021 年是迈入全面小康社会的起始之年、是实施“十四五”规划的开局之年、是开启全面建设社会主义现代化国家新征程的第一年，也是我们党成立100 周年。面对严峻复杂的发展形势，面对艰巨繁重的工作任务，我们在区委、区政府的坚强领导下，全面贯彻落实习近平新时代中国特色社会主义思想和党的十九大及历届全会精神，统筹抓好社会各项事业协调发展，较好地完成了各项工作任务。</w:t>
      </w:r>
    </w:p>
    <w:p>
      <w:pPr>
        <w:ind w:firstLine="420" w:firstLineChars="200"/>
        <w:rPr>
          <w:rFonts w:hint="eastAsia"/>
          <w:sz w:val="21"/>
          <w:szCs w:val="21"/>
          <w:shd w:val="clear" w:color="auto" w:fill="FFFFFF"/>
        </w:rPr>
      </w:pPr>
      <w:r>
        <w:rPr>
          <w:rFonts w:hint="eastAsia"/>
          <w:sz w:val="21"/>
          <w:szCs w:val="21"/>
          <w:shd w:val="clear" w:color="auto" w:fill="FFFFFF"/>
        </w:rPr>
        <w:t xml:space="preserve">1.经济效益分析 </w:t>
      </w:r>
    </w:p>
    <w:p>
      <w:pPr>
        <w:ind w:firstLine="420" w:firstLineChars="200"/>
        <w:rPr>
          <w:rFonts w:hint="eastAsia"/>
          <w:sz w:val="21"/>
          <w:szCs w:val="21"/>
          <w:shd w:val="clear" w:color="auto" w:fill="FFFFFF"/>
        </w:rPr>
      </w:pPr>
      <w:r>
        <w:rPr>
          <w:rFonts w:hint="eastAsia"/>
          <w:sz w:val="21"/>
          <w:szCs w:val="21"/>
          <w:shd w:val="clear" w:color="auto" w:fill="FFFFFF"/>
        </w:rPr>
        <w:t>一是2021年酒仙桥街道办事处整体支出按照区财政局下达的预算批复，对于基本支出中的工资福利支出、对个人和家庭补助支出按照实际在编人员及进度均衡支付；对于商品及服务支出（日常公用经费）按照下达的预算执行，实现内部报告审批制度，实时监控支出情况；对于项目支出的经费使用情况进行监督检查；严格遵循厉行节约的精神，按规定开支“三公”经费。</w:t>
      </w:r>
    </w:p>
    <w:p>
      <w:pPr>
        <w:ind w:firstLine="420" w:firstLineChars="200"/>
        <w:rPr>
          <w:rFonts w:hint="eastAsia"/>
          <w:sz w:val="21"/>
          <w:szCs w:val="21"/>
          <w:shd w:val="clear" w:color="auto" w:fill="FFFFFF"/>
        </w:rPr>
      </w:pPr>
      <w:r>
        <w:rPr>
          <w:rFonts w:hint="eastAsia"/>
          <w:sz w:val="21"/>
          <w:szCs w:val="21"/>
          <w:shd w:val="clear" w:color="auto" w:fill="FFFFFF"/>
        </w:rPr>
        <w:t xml:space="preserve">二是招商引资成果丰硕。强化处级领导包企业服务制度，定期走访调研企业经济发展状况，及时解决问题难点，稳固183余家纳税企业大户；加强日常监测，每月上报重点企业监测情况、规范企业经营纳税情况、走访企业情况；梳理汇总辖区异地纳税企业，协助企业税收回迁，挖掘税源增长点。政务宣传进楼宇，优化营商环境，2021年完成区级收入19.24亿元。  </w:t>
      </w:r>
    </w:p>
    <w:p>
      <w:pPr>
        <w:ind w:firstLine="420" w:firstLineChars="200"/>
        <w:rPr>
          <w:rFonts w:hint="eastAsia"/>
          <w:sz w:val="21"/>
          <w:szCs w:val="21"/>
          <w:shd w:val="clear" w:color="auto" w:fill="FFFFFF"/>
        </w:rPr>
      </w:pPr>
      <w:r>
        <w:rPr>
          <w:rFonts w:hint="eastAsia"/>
          <w:sz w:val="21"/>
          <w:szCs w:val="21"/>
          <w:shd w:val="clear" w:color="auto" w:fill="FFFFFF"/>
        </w:rPr>
        <w:t>2.社会效率分析</w:t>
      </w:r>
    </w:p>
    <w:p>
      <w:pPr>
        <w:ind w:firstLine="420" w:firstLineChars="200"/>
        <w:rPr>
          <w:rFonts w:hint="eastAsia"/>
          <w:sz w:val="21"/>
          <w:szCs w:val="21"/>
          <w:shd w:val="clear" w:color="auto" w:fill="FFFFFF"/>
        </w:rPr>
      </w:pPr>
      <w:r>
        <w:rPr>
          <w:rFonts w:hint="eastAsia"/>
          <w:sz w:val="21"/>
          <w:szCs w:val="21"/>
          <w:shd w:val="clear" w:color="auto" w:fill="FFFFFF"/>
        </w:rPr>
        <w:t>一是民生保障不断巩固。以冬残奥标准，做好无障碍环境整治工作，街道2021年无障碍环境上账点位全部完成整改。持续营造和谐稳定的用工环境，织密织牢困难群众社会救助网络，进一步规范养老驿站工作，做好线上线下的安全监管和防疫监管。开展“就业政策进社区，贴心服务零距离”活动，，创造良好的就业创业环境。</w:t>
      </w:r>
    </w:p>
    <w:p>
      <w:pPr>
        <w:ind w:firstLine="420" w:firstLineChars="200"/>
        <w:rPr>
          <w:rFonts w:hint="eastAsia"/>
          <w:sz w:val="21"/>
          <w:szCs w:val="21"/>
          <w:shd w:val="clear" w:color="auto" w:fill="FFFFFF"/>
        </w:rPr>
      </w:pPr>
      <w:r>
        <w:rPr>
          <w:rFonts w:hint="eastAsia"/>
          <w:sz w:val="21"/>
          <w:szCs w:val="21"/>
          <w:shd w:val="clear" w:color="auto" w:fill="FFFFFF"/>
        </w:rPr>
        <w:t>二是接诉即办持续向好。为民街道接诉即办工作水平大幅提升，通过亲自办件，亲自回访，每周调度等多种方式理顺工作机制，“三率”综合考核成绩及市区排名持续向好。</w:t>
      </w:r>
    </w:p>
    <w:p>
      <w:pPr>
        <w:ind w:firstLine="420" w:firstLineChars="200"/>
        <w:rPr>
          <w:rFonts w:hint="eastAsia"/>
          <w:sz w:val="21"/>
          <w:szCs w:val="21"/>
          <w:shd w:val="clear" w:color="auto" w:fill="FFFFFF"/>
        </w:rPr>
      </w:pPr>
      <w:r>
        <w:rPr>
          <w:rFonts w:hint="eastAsia"/>
          <w:sz w:val="21"/>
          <w:szCs w:val="21"/>
          <w:shd w:val="clear" w:color="auto" w:fill="FFFFFF"/>
        </w:rPr>
        <w:t>三是公共文化日益丰富。坚持文化惠民工程，广泛开展文化活动，依托传统节日与民族民间文化资源，突出特色，深入开展群众喜闻乐见、丰富多彩的文体活动。街道舞蹈队的原创集体舞《东方红》获得朝阳区优秀奖；原创民族舞蹈《醉乡》荣获北京市金奖；原创情景舞剧《你的模样》获得国家级二等奖，街道文化活动成果步入新高度。</w:t>
      </w:r>
    </w:p>
    <w:p>
      <w:pPr>
        <w:ind w:firstLine="420" w:firstLineChars="200"/>
        <w:rPr>
          <w:rFonts w:hint="eastAsia"/>
          <w:sz w:val="21"/>
          <w:szCs w:val="21"/>
          <w:shd w:val="clear" w:color="auto" w:fill="FFFFFF"/>
        </w:rPr>
      </w:pPr>
      <w:r>
        <w:rPr>
          <w:rFonts w:hint="eastAsia"/>
          <w:sz w:val="21"/>
          <w:szCs w:val="21"/>
          <w:shd w:val="clear" w:color="auto" w:fill="FFFFFF"/>
        </w:rPr>
        <w:t>3.环境效益指标</w:t>
      </w:r>
    </w:p>
    <w:p>
      <w:pPr>
        <w:ind w:firstLine="420" w:firstLineChars="200"/>
        <w:rPr>
          <w:rFonts w:hint="eastAsia"/>
          <w:sz w:val="21"/>
          <w:szCs w:val="21"/>
          <w:shd w:val="clear" w:color="auto" w:fill="FFFFFF"/>
        </w:rPr>
      </w:pPr>
      <w:r>
        <w:rPr>
          <w:rFonts w:hint="eastAsia"/>
          <w:sz w:val="21"/>
          <w:szCs w:val="21"/>
          <w:shd w:val="clear" w:color="auto" w:fill="FFFFFF"/>
        </w:rPr>
        <w:t>一是着力优化地区发展环境。通过固化税源建设，发挥“双楼长”机制，为全年税源建设奠定坚实基础。巩固疏解成效，历史遗留问题精准销账，占道经营、开墙打洞、群租房动态清零，存量违建分批拆除，违法建设拆除年度任务完成销账比例的245%。“五员五联”模式落实门前三包责任制，“三真三全”工作法深化文明城区创建，地区环境得到全面提升。</w:t>
      </w:r>
    </w:p>
    <w:p>
      <w:pPr>
        <w:ind w:firstLine="420" w:firstLineChars="200"/>
        <w:rPr>
          <w:rFonts w:hint="eastAsia"/>
          <w:sz w:val="21"/>
          <w:szCs w:val="21"/>
          <w:shd w:val="clear" w:color="auto" w:fill="FFFFFF"/>
        </w:rPr>
      </w:pPr>
      <w:r>
        <w:rPr>
          <w:rFonts w:hint="eastAsia"/>
          <w:sz w:val="21"/>
          <w:szCs w:val="21"/>
          <w:shd w:val="clear" w:color="auto" w:fill="FFFFFF"/>
        </w:rPr>
        <w:t>二是不断加强城市管理水平。以人民为中心，突出南部旧城改建区域、北部电子城区域两大区域，通过拆一批、整一批、建一批解决重点环境问题，明确地区十大环境建设点位，推出时间表，时刻盯紧“4+2”老旧小区改造项目进展，压实责任，全面提升城市精细化管理水平，以“两个关键小事”为抓手，试点北窑地等三个小区，探索物业管理新模式，纵深推进垃圾分类，精细化治理取得成果,打造宜居有序的生活环境。</w:t>
      </w:r>
    </w:p>
    <w:p>
      <w:pPr>
        <w:ind w:firstLine="420" w:firstLineChars="200"/>
        <w:rPr>
          <w:rFonts w:hint="eastAsia"/>
          <w:sz w:val="21"/>
          <w:szCs w:val="21"/>
          <w:shd w:val="clear" w:color="auto" w:fill="FFFFFF"/>
        </w:rPr>
      </w:pPr>
      <w:r>
        <w:rPr>
          <w:rFonts w:hint="eastAsia"/>
          <w:sz w:val="21"/>
          <w:szCs w:val="21"/>
          <w:shd w:val="clear" w:color="auto" w:fill="FFFFFF"/>
        </w:rPr>
        <w:t>三是不断提升社区治理水平。圆满完成社区“两委”换届，全面实现“5个100%”目标。开展“聚力酒仙桥，启航新征程”品牌系列活动。完善“门楼院（片）社”四级自治组织体系，完善“门楼院（片）社”社区四级自治网格，夯实自治基础。建立基础数据平台，建设智慧街道-综合治理服务平台项目，依托“大数据+”，对红霞路、电子球场等社区的人、地、物、事、组织实现动态管理，社区自治能力和效果显著提升。</w:t>
      </w:r>
    </w:p>
    <w:p>
      <w:pPr>
        <w:ind w:firstLine="420" w:firstLineChars="200"/>
        <w:rPr>
          <w:rFonts w:hint="eastAsia"/>
          <w:sz w:val="21"/>
          <w:szCs w:val="21"/>
          <w:shd w:val="clear" w:color="auto" w:fill="FFFFFF"/>
        </w:rPr>
      </w:pPr>
      <w:r>
        <w:rPr>
          <w:rFonts w:hint="eastAsia"/>
          <w:sz w:val="21"/>
          <w:szCs w:val="21"/>
          <w:shd w:val="clear" w:color="auto" w:fill="FFFFFF"/>
        </w:rPr>
        <w:t>4.可持续性影响指标</w:t>
      </w:r>
    </w:p>
    <w:p>
      <w:pPr>
        <w:ind w:firstLine="420" w:firstLineChars="200"/>
        <w:rPr>
          <w:rFonts w:hint="eastAsia"/>
          <w:sz w:val="21"/>
          <w:szCs w:val="21"/>
          <w:shd w:val="clear" w:color="auto" w:fill="FFFFFF"/>
        </w:rPr>
      </w:pPr>
      <w:r>
        <w:rPr>
          <w:rFonts w:hint="eastAsia"/>
          <w:sz w:val="21"/>
          <w:szCs w:val="21"/>
          <w:shd w:val="clear" w:color="auto" w:fill="FFFFFF"/>
        </w:rPr>
        <w:t>一是认真执行了年初部门预算和财政政策要求。街道工作经费安排严格按照年初预算来执行，有效防止了超预算；认真学习财经法规，严格执行财经纪律，防止了违法违纪行为的发生。</w:t>
      </w:r>
    </w:p>
    <w:p>
      <w:pPr>
        <w:ind w:firstLine="420" w:firstLineChars="200"/>
        <w:rPr>
          <w:rFonts w:hint="eastAsia"/>
          <w:sz w:val="21"/>
          <w:szCs w:val="21"/>
          <w:shd w:val="clear" w:color="auto" w:fill="FFFFFF"/>
        </w:rPr>
      </w:pPr>
      <w:r>
        <w:rPr>
          <w:rFonts w:hint="eastAsia"/>
          <w:sz w:val="21"/>
          <w:szCs w:val="21"/>
          <w:shd w:val="clear" w:color="auto" w:fill="FFFFFF"/>
        </w:rPr>
        <w:t>二是保障了机关有效运转。严格按照厉行节约的要求，精打细算，规范机关事务管理工作，进一步加强公务用车等方面的集中管理，提高服务质量，降低运行成本，合理配置，提高保障能力。</w:t>
      </w:r>
    </w:p>
    <w:p>
      <w:pPr>
        <w:ind w:firstLine="420" w:firstLineChars="200"/>
        <w:rPr>
          <w:rFonts w:hint="eastAsia"/>
          <w:sz w:val="21"/>
          <w:szCs w:val="21"/>
          <w:shd w:val="clear" w:color="auto" w:fill="FFFFFF"/>
        </w:rPr>
      </w:pPr>
      <w:r>
        <w:rPr>
          <w:rFonts w:hint="eastAsia"/>
          <w:sz w:val="21"/>
          <w:szCs w:val="21"/>
          <w:shd w:val="clear" w:color="auto" w:fill="FFFFFF"/>
        </w:rPr>
        <w:t xml:space="preserve">三是全面落实区委巡察整改。将巡察整改作为重要政治任务，及时召开专题会议研究，成立街道、社区两个层面的整改专班，主要领导带头抓，分管领导直接抓。坚持问题  导向，制发《落实整改工作方案》，综合施策、标本兼治，逐一整改。 </w:t>
      </w:r>
    </w:p>
    <w:p>
      <w:pPr>
        <w:ind w:firstLine="420" w:firstLineChars="200"/>
        <w:rPr>
          <w:rFonts w:hint="eastAsia"/>
          <w:sz w:val="21"/>
          <w:szCs w:val="21"/>
          <w:shd w:val="clear" w:color="auto" w:fill="FFFFFF"/>
        </w:rPr>
      </w:pPr>
      <w:r>
        <w:rPr>
          <w:rFonts w:hint="eastAsia"/>
          <w:sz w:val="21"/>
          <w:szCs w:val="21"/>
          <w:shd w:val="clear" w:color="auto" w:fill="FFFFFF"/>
        </w:rPr>
        <w:t>5.服务对象满意度指标</w:t>
      </w:r>
    </w:p>
    <w:p>
      <w:pPr>
        <w:ind w:firstLine="420" w:firstLineChars="200"/>
        <w:rPr>
          <w:rFonts w:hint="eastAsia"/>
          <w:sz w:val="21"/>
          <w:szCs w:val="21"/>
          <w:shd w:val="clear" w:color="auto" w:fill="FFFFFF"/>
        </w:rPr>
      </w:pPr>
      <w:r>
        <w:rPr>
          <w:rFonts w:hint="eastAsia"/>
          <w:sz w:val="21"/>
          <w:szCs w:val="21"/>
          <w:shd w:val="clear" w:color="auto" w:fill="FFFFFF"/>
        </w:rPr>
        <w:t>坚持以人民为中心的发展思想，科学统筹，真抓实干，加快构建党建引领“两全治理”基层治理格局，提升基层治理水平，夯实社会治理工作基础, 社会治理水平不断提升，探索社会治理创新途径，公共服务供给能力不断增强，提升群众的满意度和获得感。</w:t>
      </w:r>
    </w:p>
    <w:p>
      <w:pPr>
        <w:pStyle w:val="24"/>
        <w:spacing w:before="0" w:beforeAutospacing="0"/>
        <w:jc w:val="both"/>
        <w:rPr>
          <w:rFonts w:hint="eastAsia"/>
          <w:sz w:val="21"/>
          <w:szCs w:val="21"/>
          <w:shd w:val="clear" w:color="auto" w:fill="FFFFFF"/>
        </w:rPr>
      </w:pPr>
      <w:r>
        <w:rPr>
          <w:rFonts w:hint="eastAsia"/>
          <w:sz w:val="21"/>
          <w:szCs w:val="21"/>
          <w:shd w:val="clear" w:color="auto" w:fill="FFFFFF"/>
        </w:rPr>
        <w:t xml:space="preserve"> </w:t>
      </w:r>
    </w:p>
    <w:p>
      <w:pPr>
        <w:pStyle w:val="24"/>
        <w:numPr>
          <w:ilvl w:val="0"/>
          <w:numId w:val="4"/>
        </w:numPr>
        <w:spacing w:before="0" w:beforeAutospacing="0"/>
        <w:jc w:val="both"/>
        <w:rPr>
          <w:rFonts w:hint="eastAsia"/>
          <w:sz w:val="21"/>
          <w:szCs w:val="21"/>
          <w:shd w:val="clear" w:color="auto" w:fill="FFFFFF"/>
        </w:rPr>
      </w:pPr>
      <w:r>
        <w:rPr>
          <w:rFonts w:hint="eastAsia"/>
          <w:sz w:val="21"/>
          <w:szCs w:val="21"/>
          <w:shd w:val="clear" w:color="auto" w:fill="FFFFFF"/>
        </w:rPr>
        <w:t>主要经验、存在问题和建议</w:t>
      </w:r>
    </w:p>
    <w:p>
      <w:pPr>
        <w:pStyle w:val="24"/>
        <w:numPr>
          <w:ilvl w:val="0"/>
          <w:numId w:val="5"/>
        </w:numPr>
        <w:spacing w:before="0" w:beforeAutospacing="0"/>
        <w:jc w:val="both"/>
        <w:rPr>
          <w:rFonts w:hint="eastAsia"/>
          <w:sz w:val="21"/>
          <w:szCs w:val="21"/>
          <w:shd w:val="clear" w:color="auto" w:fill="FFFFFF"/>
        </w:rPr>
      </w:pPr>
      <w:r>
        <w:rPr>
          <w:rFonts w:hint="eastAsia"/>
          <w:sz w:val="21"/>
          <w:szCs w:val="21"/>
          <w:shd w:val="clear" w:color="auto" w:fill="FFFFFF"/>
        </w:rPr>
        <w:t>发现的问题及原因分析</w:t>
      </w:r>
    </w:p>
    <w:p>
      <w:pPr>
        <w:ind w:firstLine="420" w:firstLineChars="200"/>
        <w:rPr>
          <w:rFonts w:hint="eastAsia"/>
          <w:sz w:val="21"/>
          <w:szCs w:val="21"/>
          <w:shd w:val="clear" w:color="auto" w:fill="FFFFFF"/>
        </w:rPr>
      </w:pPr>
      <w:r>
        <w:rPr>
          <w:rFonts w:hint="eastAsia"/>
          <w:sz w:val="21"/>
          <w:szCs w:val="21"/>
          <w:shd w:val="clear" w:color="auto" w:fill="FFFFFF"/>
        </w:rPr>
        <w:t>一是绩效评价工作机制有待进一步完善，由于在平时工作中未加强对绩效监控工作的重视，绩效监控工作容易滞后，未形成对绩效目标进行监控的习惯。</w:t>
      </w:r>
    </w:p>
    <w:p>
      <w:pPr>
        <w:ind w:firstLine="420" w:firstLineChars="200"/>
        <w:rPr>
          <w:rFonts w:hint="eastAsia"/>
          <w:sz w:val="21"/>
          <w:szCs w:val="21"/>
          <w:shd w:val="clear" w:color="auto" w:fill="FFFFFF"/>
        </w:rPr>
      </w:pPr>
      <w:r>
        <w:rPr>
          <w:rFonts w:hint="eastAsia"/>
          <w:sz w:val="21"/>
          <w:szCs w:val="21"/>
          <w:shd w:val="clear" w:color="auto" w:fill="FFFFFF"/>
        </w:rPr>
        <w:t>二是预算编制工作有待细化。预算编制不够明确和细化，预算编制的合理性需要提高。预算执行力度还要进一步加强。</w:t>
      </w:r>
    </w:p>
    <w:p>
      <w:pPr>
        <w:ind w:firstLine="420" w:firstLineChars="200"/>
        <w:rPr>
          <w:rFonts w:hint="eastAsia"/>
          <w:sz w:val="21"/>
          <w:szCs w:val="21"/>
          <w:shd w:val="clear" w:color="auto" w:fill="FFFFFF"/>
        </w:rPr>
      </w:pPr>
      <w:r>
        <w:rPr>
          <w:rFonts w:hint="eastAsia"/>
          <w:sz w:val="21"/>
          <w:szCs w:val="21"/>
          <w:shd w:val="clear" w:color="auto" w:fill="FFFFFF"/>
        </w:rPr>
        <w:t>三是个别工程项目评审工作进度滞后，造成项目预算支出进度较慢。</w:t>
      </w:r>
    </w:p>
    <w:p>
      <w:pPr>
        <w:pStyle w:val="2"/>
        <w:rPr>
          <w:rFonts w:hint="eastAsia"/>
        </w:rPr>
      </w:pPr>
      <w:bookmarkStart w:id="0" w:name="_GoBack"/>
      <w:bookmarkEnd w:id="0"/>
    </w:p>
    <w:p>
      <w:pPr>
        <w:numPr>
          <w:ilvl w:val="0"/>
          <w:numId w:val="6"/>
        </w:numPr>
        <w:rPr>
          <w:rFonts w:hint="eastAsia"/>
        </w:rPr>
      </w:pPr>
      <w:r>
        <w:rPr>
          <w:rFonts w:hint="eastAsia"/>
          <w:sz w:val="21"/>
          <w:szCs w:val="21"/>
          <w:shd w:val="clear" w:color="auto" w:fill="FFFFFF"/>
        </w:rPr>
        <w:t>改进措施和有关建议</w:t>
      </w:r>
    </w:p>
    <w:p>
      <w:pPr>
        <w:ind w:firstLine="420" w:firstLineChars="200"/>
        <w:rPr>
          <w:rFonts w:hint="eastAsia"/>
          <w:sz w:val="21"/>
          <w:szCs w:val="21"/>
          <w:shd w:val="clear" w:color="auto" w:fill="FFFFFF"/>
        </w:rPr>
      </w:pPr>
      <w:r>
        <w:rPr>
          <w:rFonts w:hint="eastAsia"/>
          <w:sz w:val="21"/>
          <w:szCs w:val="21"/>
          <w:shd w:val="clear" w:color="auto" w:fill="FFFFFF"/>
        </w:rPr>
        <w:t xml:space="preserve"> </w:t>
      </w:r>
    </w:p>
    <w:p>
      <w:pPr>
        <w:ind w:firstLine="420" w:firstLineChars="200"/>
        <w:rPr>
          <w:rFonts w:hint="eastAsia"/>
          <w:sz w:val="21"/>
          <w:szCs w:val="21"/>
          <w:shd w:val="clear" w:color="auto" w:fill="FFFFFF"/>
        </w:rPr>
      </w:pPr>
      <w:r>
        <w:rPr>
          <w:rFonts w:hint="eastAsia"/>
          <w:sz w:val="21"/>
          <w:szCs w:val="21"/>
          <w:shd w:val="clear" w:color="auto" w:fill="FFFFFF"/>
        </w:rPr>
        <w:t>一是制定有效绩效监控机制，确保绩效目标完成。科学设置预算绩效指标，合理安排经费和各项资金，使其物尽其用，更加贴合街道财务工作的实际情况，能够合理运用现有资金，保证各预算绩效指标的顺利实施。</w:t>
      </w:r>
    </w:p>
    <w:p>
      <w:pPr>
        <w:ind w:firstLine="420" w:firstLineChars="200"/>
        <w:rPr>
          <w:rFonts w:hint="eastAsia"/>
          <w:sz w:val="21"/>
          <w:szCs w:val="21"/>
          <w:shd w:val="clear" w:color="auto" w:fill="FFFFFF"/>
        </w:rPr>
      </w:pPr>
      <w:r>
        <w:rPr>
          <w:rFonts w:hint="eastAsia"/>
          <w:sz w:val="21"/>
          <w:szCs w:val="21"/>
          <w:shd w:val="clear" w:color="auto" w:fill="FFFFFF"/>
        </w:rPr>
        <w:t xml:space="preserve">二是科学合理编制预算，严格执行预算。加强预算编制的前瞻性，按政策规定及本部门的发展规划，结合上一年度预算执行情况和本年度预算收支变化因素，科学、合理地编制本年预算，避免预算支出与实际执行出现较大偏差的情况。  </w:t>
      </w:r>
    </w:p>
    <w:p>
      <w:pPr>
        <w:ind w:firstLine="420" w:firstLineChars="200"/>
        <w:rPr>
          <w:rFonts w:hint="eastAsia"/>
          <w:sz w:val="21"/>
          <w:szCs w:val="21"/>
          <w:shd w:val="clear" w:color="auto" w:fill="FFFFFF"/>
        </w:rPr>
      </w:pPr>
      <w:r>
        <w:rPr>
          <w:rFonts w:hint="eastAsia"/>
          <w:sz w:val="21"/>
          <w:szCs w:val="21"/>
          <w:shd w:val="clear" w:color="auto" w:fill="FFFFFF"/>
        </w:rPr>
        <w:t>三是应进一步加快支出进度，切实落实北京市及朝阳区关于促支降存工作的各项政策措施。在保证资金安全的情况下，强化预算执行，进一步加快支出进度，做好将促支降存工作与区委、区政府重点工作相结合，更好地发挥积极财政政策作用，促进各项重点工作的加快推进。</w:t>
      </w:r>
    </w:p>
    <w:p>
      <w:pPr>
        <w:ind w:firstLine="420" w:firstLineChars="200"/>
        <w:rPr>
          <w:rFonts w:hint="eastAsia"/>
          <w:sz w:val="21"/>
          <w:szCs w:val="21"/>
          <w:shd w:val="clear" w:color="auto" w:fill="FFFFFF"/>
        </w:rPr>
      </w:pPr>
      <w:r>
        <w:rPr>
          <w:rFonts w:hint="eastAsia"/>
          <w:sz w:val="21"/>
          <w:szCs w:val="21"/>
          <w:shd w:val="clear" w:color="auto" w:fill="FFFFFF"/>
        </w:rPr>
        <w:t xml:space="preserve"> </w:t>
      </w:r>
    </w:p>
    <w:p>
      <w:pPr>
        <w:pStyle w:val="24"/>
        <w:spacing w:before="0" w:beforeAutospacing="0"/>
        <w:jc w:val="both"/>
        <w:rPr>
          <w:rFonts w:hint="eastAsia"/>
          <w:sz w:val="21"/>
          <w:szCs w:val="21"/>
          <w:shd w:val="clear" w:color="auto" w:fill="FFFFFF"/>
        </w:rPr>
      </w:pPr>
      <w:r>
        <w:rPr>
          <w:rFonts w:hint="eastAsia"/>
          <w:sz w:val="21"/>
          <w:szCs w:val="21"/>
          <w:shd w:val="clear" w:color="auto" w:fill="FFFFFF"/>
        </w:rPr>
        <w:t xml:space="preserve"> </w:t>
      </w:r>
    </w:p>
    <w:p>
      <w:pPr>
        <w:pStyle w:val="24"/>
        <w:spacing w:before="0" w:beforeAutospacing="0"/>
        <w:jc w:val="both"/>
        <w:rPr>
          <w:rFonts w:hint="eastAsia"/>
          <w:sz w:val="21"/>
          <w:szCs w:val="21"/>
          <w:shd w:val="clear" w:color="auto" w:fill="FFFFFF"/>
        </w:rPr>
      </w:pPr>
      <w:r>
        <w:rPr>
          <w:rFonts w:hint="eastAsia"/>
          <w:sz w:val="21"/>
          <w:szCs w:val="21"/>
          <w:shd w:val="clear" w:color="auto" w:fill="FFFFFF"/>
        </w:rPr>
        <w:t xml:space="preserve"> </w:t>
      </w:r>
    </w:p>
    <w:p>
      <w:pPr>
        <w:pStyle w:val="24"/>
        <w:spacing w:before="0" w:beforeAutospacing="0"/>
        <w:jc w:val="both"/>
        <w:rPr>
          <w:rFonts w:hint="eastAsia"/>
          <w:sz w:val="21"/>
          <w:szCs w:val="21"/>
          <w:shd w:val="clear" w:color="auto" w:fill="FFFFFF"/>
        </w:rPr>
      </w:pPr>
      <w:r>
        <w:rPr>
          <w:rFonts w:hint="eastAsia"/>
          <w:sz w:val="21"/>
          <w:szCs w:val="21"/>
          <w:shd w:val="clear" w:color="auto" w:fill="FFFFFF"/>
        </w:rPr>
        <w:t xml:space="preserve"> </w:t>
      </w:r>
    </w:p>
    <w:p>
      <w:pPr>
        <w:pStyle w:val="24"/>
        <w:spacing w:before="0" w:beforeAutospacing="0"/>
        <w:jc w:val="both"/>
        <w:rPr>
          <w:rFonts w:hint="eastAsia"/>
          <w:b/>
          <w:bCs/>
          <w:sz w:val="21"/>
          <w:szCs w:val="21"/>
          <w:shd w:val="clear" w:color="auto" w:fill="FFFFFF"/>
        </w:rPr>
      </w:pPr>
      <w:r>
        <w:rPr>
          <w:rStyle w:val="37"/>
          <w:rFonts w:hint="eastAsia" w:ascii="宋体" w:hAnsi="宋体"/>
          <w:sz w:val="21"/>
          <w:szCs w:val="21"/>
          <w:shd w:val="clear" w:color="auto" w:fill="FFFFFF"/>
        </w:rPr>
        <w:t xml:space="preserve"> </w:t>
      </w:r>
    </w:p>
    <w:p>
      <w:pPr>
        <w:pStyle w:val="24"/>
        <w:spacing w:before="0" w:beforeAutospacing="0"/>
        <w:jc w:val="both"/>
        <w:rPr>
          <w:rFonts w:hint="eastAsia"/>
          <w:b/>
          <w:bCs/>
          <w:sz w:val="21"/>
          <w:szCs w:val="21"/>
          <w:shd w:val="clear" w:color="auto" w:fill="FFFFFF"/>
        </w:rPr>
      </w:pPr>
      <w:r>
        <w:rPr>
          <w:rStyle w:val="37"/>
          <w:rFonts w:hint="eastAsia" w:ascii="宋体" w:hAnsi="宋体"/>
          <w:sz w:val="21"/>
          <w:szCs w:val="21"/>
          <w:shd w:val="clear" w:color="auto" w:fill="FFFFFF"/>
        </w:rPr>
        <w:t xml:space="preserve"> </w:t>
      </w:r>
    </w:p>
    <w:p>
      <w:pPr>
        <w:pStyle w:val="24"/>
        <w:spacing w:before="0" w:beforeAutospacing="0"/>
        <w:jc w:val="both"/>
        <w:rPr>
          <w:rFonts w:hint="eastAsia"/>
          <w:b/>
          <w:bCs/>
          <w:sz w:val="21"/>
          <w:szCs w:val="21"/>
          <w:shd w:val="clear" w:color="auto" w:fill="FFFFFF"/>
        </w:rPr>
      </w:pPr>
      <w:r>
        <w:rPr>
          <w:rStyle w:val="37"/>
          <w:rFonts w:hint="eastAsia" w:ascii="宋体" w:hAnsi="宋体"/>
          <w:sz w:val="21"/>
          <w:szCs w:val="21"/>
          <w:shd w:val="clear" w:color="auto" w:fill="FFFFFF"/>
        </w:rPr>
        <w:t xml:space="preserve"> </w:t>
      </w:r>
    </w:p>
    <w:p>
      <w:pPr>
        <w:pStyle w:val="24"/>
        <w:spacing w:before="0" w:beforeAutospacing="0"/>
        <w:jc w:val="both"/>
        <w:rPr>
          <w:rFonts w:hint="eastAsia"/>
          <w:sz w:val="21"/>
          <w:szCs w:val="21"/>
        </w:rPr>
      </w:pPr>
      <w:r>
        <w:rPr>
          <w:rStyle w:val="37"/>
          <w:rFonts w:hint="eastAsia" w:ascii="宋体" w:hAnsi="宋体"/>
          <w:sz w:val="21"/>
          <w:szCs w:val="21"/>
          <w:shd w:val="clear" w:color="auto" w:fill="FFFFFF"/>
        </w:rPr>
        <w:t>二、项目支出绩效自评表或绩效评价报告</w:t>
      </w:r>
    </w:p>
    <w:tbl>
      <w:tblPr>
        <w:tblStyle w:val="14"/>
        <w:tblW w:w="8522" w:type="dxa"/>
        <w:jc w:val="center"/>
        <w:tblInd w:w="0" w:type="dxa"/>
        <w:tblLayout w:type="fixed"/>
        <w:tblCellMar>
          <w:top w:w="0" w:type="dxa"/>
          <w:left w:w="108" w:type="dxa"/>
          <w:bottom w:w="0" w:type="dxa"/>
          <w:right w:w="108" w:type="dxa"/>
        </w:tblCellMar>
      </w:tblPr>
      <w:tblGrid>
        <w:gridCol w:w="518"/>
        <w:gridCol w:w="500"/>
        <w:gridCol w:w="746"/>
        <w:gridCol w:w="1308"/>
        <w:gridCol w:w="2240"/>
        <w:gridCol w:w="1553"/>
        <w:gridCol w:w="498"/>
        <w:gridCol w:w="522"/>
        <w:gridCol w:w="637"/>
      </w:tblGrid>
      <w:tr>
        <w:tblPrEx>
          <w:tblLayout w:type="fixed"/>
          <w:tblCellMar>
            <w:top w:w="0" w:type="dxa"/>
            <w:left w:w="108" w:type="dxa"/>
            <w:bottom w:w="0" w:type="dxa"/>
            <w:right w:w="108" w:type="dxa"/>
          </w:tblCellMar>
        </w:tblPrEx>
        <w:trPr>
          <w:trHeight w:val="440" w:hRule="atLeast"/>
          <w:jc w:val="center"/>
        </w:trPr>
        <w:tc>
          <w:tcPr>
            <w:tcW w:w="8522" w:type="dxa"/>
            <w:gridSpan w:val="9"/>
            <w:tcBorders>
              <w:top w:val="nil"/>
              <w:left w:val="nil"/>
              <w:bottom w:val="nil"/>
              <w:right w:val="nil"/>
            </w:tcBorders>
            <w:vAlign w:val="center"/>
          </w:tcPr>
          <w:p>
            <w:pPr>
              <w:spacing w:line="320" w:lineRule="exact"/>
              <w:jc w:val="center"/>
              <w:rPr>
                <w:rFonts w:ascii="黑体" w:eastAsia="黑体"/>
                <w:sz w:val="32"/>
                <w:szCs w:val="32"/>
              </w:rPr>
            </w:pPr>
            <w:r>
              <w:rPr>
                <w:rFonts w:hint="eastAsia" w:ascii="黑体" w:eastAsia="黑体"/>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522" w:type="dxa"/>
            <w:gridSpan w:val="9"/>
            <w:tcBorders>
              <w:top w:val="nil"/>
              <w:left w:val="nil"/>
              <w:bottom w:val="nil"/>
              <w:right w:val="nil"/>
            </w:tcBorders>
          </w:tcPr>
          <w:p>
            <w:pPr>
              <w:jc w:val="center"/>
              <w:rPr>
                <w:sz w:val="22"/>
                <w:szCs w:val="22"/>
              </w:rPr>
            </w:pPr>
            <w:r>
              <w:rPr>
                <w:rFonts w:hint="eastAsia"/>
                <w:sz w:val="22"/>
                <w:szCs w:val="22"/>
              </w:rPr>
              <w:t>（  2021  年度）</w:t>
            </w:r>
          </w:p>
        </w:tc>
      </w:tr>
      <w:tr>
        <w:tblPrEx>
          <w:tblLayout w:type="fixed"/>
          <w:tblCellMar>
            <w:top w:w="0" w:type="dxa"/>
            <w:left w:w="108" w:type="dxa"/>
            <w:bottom w:w="0" w:type="dxa"/>
            <w:right w:w="108" w:type="dxa"/>
          </w:tblCellMar>
        </w:tblPrEx>
        <w:trPr>
          <w:trHeight w:val="291" w:hRule="atLeast"/>
          <w:jc w:val="center"/>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项目名称</w:t>
            </w:r>
          </w:p>
        </w:tc>
        <w:tc>
          <w:tcPr>
            <w:tcW w:w="7504" w:type="dxa"/>
            <w:gridSpan w:val="7"/>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公共服务经费</w:t>
            </w:r>
          </w:p>
        </w:tc>
      </w:tr>
      <w:tr>
        <w:tblPrEx>
          <w:tblLayout w:type="fixed"/>
          <w:tblCellMar>
            <w:top w:w="0" w:type="dxa"/>
            <w:left w:w="108" w:type="dxa"/>
            <w:bottom w:w="0" w:type="dxa"/>
            <w:right w:w="108" w:type="dxa"/>
          </w:tblCellMar>
        </w:tblPrEx>
        <w:trPr>
          <w:trHeight w:val="291" w:hRule="atLeast"/>
          <w:jc w:val="center"/>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主管部门</w:t>
            </w:r>
          </w:p>
        </w:tc>
        <w:tc>
          <w:tcPr>
            <w:tcW w:w="4294"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615酒仙桥</w:t>
            </w:r>
          </w:p>
        </w:tc>
        <w:tc>
          <w:tcPr>
            <w:tcW w:w="155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实施单位</w:t>
            </w:r>
          </w:p>
        </w:tc>
        <w:tc>
          <w:tcPr>
            <w:tcW w:w="1657"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酒仙桥街道办事处</w:t>
            </w:r>
          </w:p>
        </w:tc>
      </w:tr>
      <w:tr>
        <w:tblPrEx>
          <w:tblLayout w:type="fixed"/>
          <w:tblCellMar>
            <w:top w:w="0" w:type="dxa"/>
            <w:left w:w="108" w:type="dxa"/>
            <w:bottom w:w="0" w:type="dxa"/>
            <w:right w:w="108" w:type="dxa"/>
          </w:tblCellMar>
        </w:tblPrEx>
        <w:trPr>
          <w:trHeight w:val="291" w:hRule="atLeast"/>
          <w:jc w:val="center"/>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项目负责人</w:t>
            </w:r>
          </w:p>
        </w:tc>
        <w:tc>
          <w:tcPr>
            <w:tcW w:w="4294"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张莹</w:t>
            </w:r>
          </w:p>
        </w:tc>
        <w:tc>
          <w:tcPr>
            <w:tcW w:w="155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联系电话</w:t>
            </w:r>
          </w:p>
        </w:tc>
        <w:tc>
          <w:tcPr>
            <w:tcW w:w="1657"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64309042</w:t>
            </w:r>
          </w:p>
        </w:tc>
      </w:tr>
      <w:tr>
        <w:tblPrEx>
          <w:tblLayout w:type="fixed"/>
          <w:tblCellMar>
            <w:top w:w="0" w:type="dxa"/>
            <w:left w:w="108" w:type="dxa"/>
            <w:bottom w:w="0" w:type="dxa"/>
            <w:right w:w="108" w:type="dxa"/>
          </w:tblCellMar>
        </w:tblPrEx>
        <w:trPr>
          <w:trHeight w:val="291" w:hRule="atLeast"/>
          <w:jc w:val="center"/>
        </w:trPr>
        <w:tc>
          <w:tcPr>
            <w:tcW w:w="1018"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项目资金</w:t>
            </w:r>
            <w:r>
              <w:rPr>
                <w:rFonts w:hint="eastAsia"/>
                <w:sz w:val="18"/>
                <w:szCs w:val="18"/>
              </w:rPr>
              <w:br w:type="textWrapping"/>
            </w:r>
            <w:r>
              <w:rPr>
                <w:rFonts w:hint="eastAsia"/>
                <w:sz w:val="18"/>
                <w:szCs w:val="18"/>
              </w:rPr>
              <w:t>（万元）</w:t>
            </w:r>
          </w:p>
        </w:tc>
        <w:tc>
          <w:tcPr>
            <w:tcW w:w="746"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1308"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年初预算数</w:t>
            </w:r>
          </w:p>
        </w:tc>
        <w:tc>
          <w:tcPr>
            <w:tcW w:w="22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全年预算数</w:t>
            </w:r>
          </w:p>
        </w:tc>
        <w:tc>
          <w:tcPr>
            <w:tcW w:w="155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全年执行数</w:t>
            </w:r>
          </w:p>
        </w:tc>
        <w:tc>
          <w:tcPr>
            <w:tcW w:w="498"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分值</w:t>
            </w:r>
          </w:p>
        </w:tc>
        <w:tc>
          <w:tcPr>
            <w:tcW w:w="52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执行率</w:t>
            </w:r>
          </w:p>
        </w:tc>
        <w:tc>
          <w:tcPr>
            <w:tcW w:w="63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得分</w:t>
            </w:r>
          </w:p>
        </w:tc>
      </w:tr>
      <w:tr>
        <w:tblPrEx>
          <w:tblLayout w:type="fixed"/>
          <w:tblCellMar>
            <w:top w:w="0" w:type="dxa"/>
            <w:left w:w="108" w:type="dxa"/>
            <w:bottom w:w="0" w:type="dxa"/>
            <w:right w:w="108" w:type="dxa"/>
          </w:tblCellMar>
        </w:tblPrEx>
        <w:trPr>
          <w:trHeight w:val="951" w:hRule="atLeast"/>
          <w:jc w:val="center"/>
        </w:trPr>
        <w:tc>
          <w:tcPr>
            <w:tcW w:w="1018" w:type="dxa"/>
            <w:gridSpan w:val="2"/>
            <w:vMerge w:val="continue"/>
            <w:tcBorders>
              <w:top w:val="nil"/>
              <w:left w:val="single" w:color="auto" w:sz="4" w:space="0"/>
              <w:bottom w:val="single" w:color="auto" w:sz="4" w:space="0"/>
              <w:right w:val="single" w:color="auto" w:sz="4" w:space="0"/>
            </w:tcBorders>
            <w:vAlign w:val="center"/>
          </w:tcPr>
          <w:p>
            <w:pPr>
              <w:rPr>
                <w:sz w:val="18"/>
                <w:szCs w:val="18"/>
              </w:rPr>
            </w:pPr>
          </w:p>
        </w:tc>
        <w:tc>
          <w:tcPr>
            <w:tcW w:w="746"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年度资金总额</w:t>
            </w:r>
          </w:p>
        </w:tc>
        <w:tc>
          <w:tcPr>
            <w:tcW w:w="1308"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2337.9872</w:t>
            </w:r>
          </w:p>
          <w:p>
            <w:pPr>
              <w:spacing w:line="240" w:lineRule="exact"/>
              <w:jc w:val="center"/>
              <w:rPr>
                <w:sz w:val="18"/>
                <w:szCs w:val="18"/>
              </w:rPr>
            </w:pPr>
          </w:p>
        </w:tc>
        <w:tc>
          <w:tcPr>
            <w:tcW w:w="22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2337.9872</w:t>
            </w:r>
          </w:p>
          <w:p>
            <w:pPr>
              <w:spacing w:line="240" w:lineRule="exact"/>
              <w:jc w:val="center"/>
              <w:rPr>
                <w:sz w:val="18"/>
                <w:szCs w:val="18"/>
              </w:rPr>
            </w:pPr>
          </w:p>
        </w:tc>
        <w:tc>
          <w:tcPr>
            <w:tcW w:w="155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2337.9872</w:t>
            </w:r>
          </w:p>
          <w:p>
            <w:pPr>
              <w:spacing w:line="240" w:lineRule="exact"/>
              <w:jc w:val="center"/>
              <w:rPr>
                <w:sz w:val="18"/>
                <w:szCs w:val="18"/>
              </w:rPr>
            </w:pPr>
          </w:p>
        </w:tc>
        <w:tc>
          <w:tcPr>
            <w:tcW w:w="498"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2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w:t>
            </w:r>
          </w:p>
        </w:tc>
        <w:tc>
          <w:tcPr>
            <w:tcW w:w="63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r>
      <w:tr>
        <w:tblPrEx>
          <w:tblLayout w:type="fixed"/>
          <w:tblCellMar>
            <w:top w:w="0" w:type="dxa"/>
            <w:left w:w="108" w:type="dxa"/>
            <w:bottom w:w="0" w:type="dxa"/>
            <w:right w:w="108" w:type="dxa"/>
          </w:tblCellMar>
        </w:tblPrEx>
        <w:trPr>
          <w:trHeight w:val="1186" w:hRule="atLeast"/>
          <w:jc w:val="center"/>
        </w:trPr>
        <w:tc>
          <w:tcPr>
            <w:tcW w:w="1018" w:type="dxa"/>
            <w:gridSpan w:val="2"/>
            <w:vMerge w:val="continue"/>
            <w:tcBorders>
              <w:top w:val="nil"/>
              <w:left w:val="single" w:color="auto" w:sz="4" w:space="0"/>
              <w:bottom w:val="single" w:color="auto" w:sz="4" w:space="0"/>
              <w:right w:val="single" w:color="auto" w:sz="4" w:space="0"/>
            </w:tcBorders>
            <w:vAlign w:val="center"/>
          </w:tcPr>
          <w:p>
            <w:pPr>
              <w:rPr>
                <w:sz w:val="18"/>
                <w:szCs w:val="18"/>
              </w:rPr>
            </w:pPr>
          </w:p>
        </w:tc>
        <w:tc>
          <w:tcPr>
            <w:tcW w:w="746"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其中：当年财政拨款</w:t>
            </w:r>
          </w:p>
        </w:tc>
        <w:tc>
          <w:tcPr>
            <w:tcW w:w="1308"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2337.9872</w:t>
            </w:r>
          </w:p>
          <w:p>
            <w:pPr>
              <w:spacing w:line="240" w:lineRule="exact"/>
              <w:jc w:val="center"/>
              <w:rPr>
                <w:sz w:val="18"/>
                <w:szCs w:val="18"/>
              </w:rPr>
            </w:pPr>
          </w:p>
        </w:tc>
        <w:tc>
          <w:tcPr>
            <w:tcW w:w="22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2337.9872</w:t>
            </w:r>
          </w:p>
          <w:p>
            <w:pPr>
              <w:spacing w:line="240" w:lineRule="exact"/>
              <w:jc w:val="center"/>
              <w:rPr>
                <w:sz w:val="18"/>
                <w:szCs w:val="18"/>
              </w:rPr>
            </w:pPr>
          </w:p>
        </w:tc>
        <w:tc>
          <w:tcPr>
            <w:tcW w:w="155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2337.9872</w:t>
            </w:r>
          </w:p>
          <w:p>
            <w:pPr>
              <w:spacing w:line="240" w:lineRule="exact"/>
              <w:jc w:val="center"/>
              <w:rPr>
                <w:sz w:val="18"/>
                <w:szCs w:val="18"/>
              </w:rPr>
            </w:pPr>
          </w:p>
        </w:tc>
        <w:tc>
          <w:tcPr>
            <w:tcW w:w="498"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52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63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Layout w:type="fixed"/>
          <w:tblCellMar>
            <w:top w:w="0" w:type="dxa"/>
            <w:left w:w="108" w:type="dxa"/>
            <w:bottom w:w="0" w:type="dxa"/>
            <w:right w:w="108" w:type="dxa"/>
          </w:tblCellMar>
        </w:tblPrEx>
        <w:trPr>
          <w:trHeight w:val="861" w:hRule="atLeast"/>
          <w:jc w:val="center"/>
        </w:trPr>
        <w:tc>
          <w:tcPr>
            <w:tcW w:w="1018" w:type="dxa"/>
            <w:gridSpan w:val="2"/>
            <w:vMerge w:val="continue"/>
            <w:tcBorders>
              <w:top w:val="nil"/>
              <w:left w:val="single" w:color="auto" w:sz="4" w:space="0"/>
              <w:bottom w:val="single" w:color="auto" w:sz="4" w:space="0"/>
              <w:right w:val="single" w:color="auto" w:sz="4" w:space="0"/>
            </w:tcBorders>
            <w:vAlign w:val="center"/>
          </w:tcPr>
          <w:p>
            <w:pPr>
              <w:rPr>
                <w:sz w:val="18"/>
                <w:szCs w:val="18"/>
              </w:rPr>
            </w:pPr>
          </w:p>
        </w:tc>
        <w:tc>
          <w:tcPr>
            <w:tcW w:w="746"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上年结转资金</w:t>
            </w:r>
          </w:p>
        </w:tc>
        <w:tc>
          <w:tcPr>
            <w:tcW w:w="1308"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2240"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1553"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498"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52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63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Layout w:type="fixed"/>
          <w:tblCellMar>
            <w:top w:w="0" w:type="dxa"/>
            <w:left w:w="108" w:type="dxa"/>
            <w:bottom w:w="0" w:type="dxa"/>
            <w:right w:w="108" w:type="dxa"/>
          </w:tblCellMar>
        </w:tblPrEx>
        <w:trPr>
          <w:trHeight w:val="991" w:hRule="atLeast"/>
          <w:jc w:val="center"/>
        </w:trPr>
        <w:tc>
          <w:tcPr>
            <w:tcW w:w="1018" w:type="dxa"/>
            <w:gridSpan w:val="2"/>
            <w:vMerge w:val="continue"/>
            <w:tcBorders>
              <w:top w:val="nil"/>
              <w:left w:val="single" w:color="auto" w:sz="4" w:space="0"/>
              <w:bottom w:val="single" w:color="auto" w:sz="4" w:space="0"/>
              <w:right w:val="single" w:color="auto" w:sz="4" w:space="0"/>
            </w:tcBorders>
            <w:vAlign w:val="center"/>
          </w:tcPr>
          <w:p>
            <w:pPr>
              <w:rPr>
                <w:sz w:val="18"/>
                <w:szCs w:val="18"/>
              </w:rPr>
            </w:pPr>
          </w:p>
        </w:tc>
        <w:tc>
          <w:tcPr>
            <w:tcW w:w="746"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其他资金</w:t>
            </w:r>
          </w:p>
        </w:tc>
        <w:tc>
          <w:tcPr>
            <w:tcW w:w="1308"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2240"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1553"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498"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52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63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Layout w:type="fixed"/>
          <w:tblCellMar>
            <w:top w:w="0" w:type="dxa"/>
            <w:left w:w="108" w:type="dxa"/>
            <w:bottom w:w="0" w:type="dxa"/>
            <w:right w:w="108" w:type="dxa"/>
          </w:tblCellMar>
        </w:tblPrEx>
        <w:trPr>
          <w:trHeight w:val="291"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年度总体目标</w:t>
            </w:r>
          </w:p>
        </w:tc>
        <w:tc>
          <w:tcPr>
            <w:tcW w:w="479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预期目标</w:t>
            </w:r>
          </w:p>
        </w:tc>
        <w:tc>
          <w:tcPr>
            <w:tcW w:w="3210"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实际完成情况</w:t>
            </w:r>
          </w:p>
        </w:tc>
      </w:tr>
      <w:tr>
        <w:tblPrEx>
          <w:tblLayout w:type="fixed"/>
          <w:tblCellMar>
            <w:top w:w="0" w:type="dxa"/>
            <w:left w:w="108" w:type="dxa"/>
            <w:bottom w:w="0" w:type="dxa"/>
            <w:right w:w="108" w:type="dxa"/>
          </w:tblCellMar>
        </w:tblPrEx>
        <w:trPr>
          <w:trHeight w:val="579" w:hRule="atLeast"/>
          <w:jc w:val="center"/>
        </w:trPr>
        <w:tc>
          <w:tcPr>
            <w:tcW w:w="518" w:type="dxa"/>
            <w:vMerge w:val="continue"/>
            <w:tcBorders>
              <w:top w:val="nil"/>
              <w:left w:val="single" w:color="auto" w:sz="4" w:space="0"/>
              <w:bottom w:val="single" w:color="auto" w:sz="4" w:space="0"/>
              <w:right w:val="single" w:color="auto" w:sz="4" w:space="0"/>
            </w:tcBorders>
            <w:vAlign w:val="center"/>
          </w:tcPr>
          <w:p>
            <w:pPr>
              <w:rPr>
                <w:sz w:val="18"/>
                <w:szCs w:val="18"/>
              </w:rPr>
            </w:pPr>
          </w:p>
        </w:tc>
        <w:tc>
          <w:tcPr>
            <w:tcW w:w="479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保障社区正常运转</w:t>
            </w:r>
          </w:p>
        </w:tc>
        <w:tc>
          <w:tcPr>
            <w:tcW w:w="3210"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2020年全年社区运转正常</w:t>
            </w:r>
          </w:p>
        </w:tc>
      </w:tr>
      <w:tr>
        <w:tblPrEx>
          <w:tblLayout w:type="fixed"/>
          <w:tblCellMar>
            <w:top w:w="0" w:type="dxa"/>
            <w:left w:w="108" w:type="dxa"/>
            <w:bottom w:w="0" w:type="dxa"/>
            <w:right w:w="108" w:type="dxa"/>
          </w:tblCellMar>
        </w:tblPrEx>
        <w:trPr>
          <w:trHeight w:val="517" w:hRule="atLeast"/>
          <w:jc w:val="center"/>
        </w:trPr>
        <w:tc>
          <w:tcPr>
            <w:tcW w:w="518" w:type="dxa"/>
            <w:vMerge w:val="restart"/>
            <w:tcBorders>
              <w:top w:val="nil"/>
              <w:left w:val="single" w:color="auto" w:sz="4" w:space="0"/>
              <w:bottom w:val="nil"/>
              <w:right w:val="single" w:color="auto" w:sz="4" w:space="0"/>
            </w:tcBorders>
            <w:vAlign w:val="center"/>
          </w:tcPr>
          <w:p>
            <w:pPr>
              <w:spacing w:line="240" w:lineRule="exact"/>
              <w:jc w:val="center"/>
              <w:rPr>
                <w:sz w:val="18"/>
                <w:szCs w:val="18"/>
              </w:rPr>
            </w:pPr>
            <w:r>
              <w:rPr>
                <w:rFonts w:hint="eastAsia"/>
                <w:sz w:val="18"/>
                <w:szCs w:val="18"/>
              </w:rPr>
              <w:t>绩</w:t>
            </w:r>
            <w:r>
              <w:rPr>
                <w:rFonts w:hint="eastAsia"/>
                <w:sz w:val="18"/>
                <w:szCs w:val="18"/>
              </w:rPr>
              <w:br w:type="textWrapping"/>
            </w:r>
            <w:r>
              <w:rPr>
                <w:rFonts w:hint="eastAsia"/>
                <w:sz w:val="18"/>
                <w:szCs w:val="18"/>
              </w:rPr>
              <w:t>效</w:t>
            </w:r>
            <w:r>
              <w:rPr>
                <w:rFonts w:hint="eastAsia"/>
                <w:sz w:val="18"/>
                <w:szCs w:val="18"/>
              </w:rPr>
              <w:br w:type="textWrapping"/>
            </w:r>
            <w:r>
              <w:rPr>
                <w:rFonts w:hint="eastAsia"/>
                <w:sz w:val="18"/>
                <w:szCs w:val="18"/>
              </w:rPr>
              <w:t>指</w:t>
            </w:r>
            <w:r>
              <w:rPr>
                <w:rFonts w:hint="eastAsia"/>
                <w:sz w:val="18"/>
                <w:szCs w:val="18"/>
              </w:rPr>
              <w:br w:type="textWrapping"/>
            </w:r>
            <w:r>
              <w:rPr>
                <w:rFonts w:hint="eastAsia"/>
                <w:sz w:val="18"/>
                <w:szCs w:val="18"/>
              </w:rPr>
              <w:t>标</w:t>
            </w:r>
          </w:p>
        </w:tc>
        <w:tc>
          <w:tcPr>
            <w:tcW w:w="50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一级指标</w:t>
            </w:r>
          </w:p>
        </w:tc>
        <w:tc>
          <w:tcPr>
            <w:tcW w:w="746"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二级指标</w:t>
            </w:r>
          </w:p>
        </w:tc>
        <w:tc>
          <w:tcPr>
            <w:tcW w:w="1308"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三级指标</w:t>
            </w:r>
          </w:p>
        </w:tc>
        <w:tc>
          <w:tcPr>
            <w:tcW w:w="22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年度</w:t>
            </w:r>
          </w:p>
          <w:p>
            <w:pPr>
              <w:spacing w:line="240" w:lineRule="exact"/>
              <w:jc w:val="center"/>
              <w:rPr>
                <w:sz w:val="18"/>
                <w:szCs w:val="18"/>
              </w:rPr>
            </w:pPr>
            <w:r>
              <w:rPr>
                <w:rFonts w:hint="eastAsia"/>
                <w:sz w:val="18"/>
                <w:szCs w:val="18"/>
              </w:rPr>
              <w:t>指标值</w:t>
            </w:r>
          </w:p>
        </w:tc>
        <w:tc>
          <w:tcPr>
            <w:tcW w:w="155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实际</w:t>
            </w:r>
          </w:p>
          <w:p>
            <w:pPr>
              <w:spacing w:line="240" w:lineRule="exact"/>
              <w:jc w:val="center"/>
              <w:rPr>
                <w:sz w:val="18"/>
                <w:szCs w:val="18"/>
              </w:rPr>
            </w:pPr>
            <w:r>
              <w:rPr>
                <w:rFonts w:hint="eastAsia"/>
                <w:sz w:val="18"/>
                <w:szCs w:val="18"/>
              </w:rPr>
              <w:t>完成值</w:t>
            </w:r>
          </w:p>
        </w:tc>
        <w:tc>
          <w:tcPr>
            <w:tcW w:w="498"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分值</w:t>
            </w:r>
          </w:p>
        </w:tc>
        <w:tc>
          <w:tcPr>
            <w:tcW w:w="52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得分</w:t>
            </w:r>
          </w:p>
        </w:tc>
        <w:tc>
          <w:tcPr>
            <w:tcW w:w="6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偏差原因分析及改进措施</w:t>
            </w:r>
          </w:p>
        </w:tc>
      </w:tr>
      <w:tr>
        <w:tblPrEx>
          <w:tblLayout w:type="fixed"/>
          <w:tblCellMar>
            <w:top w:w="0" w:type="dxa"/>
            <w:left w:w="108" w:type="dxa"/>
            <w:bottom w:w="0" w:type="dxa"/>
            <w:right w:w="108" w:type="dxa"/>
          </w:tblCellMar>
        </w:tblPrEx>
        <w:trPr>
          <w:trHeight w:val="863" w:hRule="atLeast"/>
          <w:jc w:val="center"/>
        </w:trPr>
        <w:tc>
          <w:tcPr>
            <w:tcW w:w="518" w:type="dxa"/>
            <w:vMerge w:val="continue"/>
            <w:tcBorders>
              <w:top w:val="nil"/>
              <w:left w:val="single" w:color="auto" w:sz="4" w:space="0"/>
              <w:bottom w:val="nil"/>
              <w:right w:val="single" w:color="auto" w:sz="4" w:space="0"/>
            </w:tcBorders>
            <w:vAlign w:val="center"/>
          </w:tcPr>
          <w:p>
            <w:pPr>
              <w:rPr>
                <w:sz w:val="18"/>
                <w:szCs w:val="18"/>
              </w:rPr>
            </w:pPr>
          </w:p>
        </w:tc>
        <w:tc>
          <w:tcPr>
            <w:tcW w:w="500" w:type="dxa"/>
            <w:vMerge w:val="restart"/>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产出指标50</w:t>
            </w:r>
          </w:p>
        </w:tc>
        <w:tc>
          <w:tcPr>
            <w:tcW w:w="746"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数量指标</w:t>
            </w:r>
          </w:p>
        </w:tc>
        <w:tc>
          <w:tcPr>
            <w:tcW w:w="1308" w:type="dxa"/>
            <w:tcBorders>
              <w:top w:val="single" w:color="auto" w:sz="4" w:space="0"/>
              <w:left w:val="nil"/>
              <w:bottom w:val="nil"/>
              <w:right w:val="single" w:color="auto" w:sz="4" w:space="0"/>
            </w:tcBorders>
            <w:vAlign w:val="center"/>
          </w:tcPr>
          <w:p>
            <w:pPr>
              <w:spacing w:line="240" w:lineRule="exact"/>
              <w:rPr>
                <w:color w:val="000000"/>
                <w:sz w:val="18"/>
                <w:szCs w:val="18"/>
              </w:rPr>
            </w:pPr>
            <w:r>
              <w:rPr>
                <w:rFonts w:hint="eastAsia"/>
                <w:color w:val="000000"/>
                <w:sz w:val="18"/>
                <w:szCs w:val="18"/>
              </w:rPr>
              <w:t>指标1：社区人数</w:t>
            </w:r>
          </w:p>
        </w:tc>
        <w:tc>
          <w:tcPr>
            <w:tcW w:w="2240" w:type="dxa"/>
            <w:tcBorders>
              <w:top w:val="single" w:color="auto" w:sz="4" w:space="0"/>
              <w:left w:val="nil"/>
              <w:bottom w:val="single" w:color="auto" w:sz="4" w:space="0"/>
              <w:right w:val="single" w:color="auto" w:sz="6" w:space="0"/>
            </w:tcBorders>
            <w:vAlign w:val="center"/>
          </w:tcPr>
          <w:p>
            <w:pPr>
              <w:spacing w:line="240" w:lineRule="exact"/>
              <w:rPr>
                <w:sz w:val="18"/>
                <w:szCs w:val="18"/>
              </w:rPr>
            </w:pPr>
            <w:r>
              <w:rPr>
                <w:rFonts w:hint="eastAsia"/>
                <w:sz w:val="18"/>
                <w:szCs w:val="18"/>
              </w:rPr>
              <w:t>主要用于保障社区163名人员工资、五险一金及公用支出</w:t>
            </w:r>
          </w:p>
        </w:tc>
        <w:tc>
          <w:tcPr>
            <w:tcW w:w="1553" w:type="dxa"/>
            <w:tcBorders>
              <w:top w:val="single" w:color="auto" w:sz="4" w:space="0"/>
              <w:left w:val="nil"/>
              <w:bottom w:val="single" w:color="auto" w:sz="4" w:space="0"/>
              <w:right w:val="single" w:color="auto" w:sz="6" w:space="0"/>
            </w:tcBorders>
            <w:vAlign w:val="center"/>
          </w:tcPr>
          <w:p>
            <w:pPr>
              <w:spacing w:line="240" w:lineRule="exact"/>
              <w:jc w:val="center"/>
              <w:rPr>
                <w:sz w:val="18"/>
                <w:szCs w:val="18"/>
              </w:rPr>
            </w:pPr>
            <w:r>
              <w:rPr>
                <w:rFonts w:hint="eastAsia"/>
                <w:sz w:val="18"/>
                <w:szCs w:val="18"/>
              </w:rPr>
              <w:t>保障了社区163名人员工资、五险一金及公用支出</w:t>
            </w:r>
          </w:p>
        </w:tc>
        <w:tc>
          <w:tcPr>
            <w:tcW w:w="498" w:type="dxa"/>
            <w:tcBorders>
              <w:top w:val="single" w:color="auto" w:sz="4" w:space="0"/>
              <w:left w:val="nil"/>
              <w:bottom w:val="single" w:color="auto" w:sz="4" w:space="0"/>
              <w:right w:val="single" w:color="auto" w:sz="6" w:space="0"/>
            </w:tcBorders>
            <w:vAlign w:val="center"/>
          </w:tcPr>
          <w:p>
            <w:pPr>
              <w:spacing w:line="240" w:lineRule="exact"/>
              <w:jc w:val="center"/>
              <w:rPr>
                <w:sz w:val="18"/>
                <w:szCs w:val="18"/>
              </w:rPr>
            </w:pPr>
            <w:r>
              <w:rPr>
                <w:rFonts w:hint="eastAsia"/>
                <w:sz w:val="18"/>
                <w:szCs w:val="18"/>
              </w:rPr>
              <w:t>15</w:t>
            </w:r>
          </w:p>
        </w:tc>
        <w:tc>
          <w:tcPr>
            <w:tcW w:w="52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w:t>
            </w:r>
          </w:p>
        </w:tc>
        <w:tc>
          <w:tcPr>
            <w:tcW w:w="637" w:type="dxa"/>
            <w:tcBorders>
              <w:top w:val="single" w:color="auto" w:sz="4" w:space="0"/>
              <w:left w:val="nil"/>
              <w:bottom w:val="nil"/>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1468" w:hRule="atLeast"/>
          <w:jc w:val="center"/>
        </w:trPr>
        <w:tc>
          <w:tcPr>
            <w:tcW w:w="518" w:type="dxa"/>
            <w:vMerge w:val="continue"/>
            <w:tcBorders>
              <w:top w:val="nil"/>
              <w:left w:val="single" w:color="auto" w:sz="4" w:space="0"/>
              <w:bottom w:val="nil"/>
              <w:right w:val="single" w:color="auto" w:sz="4" w:space="0"/>
            </w:tcBorders>
            <w:vAlign w:val="center"/>
          </w:tcPr>
          <w:p>
            <w:pPr>
              <w:rPr>
                <w:sz w:val="18"/>
                <w:szCs w:val="18"/>
              </w:rPr>
            </w:pPr>
          </w:p>
        </w:tc>
        <w:tc>
          <w:tcPr>
            <w:tcW w:w="500" w:type="dxa"/>
            <w:vMerge w:val="continue"/>
            <w:tcBorders>
              <w:top w:val="nil"/>
              <w:left w:val="nil"/>
              <w:bottom w:val="single" w:color="auto" w:sz="4" w:space="0"/>
              <w:right w:val="single" w:color="auto" w:sz="4" w:space="0"/>
            </w:tcBorders>
            <w:vAlign w:val="center"/>
          </w:tcPr>
          <w:p>
            <w:pPr>
              <w:rPr>
                <w:sz w:val="18"/>
                <w:szCs w:val="18"/>
              </w:rPr>
            </w:pPr>
          </w:p>
        </w:tc>
        <w:tc>
          <w:tcPr>
            <w:tcW w:w="746"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质量指标</w:t>
            </w:r>
          </w:p>
        </w:tc>
        <w:tc>
          <w:tcPr>
            <w:tcW w:w="1308" w:type="dxa"/>
            <w:tcBorders>
              <w:top w:val="single" w:color="auto" w:sz="4" w:space="0"/>
              <w:left w:val="nil"/>
              <w:bottom w:val="nil"/>
              <w:right w:val="single" w:color="auto" w:sz="4" w:space="0"/>
            </w:tcBorders>
            <w:vAlign w:val="center"/>
          </w:tcPr>
          <w:p>
            <w:pPr>
              <w:spacing w:line="240" w:lineRule="exact"/>
              <w:rPr>
                <w:color w:val="000000"/>
                <w:sz w:val="18"/>
                <w:szCs w:val="18"/>
              </w:rPr>
            </w:pPr>
            <w:r>
              <w:rPr>
                <w:rFonts w:hint="eastAsia"/>
                <w:color w:val="000000"/>
                <w:sz w:val="18"/>
                <w:szCs w:val="18"/>
              </w:rPr>
              <w:t>指标1：工资发放标准</w:t>
            </w:r>
          </w:p>
        </w:tc>
        <w:tc>
          <w:tcPr>
            <w:tcW w:w="2240"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工资待遇按《关于进一步规范朝阳区社区工作者工资待遇的实施细则（2018年修订）》（朝社委发[2018]3号）发放</w:t>
            </w:r>
          </w:p>
        </w:tc>
        <w:tc>
          <w:tcPr>
            <w:tcW w:w="1553"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均按标准发放</w:t>
            </w:r>
          </w:p>
        </w:tc>
        <w:tc>
          <w:tcPr>
            <w:tcW w:w="498"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w:t>
            </w:r>
          </w:p>
        </w:tc>
        <w:tc>
          <w:tcPr>
            <w:tcW w:w="52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w:t>
            </w:r>
          </w:p>
        </w:tc>
        <w:tc>
          <w:tcPr>
            <w:tcW w:w="637" w:type="dxa"/>
            <w:tcBorders>
              <w:top w:val="single" w:color="auto" w:sz="4" w:space="0"/>
              <w:left w:val="nil"/>
              <w:bottom w:val="nil"/>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695" w:hRule="atLeast"/>
          <w:jc w:val="center"/>
        </w:trPr>
        <w:tc>
          <w:tcPr>
            <w:tcW w:w="518" w:type="dxa"/>
            <w:vMerge w:val="continue"/>
            <w:tcBorders>
              <w:top w:val="nil"/>
              <w:left w:val="single" w:color="auto" w:sz="4" w:space="0"/>
              <w:bottom w:val="nil"/>
              <w:right w:val="single" w:color="auto" w:sz="4" w:space="0"/>
            </w:tcBorders>
            <w:vAlign w:val="center"/>
          </w:tcPr>
          <w:p>
            <w:pPr>
              <w:rPr>
                <w:sz w:val="18"/>
                <w:szCs w:val="18"/>
              </w:rPr>
            </w:pPr>
          </w:p>
        </w:tc>
        <w:tc>
          <w:tcPr>
            <w:tcW w:w="500" w:type="dxa"/>
            <w:vMerge w:val="continue"/>
            <w:tcBorders>
              <w:top w:val="nil"/>
              <w:left w:val="nil"/>
              <w:bottom w:val="single" w:color="auto" w:sz="4" w:space="0"/>
              <w:right w:val="single" w:color="auto" w:sz="4" w:space="0"/>
            </w:tcBorders>
            <w:vAlign w:val="center"/>
          </w:tcPr>
          <w:p>
            <w:pPr>
              <w:rPr>
                <w:sz w:val="18"/>
                <w:szCs w:val="18"/>
              </w:rPr>
            </w:pPr>
          </w:p>
        </w:tc>
        <w:tc>
          <w:tcPr>
            <w:tcW w:w="746"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时效指标</w:t>
            </w:r>
          </w:p>
        </w:tc>
        <w:tc>
          <w:tcPr>
            <w:tcW w:w="1308" w:type="dxa"/>
            <w:tcBorders>
              <w:top w:val="single" w:color="auto" w:sz="4" w:space="0"/>
              <w:left w:val="nil"/>
              <w:bottom w:val="nil"/>
              <w:right w:val="single" w:color="auto" w:sz="4" w:space="0"/>
            </w:tcBorders>
            <w:vAlign w:val="center"/>
          </w:tcPr>
          <w:p>
            <w:pPr>
              <w:spacing w:line="240" w:lineRule="exact"/>
              <w:rPr>
                <w:color w:val="000000"/>
                <w:sz w:val="18"/>
                <w:szCs w:val="18"/>
              </w:rPr>
            </w:pPr>
            <w:r>
              <w:rPr>
                <w:rFonts w:hint="eastAsia"/>
                <w:color w:val="000000"/>
                <w:sz w:val="18"/>
                <w:szCs w:val="18"/>
              </w:rPr>
              <w:t>指标1：工资发放时间</w:t>
            </w:r>
          </w:p>
        </w:tc>
        <w:tc>
          <w:tcPr>
            <w:tcW w:w="2240"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按月发放社工薪酬</w:t>
            </w:r>
          </w:p>
        </w:tc>
        <w:tc>
          <w:tcPr>
            <w:tcW w:w="1553"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每月按时发放</w:t>
            </w:r>
          </w:p>
        </w:tc>
        <w:tc>
          <w:tcPr>
            <w:tcW w:w="498"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2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6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705" w:hRule="atLeast"/>
          <w:jc w:val="center"/>
        </w:trPr>
        <w:tc>
          <w:tcPr>
            <w:tcW w:w="518" w:type="dxa"/>
            <w:vMerge w:val="continue"/>
            <w:tcBorders>
              <w:top w:val="nil"/>
              <w:left w:val="single" w:color="auto" w:sz="4" w:space="0"/>
              <w:bottom w:val="nil"/>
              <w:right w:val="single" w:color="auto" w:sz="4" w:space="0"/>
            </w:tcBorders>
            <w:vAlign w:val="center"/>
          </w:tcPr>
          <w:p>
            <w:pPr>
              <w:rPr>
                <w:sz w:val="18"/>
                <w:szCs w:val="18"/>
              </w:rPr>
            </w:pPr>
          </w:p>
        </w:tc>
        <w:tc>
          <w:tcPr>
            <w:tcW w:w="500" w:type="dxa"/>
            <w:vMerge w:val="continue"/>
            <w:tcBorders>
              <w:top w:val="nil"/>
              <w:left w:val="nil"/>
              <w:bottom w:val="single" w:color="auto" w:sz="4" w:space="0"/>
              <w:right w:val="single" w:color="auto" w:sz="4" w:space="0"/>
            </w:tcBorders>
            <w:vAlign w:val="center"/>
          </w:tcPr>
          <w:p>
            <w:pPr>
              <w:rPr>
                <w:sz w:val="18"/>
                <w:szCs w:val="18"/>
              </w:rPr>
            </w:pPr>
          </w:p>
        </w:tc>
        <w:tc>
          <w:tcPr>
            <w:tcW w:w="746"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成本指标</w:t>
            </w:r>
          </w:p>
        </w:tc>
        <w:tc>
          <w:tcPr>
            <w:tcW w:w="1308" w:type="dxa"/>
            <w:tcBorders>
              <w:top w:val="single" w:color="auto" w:sz="4" w:space="0"/>
              <w:left w:val="nil"/>
              <w:bottom w:val="nil"/>
              <w:right w:val="single" w:color="auto" w:sz="4" w:space="0"/>
            </w:tcBorders>
            <w:vAlign w:val="center"/>
          </w:tcPr>
          <w:p>
            <w:pPr>
              <w:spacing w:line="240" w:lineRule="exact"/>
              <w:rPr>
                <w:color w:val="000000"/>
                <w:sz w:val="18"/>
                <w:szCs w:val="18"/>
              </w:rPr>
            </w:pPr>
            <w:r>
              <w:rPr>
                <w:rFonts w:hint="eastAsia"/>
                <w:color w:val="000000"/>
                <w:sz w:val="18"/>
                <w:szCs w:val="18"/>
              </w:rPr>
              <w:t>指标1：支出金额</w:t>
            </w:r>
          </w:p>
        </w:tc>
        <w:tc>
          <w:tcPr>
            <w:tcW w:w="2240"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社区机构运转经费</w:t>
            </w:r>
          </w:p>
          <w:p>
            <w:pPr>
              <w:spacing w:line="240" w:lineRule="exact"/>
              <w:jc w:val="center"/>
              <w:rPr>
                <w:rFonts w:hint="eastAsia"/>
                <w:sz w:val="18"/>
                <w:szCs w:val="18"/>
              </w:rPr>
            </w:pPr>
            <w:r>
              <w:rPr>
                <w:rFonts w:hint="eastAsia"/>
                <w:sz w:val="18"/>
                <w:szCs w:val="18"/>
              </w:rPr>
              <w:t>2337.9872</w:t>
            </w:r>
          </w:p>
          <w:p>
            <w:pPr>
              <w:spacing w:line="240" w:lineRule="exact"/>
              <w:jc w:val="center"/>
              <w:rPr>
                <w:sz w:val="18"/>
                <w:szCs w:val="18"/>
              </w:rPr>
            </w:pPr>
            <w:r>
              <w:rPr>
                <w:rFonts w:hint="eastAsia"/>
                <w:sz w:val="18"/>
                <w:szCs w:val="18"/>
              </w:rPr>
              <w:t>万元</w:t>
            </w:r>
          </w:p>
        </w:tc>
        <w:tc>
          <w:tcPr>
            <w:tcW w:w="1553"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社区机构运转经费</w:t>
            </w:r>
          </w:p>
          <w:p>
            <w:pPr>
              <w:spacing w:line="240" w:lineRule="exact"/>
              <w:jc w:val="center"/>
              <w:rPr>
                <w:rFonts w:hint="eastAsia"/>
                <w:sz w:val="18"/>
                <w:szCs w:val="18"/>
              </w:rPr>
            </w:pPr>
            <w:r>
              <w:rPr>
                <w:rFonts w:hint="eastAsia"/>
                <w:sz w:val="18"/>
                <w:szCs w:val="18"/>
              </w:rPr>
              <w:t>2337.9872</w:t>
            </w:r>
          </w:p>
          <w:p>
            <w:pPr>
              <w:spacing w:line="240" w:lineRule="exact"/>
              <w:jc w:val="center"/>
              <w:rPr>
                <w:sz w:val="18"/>
                <w:szCs w:val="18"/>
              </w:rPr>
            </w:pPr>
            <w:r>
              <w:rPr>
                <w:rFonts w:hint="eastAsia"/>
                <w:sz w:val="18"/>
                <w:szCs w:val="18"/>
              </w:rPr>
              <w:t>万元</w:t>
            </w:r>
          </w:p>
        </w:tc>
        <w:tc>
          <w:tcPr>
            <w:tcW w:w="498"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2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6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852" w:hRule="atLeast"/>
          <w:jc w:val="center"/>
        </w:trPr>
        <w:tc>
          <w:tcPr>
            <w:tcW w:w="518" w:type="dxa"/>
            <w:vMerge w:val="continue"/>
            <w:tcBorders>
              <w:top w:val="nil"/>
              <w:left w:val="single" w:color="auto" w:sz="4" w:space="0"/>
              <w:bottom w:val="nil"/>
              <w:right w:val="single" w:color="auto" w:sz="4" w:space="0"/>
            </w:tcBorders>
            <w:vAlign w:val="center"/>
          </w:tcPr>
          <w:p>
            <w:pPr>
              <w:rPr>
                <w:sz w:val="18"/>
                <w:szCs w:val="18"/>
              </w:rPr>
            </w:pPr>
          </w:p>
        </w:tc>
        <w:tc>
          <w:tcPr>
            <w:tcW w:w="500" w:type="dxa"/>
            <w:vMerge w:val="restart"/>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效益指标30</w:t>
            </w:r>
          </w:p>
        </w:tc>
        <w:tc>
          <w:tcPr>
            <w:tcW w:w="746"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经济效益</w:t>
            </w:r>
          </w:p>
          <w:p>
            <w:pPr>
              <w:spacing w:line="240" w:lineRule="exact"/>
              <w:jc w:val="center"/>
              <w:rPr>
                <w:sz w:val="18"/>
                <w:szCs w:val="18"/>
              </w:rPr>
            </w:pPr>
            <w:r>
              <w:rPr>
                <w:rFonts w:hint="eastAsia"/>
                <w:sz w:val="18"/>
                <w:szCs w:val="18"/>
              </w:rPr>
              <w:t>指标</w:t>
            </w:r>
          </w:p>
        </w:tc>
        <w:tc>
          <w:tcPr>
            <w:tcW w:w="1308" w:type="dxa"/>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指标1：</w:t>
            </w:r>
          </w:p>
        </w:tc>
        <w:tc>
          <w:tcPr>
            <w:tcW w:w="2240"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1553"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498"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52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6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921" w:hRule="atLeast"/>
          <w:jc w:val="center"/>
        </w:trPr>
        <w:tc>
          <w:tcPr>
            <w:tcW w:w="518" w:type="dxa"/>
            <w:vMerge w:val="continue"/>
            <w:tcBorders>
              <w:top w:val="nil"/>
              <w:left w:val="single" w:color="auto" w:sz="4" w:space="0"/>
              <w:bottom w:val="nil"/>
              <w:right w:val="single" w:color="auto" w:sz="4" w:space="0"/>
            </w:tcBorders>
            <w:vAlign w:val="center"/>
          </w:tcPr>
          <w:p>
            <w:pPr>
              <w:rPr>
                <w:sz w:val="18"/>
                <w:szCs w:val="18"/>
              </w:rPr>
            </w:pPr>
          </w:p>
        </w:tc>
        <w:tc>
          <w:tcPr>
            <w:tcW w:w="500" w:type="dxa"/>
            <w:vMerge w:val="continue"/>
            <w:tcBorders>
              <w:top w:val="nil"/>
              <w:left w:val="nil"/>
              <w:bottom w:val="single" w:color="auto" w:sz="4" w:space="0"/>
              <w:right w:val="single" w:color="auto" w:sz="4" w:space="0"/>
            </w:tcBorders>
            <w:vAlign w:val="center"/>
          </w:tcPr>
          <w:p>
            <w:pPr>
              <w:rPr>
                <w:sz w:val="18"/>
                <w:szCs w:val="18"/>
              </w:rPr>
            </w:pPr>
          </w:p>
        </w:tc>
        <w:tc>
          <w:tcPr>
            <w:tcW w:w="746"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社会效益</w:t>
            </w:r>
          </w:p>
          <w:p>
            <w:pPr>
              <w:spacing w:line="240" w:lineRule="exact"/>
              <w:jc w:val="center"/>
              <w:rPr>
                <w:sz w:val="18"/>
                <w:szCs w:val="18"/>
              </w:rPr>
            </w:pPr>
            <w:r>
              <w:rPr>
                <w:rFonts w:hint="eastAsia"/>
                <w:sz w:val="18"/>
                <w:szCs w:val="18"/>
              </w:rPr>
              <w:t>指标</w:t>
            </w:r>
          </w:p>
        </w:tc>
        <w:tc>
          <w:tcPr>
            <w:tcW w:w="1308" w:type="dxa"/>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指标1：</w:t>
            </w:r>
          </w:p>
        </w:tc>
        <w:tc>
          <w:tcPr>
            <w:tcW w:w="2240"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1553"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498"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22"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6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915" w:hRule="atLeast"/>
          <w:jc w:val="center"/>
        </w:trPr>
        <w:tc>
          <w:tcPr>
            <w:tcW w:w="518" w:type="dxa"/>
            <w:vMerge w:val="continue"/>
            <w:tcBorders>
              <w:top w:val="nil"/>
              <w:left w:val="single" w:color="auto" w:sz="4" w:space="0"/>
              <w:bottom w:val="nil"/>
              <w:right w:val="single" w:color="auto" w:sz="4" w:space="0"/>
            </w:tcBorders>
            <w:vAlign w:val="center"/>
          </w:tcPr>
          <w:p>
            <w:pPr>
              <w:rPr>
                <w:sz w:val="18"/>
                <w:szCs w:val="18"/>
              </w:rPr>
            </w:pPr>
          </w:p>
        </w:tc>
        <w:tc>
          <w:tcPr>
            <w:tcW w:w="500" w:type="dxa"/>
            <w:vMerge w:val="continue"/>
            <w:tcBorders>
              <w:top w:val="nil"/>
              <w:left w:val="nil"/>
              <w:bottom w:val="single" w:color="auto" w:sz="4" w:space="0"/>
              <w:right w:val="single" w:color="auto" w:sz="4" w:space="0"/>
            </w:tcBorders>
            <w:vAlign w:val="center"/>
          </w:tcPr>
          <w:p>
            <w:pPr>
              <w:rPr>
                <w:sz w:val="18"/>
                <w:szCs w:val="18"/>
              </w:rPr>
            </w:pPr>
          </w:p>
        </w:tc>
        <w:tc>
          <w:tcPr>
            <w:tcW w:w="746"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生态效益</w:t>
            </w:r>
          </w:p>
          <w:p>
            <w:pPr>
              <w:spacing w:line="240" w:lineRule="exact"/>
              <w:jc w:val="center"/>
              <w:rPr>
                <w:sz w:val="18"/>
                <w:szCs w:val="18"/>
              </w:rPr>
            </w:pPr>
            <w:r>
              <w:rPr>
                <w:rFonts w:hint="eastAsia"/>
                <w:sz w:val="18"/>
                <w:szCs w:val="18"/>
              </w:rPr>
              <w:t>指标</w:t>
            </w:r>
          </w:p>
        </w:tc>
        <w:tc>
          <w:tcPr>
            <w:tcW w:w="1308" w:type="dxa"/>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指标1：</w:t>
            </w:r>
          </w:p>
        </w:tc>
        <w:tc>
          <w:tcPr>
            <w:tcW w:w="2240"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1553"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498"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22"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6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1197" w:hRule="atLeast"/>
          <w:jc w:val="center"/>
        </w:trPr>
        <w:tc>
          <w:tcPr>
            <w:tcW w:w="518" w:type="dxa"/>
            <w:vMerge w:val="continue"/>
            <w:tcBorders>
              <w:top w:val="nil"/>
              <w:left w:val="single" w:color="auto" w:sz="4" w:space="0"/>
              <w:bottom w:val="nil"/>
              <w:right w:val="single" w:color="auto" w:sz="4" w:space="0"/>
            </w:tcBorders>
            <w:vAlign w:val="center"/>
          </w:tcPr>
          <w:p>
            <w:pPr>
              <w:rPr>
                <w:sz w:val="18"/>
                <w:szCs w:val="18"/>
              </w:rPr>
            </w:pPr>
          </w:p>
        </w:tc>
        <w:tc>
          <w:tcPr>
            <w:tcW w:w="500" w:type="dxa"/>
            <w:vMerge w:val="continue"/>
            <w:tcBorders>
              <w:top w:val="nil"/>
              <w:left w:val="nil"/>
              <w:bottom w:val="single" w:color="auto" w:sz="4" w:space="0"/>
              <w:right w:val="single" w:color="auto" w:sz="4" w:space="0"/>
            </w:tcBorders>
            <w:vAlign w:val="center"/>
          </w:tcPr>
          <w:p>
            <w:pPr>
              <w:rPr>
                <w:sz w:val="18"/>
                <w:szCs w:val="18"/>
              </w:rPr>
            </w:pPr>
          </w:p>
        </w:tc>
        <w:tc>
          <w:tcPr>
            <w:tcW w:w="746"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可持续影响指标</w:t>
            </w:r>
          </w:p>
        </w:tc>
        <w:tc>
          <w:tcPr>
            <w:tcW w:w="1308" w:type="dxa"/>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指标1：保障社区工作运行</w:t>
            </w:r>
          </w:p>
        </w:tc>
        <w:tc>
          <w:tcPr>
            <w:tcW w:w="2240"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保障社区正常运转</w:t>
            </w:r>
          </w:p>
        </w:tc>
        <w:tc>
          <w:tcPr>
            <w:tcW w:w="1553"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2021年社区运转正常</w:t>
            </w:r>
          </w:p>
        </w:tc>
        <w:tc>
          <w:tcPr>
            <w:tcW w:w="498"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30</w:t>
            </w:r>
          </w:p>
        </w:tc>
        <w:tc>
          <w:tcPr>
            <w:tcW w:w="52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30</w:t>
            </w:r>
          </w:p>
        </w:tc>
        <w:tc>
          <w:tcPr>
            <w:tcW w:w="6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1267" w:hRule="atLeast"/>
          <w:jc w:val="center"/>
        </w:trPr>
        <w:tc>
          <w:tcPr>
            <w:tcW w:w="518" w:type="dxa"/>
            <w:vMerge w:val="continue"/>
            <w:tcBorders>
              <w:top w:val="nil"/>
              <w:left w:val="single" w:color="auto" w:sz="4" w:space="0"/>
              <w:bottom w:val="nil"/>
              <w:right w:val="single" w:color="auto" w:sz="4" w:space="0"/>
            </w:tcBorders>
            <w:vAlign w:val="center"/>
          </w:tcPr>
          <w:p>
            <w:pPr>
              <w:rPr>
                <w:sz w:val="18"/>
                <w:szCs w:val="18"/>
              </w:rPr>
            </w:pPr>
          </w:p>
        </w:tc>
        <w:tc>
          <w:tcPr>
            <w:tcW w:w="500"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满意度</w:t>
            </w:r>
          </w:p>
          <w:p>
            <w:pPr>
              <w:spacing w:line="240" w:lineRule="exact"/>
              <w:jc w:val="center"/>
              <w:rPr>
                <w:sz w:val="18"/>
                <w:szCs w:val="18"/>
              </w:rPr>
            </w:pPr>
            <w:r>
              <w:rPr>
                <w:rFonts w:hint="eastAsia"/>
                <w:sz w:val="18"/>
                <w:szCs w:val="18"/>
              </w:rPr>
              <w:t>指标</w:t>
            </w:r>
          </w:p>
        </w:tc>
        <w:tc>
          <w:tcPr>
            <w:tcW w:w="746"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服务对象满意度指标</w:t>
            </w:r>
          </w:p>
        </w:tc>
        <w:tc>
          <w:tcPr>
            <w:tcW w:w="1308" w:type="dxa"/>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指标1：</w:t>
            </w:r>
            <w:r>
              <w:rPr>
                <w:rFonts w:hint="eastAsia"/>
                <w:sz w:val="18"/>
                <w:szCs w:val="18"/>
              </w:rPr>
              <w:t>受益人员满意度</w:t>
            </w:r>
          </w:p>
        </w:tc>
        <w:tc>
          <w:tcPr>
            <w:tcW w:w="2240"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受益群众满意度  95%</w:t>
            </w:r>
          </w:p>
        </w:tc>
        <w:tc>
          <w:tcPr>
            <w:tcW w:w="1553"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受益群众满意度达到95%</w:t>
            </w:r>
          </w:p>
        </w:tc>
        <w:tc>
          <w:tcPr>
            <w:tcW w:w="498"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2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6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291" w:hRule="atLeast"/>
          <w:jc w:val="center"/>
        </w:trPr>
        <w:tc>
          <w:tcPr>
            <w:tcW w:w="686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总分</w:t>
            </w:r>
          </w:p>
        </w:tc>
        <w:tc>
          <w:tcPr>
            <w:tcW w:w="498" w:type="dxa"/>
            <w:tcBorders>
              <w:top w:val="nil"/>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100</w:t>
            </w:r>
          </w:p>
        </w:tc>
        <w:tc>
          <w:tcPr>
            <w:tcW w:w="522" w:type="dxa"/>
            <w:tcBorders>
              <w:top w:val="nil"/>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100</w:t>
            </w:r>
          </w:p>
        </w:tc>
        <w:tc>
          <w:tcPr>
            <w:tcW w:w="63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bl>
    <w:p>
      <w:pPr>
        <w:spacing w:line="560" w:lineRule="exact"/>
        <w:rPr>
          <w:rFonts w:hint="eastAsia"/>
          <w:sz w:val="30"/>
          <w:szCs w:val="30"/>
          <w:shd w:val="clear" w:color="auto" w:fill="FFFFFF"/>
        </w:rPr>
      </w:pPr>
      <w:r>
        <w:rPr>
          <w:rFonts w:hint="eastAsia"/>
          <w:sz w:val="30"/>
          <w:szCs w:val="30"/>
          <w:shd w:val="clear" w:color="auto" w:fill="FFFFFF"/>
        </w:rPr>
        <w:t xml:space="preserve"> </w:t>
      </w:r>
    </w:p>
    <w:p>
      <w:pPr>
        <w:pStyle w:val="2"/>
        <w:rPr>
          <w:rFonts w:hint="eastAsia"/>
        </w:rPr>
      </w:pPr>
      <w:r>
        <w:rPr>
          <w:rFonts w:hint="eastAsia"/>
        </w:rPr>
        <w:t xml:space="preserve"> </w:t>
      </w:r>
    </w:p>
    <w:p>
      <w:pPr>
        <w:rPr>
          <w:rFonts w:hint="eastAsia"/>
        </w:rPr>
      </w:pPr>
      <w:r>
        <w:rPr>
          <w:rFonts w:hint="eastAsia"/>
        </w:rPr>
        <w:t xml:space="preserve"> </w:t>
      </w:r>
    </w:p>
    <w:p>
      <w:pPr>
        <w:pStyle w:val="2"/>
        <w:rPr>
          <w:rFonts w:hint="eastAsia"/>
        </w:rPr>
      </w:pPr>
      <w:r>
        <w:rPr>
          <w:rFonts w:hint="eastAsia"/>
        </w:rPr>
        <w:t xml:space="preserve"> </w:t>
      </w:r>
    </w:p>
    <w:p>
      <w:pPr>
        <w:rPr>
          <w:rFonts w:hint="eastAsia"/>
        </w:rPr>
      </w:pPr>
      <w:r>
        <w:rPr>
          <w:rFonts w:hint="eastAsia"/>
        </w:rPr>
        <w:t xml:space="preserve"> </w:t>
      </w:r>
    </w:p>
    <w:p>
      <w:pPr>
        <w:pStyle w:val="2"/>
        <w:rPr>
          <w:rFonts w:hint="eastAsia"/>
        </w:rPr>
      </w:pPr>
      <w:r>
        <w:rPr>
          <w:rFonts w:hint="eastAsia"/>
        </w:rPr>
        <w:t xml:space="preserve"> </w:t>
      </w:r>
    </w:p>
    <w:p>
      <w:pPr>
        <w:rPr>
          <w:rFonts w:hint="eastAsia"/>
        </w:rPr>
      </w:pPr>
      <w:r>
        <w:rPr>
          <w:rFonts w:hint="eastAsia"/>
        </w:rPr>
        <w:t xml:space="preserve"> </w:t>
      </w:r>
    </w:p>
    <w:p>
      <w:pPr>
        <w:pStyle w:val="2"/>
        <w:rPr>
          <w:rFonts w:hint="eastAsia"/>
        </w:rPr>
      </w:pPr>
      <w:r>
        <w:rPr>
          <w:rFonts w:hint="eastAsia"/>
        </w:rPr>
        <w:t xml:space="preserve"> </w:t>
      </w:r>
    </w:p>
    <w:p>
      <w:pPr>
        <w:rPr>
          <w:rFonts w:hint="eastAsia"/>
        </w:rPr>
      </w:pPr>
      <w:r>
        <w:rPr>
          <w:rFonts w:hint="eastAsia"/>
        </w:rPr>
        <w:t xml:space="preserve"> </w:t>
      </w:r>
    </w:p>
    <w:p>
      <w:pPr>
        <w:pStyle w:val="2"/>
        <w:rPr>
          <w:rFonts w:hint="eastAsia"/>
        </w:rPr>
      </w:pPr>
      <w:r>
        <w:rPr>
          <w:rFonts w:hint="eastAsia"/>
        </w:rPr>
        <w:t xml:space="preserve"> </w:t>
      </w:r>
    </w:p>
    <w:p>
      <w:pPr>
        <w:rPr>
          <w:rFonts w:hint="eastAsia"/>
        </w:rPr>
      </w:pPr>
      <w:r>
        <w:rPr>
          <w:rFonts w:hint="eastAsia"/>
        </w:rPr>
        <w:t xml:space="preserve"> </w:t>
      </w:r>
    </w:p>
    <w:p>
      <w:pPr>
        <w:pStyle w:val="2"/>
        <w:rPr>
          <w:rFonts w:hint="eastAsia"/>
        </w:rPr>
      </w:pPr>
      <w:r>
        <w:rPr>
          <w:rFonts w:hint="eastAsia"/>
        </w:rPr>
        <w:t xml:space="preserve"> </w:t>
      </w:r>
    </w:p>
    <w:p>
      <w:pPr>
        <w:pStyle w:val="2"/>
        <w:rPr>
          <w:rFonts w:hint="eastAsia"/>
        </w:rPr>
      </w:pPr>
      <w:r>
        <w:rPr>
          <w:rFonts w:hint="eastAsia"/>
        </w:rPr>
        <w:t xml:space="preserve"> </w:t>
      </w:r>
    </w:p>
    <w:p>
      <w:pPr>
        <w:pStyle w:val="2"/>
        <w:rPr>
          <w:rFonts w:hint="eastAsia"/>
        </w:rPr>
      </w:pPr>
      <w:r>
        <w:rPr>
          <w:rFonts w:hint="eastAsia"/>
        </w:rPr>
        <w:t xml:space="preserve"> </w:t>
      </w:r>
    </w:p>
    <w:p>
      <w:pPr>
        <w:pStyle w:val="2"/>
        <w:rPr>
          <w:rFonts w:hint="eastAsia"/>
        </w:rPr>
      </w:pPr>
      <w:r>
        <w:rPr>
          <w:rFonts w:hint="eastAsia"/>
        </w:rPr>
        <w:t xml:space="preserve"> </w:t>
      </w:r>
    </w:p>
    <w:tbl>
      <w:tblPr>
        <w:tblStyle w:val="14"/>
        <w:tblW w:w="8794" w:type="dxa"/>
        <w:jc w:val="center"/>
        <w:tblInd w:w="0" w:type="dxa"/>
        <w:tblLayout w:type="fixed"/>
        <w:tblCellMar>
          <w:top w:w="0" w:type="dxa"/>
          <w:left w:w="108" w:type="dxa"/>
          <w:bottom w:w="0" w:type="dxa"/>
          <w:right w:w="108" w:type="dxa"/>
        </w:tblCellMar>
      </w:tblPr>
      <w:tblGrid>
        <w:gridCol w:w="477"/>
        <w:gridCol w:w="466"/>
        <w:gridCol w:w="692"/>
        <w:gridCol w:w="782"/>
        <w:gridCol w:w="3427"/>
        <w:gridCol w:w="1369"/>
        <w:gridCol w:w="511"/>
        <w:gridCol w:w="511"/>
        <w:gridCol w:w="559"/>
      </w:tblGrid>
      <w:tr>
        <w:tblPrEx>
          <w:tblLayout w:type="fixed"/>
          <w:tblCellMar>
            <w:top w:w="0" w:type="dxa"/>
            <w:left w:w="108" w:type="dxa"/>
            <w:bottom w:w="0" w:type="dxa"/>
            <w:right w:w="108" w:type="dxa"/>
          </w:tblCellMar>
        </w:tblPrEx>
        <w:trPr>
          <w:trHeight w:val="440" w:hRule="atLeast"/>
          <w:jc w:val="center"/>
        </w:trPr>
        <w:tc>
          <w:tcPr>
            <w:tcW w:w="8794" w:type="dxa"/>
            <w:gridSpan w:val="9"/>
            <w:tcBorders>
              <w:top w:val="nil"/>
              <w:left w:val="nil"/>
              <w:bottom w:val="nil"/>
              <w:right w:val="nil"/>
            </w:tcBorders>
            <w:vAlign w:val="center"/>
          </w:tcPr>
          <w:p>
            <w:pPr>
              <w:spacing w:line="320" w:lineRule="exact"/>
              <w:jc w:val="center"/>
              <w:rPr>
                <w:rFonts w:ascii="黑体" w:eastAsia="黑体"/>
                <w:sz w:val="32"/>
                <w:szCs w:val="32"/>
              </w:rPr>
            </w:pPr>
            <w:r>
              <w:rPr>
                <w:rFonts w:hint="eastAsia" w:ascii="黑体" w:eastAsia="黑体"/>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794" w:type="dxa"/>
            <w:gridSpan w:val="9"/>
            <w:tcBorders>
              <w:top w:val="nil"/>
              <w:left w:val="nil"/>
              <w:bottom w:val="nil"/>
              <w:right w:val="nil"/>
            </w:tcBorders>
          </w:tcPr>
          <w:p>
            <w:pPr>
              <w:jc w:val="center"/>
              <w:rPr>
                <w:sz w:val="22"/>
                <w:szCs w:val="22"/>
              </w:rPr>
            </w:pPr>
            <w:r>
              <w:rPr>
                <w:rFonts w:hint="eastAsia"/>
                <w:sz w:val="22"/>
                <w:szCs w:val="22"/>
              </w:rPr>
              <w:t>（  2021 年度）</w:t>
            </w:r>
          </w:p>
        </w:tc>
      </w:tr>
      <w:tr>
        <w:tblPrEx>
          <w:tblLayout w:type="fixed"/>
          <w:tblCellMar>
            <w:top w:w="0" w:type="dxa"/>
            <w:left w:w="108" w:type="dxa"/>
            <w:bottom w:w="0" w:type="dxa"/>
            <w:right w:w="108" w:type="dxa"/>
          </w:tblCellMar>
        </w:tblPrEx>
        <w:trPr>
          <w:trHeight w:val="291" w:hRule="atLeast"/>
          <w:jc w:val="center"/>
        </w:trPr>
        <w:tc>
          <w:tcPr>
            <w:tcW w:w="94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项目名称</w:t>
            </w:r>
          </w:p>
        </w:tc>
        <w:tc>
          <w:tcPr>
            <w:tcW w:w="7851" w:type="dxa"/>
            <w:gridSpan w:val="7"/>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基本事业费（自营）</w:t>
            </w:r>
          </w:p>
        </w:tc>
      </w:tr>
      <w:tr>
        <w:tblPrEx>
          <w:tblLayout w:type="fixed"/>
          <w:tblCellMar>
            <w:top w:w="0" w:type="dxa"/>
            <w:left w:w="108" w:type="dxa"/>
            <w:bottom w:w="0" w:type="dxa"/>
            <w:right w:w="108" w:type="dxa"/>
          </w:tblCellMar>
        </w:tblPrEx>
        <w:trPr>
          <w:trHeight w:val="291" w:hRule="atLeast"/>
          <w:jc w:val="center"/>
        </w:trPr>
        <w:tc>
          <w:tcPr>
            <w:tcW w:w="94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主管部门</w:t>
            </w:r>
          </w:p>
        </w:tc>
        <w:tc>
          <w:tcPr>
            <w:tcW w:w="4901"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615酒仙桥</w:t>
            </w: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实施单位</w:t>
            </w:r>
          </w:p>
        </w:tc>
        <w:tc>
          <w:tcPr>
            <w:tcW w:w="1581"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酒仙桥街道办事处</w:t>
            </w:r>
          </w:p>
        </w:tc>
      </w:tr>
      <w:tr>
        <w:tblPrEx>
          <w:tblLayout w:type="fixed"/>
          <w:tblCellMar>
            <w:top w:w="0" w:type="dxa"/>
            <w:left w:w="108" w:type="dxa"/>
            <w:bottom w:w="0" w:type="dxa"/>
            <w:right w:w="108" w:type="dxa"/>
          </w:tblCellMar>
        </w:tblPrEx>
        <w:trPr>
          <w:trHeight w:val="291" w:hRule="atLeast"/>
          <w:jc w:val="center"/>
        </w:trPr>
        <w:tc>
          <w:tcPr>
            <w:tcW w:w="94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项目负责人</w:t>
            </w:r>
          </w:p>
        </w:tc>
        <w:tc>
          <w:tcPr>
            <w:tcW w:w="4901" w:type="dxa"/>
            <w:gridSpan w:val="3"/>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 xml:space="preserve">                     王一凡</w:t>
            </w: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联系电话</w:t>
            </w:r>
          </w:p>
        </w:tc>
        <w:tc>
          <w:tcPr>
            <w:tcW w:w="1581"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64309090</w:t>
            </w:r>
          </w:p>
        </w:tc>
      </w:tr>
      <w:tr>
        <w:tblPrEx>
          <w:tblLayout w:type="fixed"/>
          <w:tblCellMar>
            <w:top w:w="0" w:type="dxa"/>
            <w:left w:w="108" w:type="dxa"/>
            <w:bottom w:w="0" w:type="dxa"/>
            <w:right w:w="108" w:type="dxa"/>
          </w:tblCellMar>
        </w:tblPrEx>
        <w:trPr>
          <w:trHeight w:val="291" w:hRule="atLeast"/>
          <w:jc w:val="center"/>
        </w:trPr>
        <w:tc>
          <w:tcPr>
            <w:tcW w:w="943"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项目资金</w:t>
            </w:r>
            <w:r>
              <w:rPr>
                <w:rFonts w:hint="eastAsia"/>
                <w:sz w:val="18"/>
                <w:szCs w:val="18"/>
              </w:rPr>
              <w:br w:type="textWrapping"/>
            </w:r>
            <w:r>
              <w:rPr>
                <w:rFonts w:hint="eastAsia"/>
                <w:sz w:val="18"/>
                <w:szCs w:val="18"/>
              </w:rPr>
              <w:t>（万元）</w:t>
            </w:r>
          </w:p>
        </w:tc>
        <w:tc>
          <w:tcPr>
            <w:tcW w:w="69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年初预算数</w:t>
            </w: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全年预算数</w:t>
            </w: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全年执行数</w:t>
            </w: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分值值</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执行率</w:t>
            </w:r>
          </w:p>
        </w:tc>
        <w:tc>
          <w:tcPr>
            <w:tcW w:w="55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得分</w:t>
            </w:r>
          </w:p>
        </w:tc>
      </w:tr>
      <w:tr>
        <w:tblPrEx>
          <w:tblLayout w:type="fixed"/>
          <w:tblCellMar>
            <w:top w:w="0" w:type="dxa"/>
            <w:left w:w="108" w:type="dxa"/>
            <w:bottom w:w="0" w:type="dxa"/>
            <w:right w:w="108" w:type="dxa"/>
          </w:tblCellMar>
        </w:tblPrEx>
        <w:trPr>
          <w:trHeight w:val="881" w:hRule="atLeast"/>
          <w:jc w:val="center"/>
        </w:trPr>
        <w:tc>
          <w:tcPr>
            <w:tcW w:w="943" w:type="dxa"/>
            <w:gridSpan w:val="2"/>
            <w:vMerge w:val="continue"/>
            <w:tcBorders>
              <w:top w:val="nil"/>
              <w:left w:val="single" w:color="auto" w:sz="4" w:space="0"/>
              <w:bottom w:val="single" w:color="auto" w:sz="4" w:space="0"/>
              <w:right w:val="single" w:color="auto" w:sz="4" w:space="0"/>
            </w:tcBorders>
            <w:vAlign w:val="center"/>
          </w:tcPr>
          <w:p>
            <w:pPr>
              <w:rPr>
                <w:sz w:val="18"/>
                <w:szCs w:val="18"/>
              </w:rPr>
            </w:pPr>
          </w:p>
        </w:tc>
        <w:tc>
          <w:tcPr>
            <w:tcW w:w="692"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年度资金总额</w:t>
            </w:r>
          </w:p>
        </w:tc>
        <w:tc>
          <w:tcPr>
            <w:tcW w:w="78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720.122</w:t>
            </w: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720.12</w:t>
            </w: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720.12</w:t>
            </w: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w:t>
            </w:r>
          </w:p>
        </w:tc>
        <w:tc>
          <w:tcPr>
            <w:tcW w:w="55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r>
      <w:tr>
        <w:tblPrEx>
          <w:tblLayout w:type="fixed"/>
          <w:tblCellMar>
            <w:top w:w="0" w:type="dxa"/>
            <w:left w:w="108" w:type="dxa"/>
            <w:bottom w:w="0" w:type="dxa"/>
            <w:right w:w="108" w:type="dxa"/>
          </w:tblCellMar>
        </w:tblPrEx>
        <w:trPr>
          <w:trHeight w:val="1285" w:hRule="atLeast"/>
          <w:jc w:val="center"/>
        </w:trPr>
        <w:tc>
          <w:tcPr>
            <w:tcW w:w="943" w:type="dxa"/>
            <w:gridSpan w:val="2"/>
            <w:vMerge w:val="continue"/>
            <w:tcBorders>
              <w:top w:val="nil"/>
              <w:left w:val="single" w:color="auto" w:sz="4" w:space="0"/>
              <w:bottom w:val="single" w:color="auto" w:sz="4" w:space="0"/>
              <w:right w:val="single" w:color="auto" w:sz="4" w:space="0"/>
            </w:tcBorders>
            <w:vAlign w:val="center"/>
          </w:tcPr>
          <w:p>
            <w:pPr>
              <w:rPr>
                <w:sz w:val="18"/>
                <w:szCs w:val="18"/>
              </w:rPr>
            </w:pPr>
          </w:p>
        </w:tc>
        <w:tc>
          <w:tcPr>
            <w:tcW w:w="69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其中：当年财政拨款</w:t>
            </w:r>
          </w:p>
        </w:tc>
        <w:tc>
          <w:tcPr>
            <w:tcW w:w="78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720.12</w:t>
            </w: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720.12</w:t>
            </w: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720.12</w:t>
            </w: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55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Layout w:type="fixed"/>
          <w:tblCellMar>
            <w:top w:w="0" w:type="dxa"/>
            <w:left w:w="108" w:type="dxa"/>
            <w:bottom w:w="0" w:type="dxa"/>
            <w:right w:w="108" w:type="dxa"/>
          </w:tblCellMar>
        </w:tblPrEx>
        <w:trPr>
          <w:trHeight w:val="806" w:hRule="atLeast"/>
          <w:jc w:val="center"/>
        </w:trPr>
        <w:tc>
          <w:tcPr>
            <w:tcW w:w="943" w:type="dxa"/>
            <w:gridSpan w:val="2"/>
            <w:vMerge w:val="continue"/>
            <w:tcBorders>
              <w:top w:val="nil"/>
              <w:left w:val="single" w:color="auto" w:sz="4" w:space="0"/>
              <w:bottom w:val="single" w:color="auto" w:sz="4" w:space="0"/>
              <w:right w:val="single" w:color="auto" w:sz="4" w:space="0"/>
            </w:tcBorders>
            <w:vAlign w:val="center"/>
          </w:tcPr>
          <w:p>
            <w:pPr>
              <w:rPr>
                <w:sz w:val="18"/>
                <w:szCs w:val="18"/>
              </w:rPr>
            </w:pPr>
          </w:p>
        </w:tc>
        <w:tc>
          <w:tcPr>
            <w:tcW w:w="692" w:type="dxa"/>
            <w:tcBorders>
              <w:top w:val="single" w:color="auto" w:sz="4" w:space="0"/>
              <w:left w:val="nil"/>
              <w:bottom w:val="single" w:color="auto" w:sz="4" w:space="0"/>
              <w:right w:val="single" w:color="auto" w:sz="4" w:space="0"/>
            </w:tcBorders>
            <w:vAlign w:val="center"/>
          </w:tcPr>
          <w:p>
            <w:pPr>
              <w:spacing w:line="240" w:lineRule="exact"/>
              <w:jc w:val="both"/>
              <w:rPr>
                <w:sz w:val="18"/>
                <w:szCs w:val="18"/>
              </w:rPr>
            </w:pPr>
            <w:r>
              <w:rPr>
                <w:rFonts w:hint="eastAsia"/>
                <w:sz w:val="18"/>
                <w:szCs w:val="18"/>
              </w:rPr>
              <w:t>上年结转资金</w:t>
            </w:r>
          </w:p>
        </w:tc>
        <w:tc>
          <w:tcPr>
            <w:tcW w:w="782"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55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Layout w:type="fixed"/>
          <w:tblCellMar>
            <w:top w:w="0" w:type="dxa"/>
            <w:left w:w="108" w:type="dxa"/>
            <w:bottom w:w="0" w:type="dxa"/>
            <w:right w:w="108" w:type="dxa"/>
          </w:tblCellMar>
        </w:tblPrEx>
        <w:trPr>
          <w:trHeight w:val="701" w:hRule="atLeast"/>
          <w:jc w:val="center"/>
        </w:trPr>
        <w:tc>
          <w:tcPr>
            <w:tcW w:w="943" w:type="dxa"/>
            <w:gridSpan w:val="2"/>
            <w:vMerge w:val="continue"/>
            <w:tcBorders>
              <w:top w:val="nil"/>
              <w:left w:val="single" w:color="auto" w:sz="4" w:space="0"/>
              <w:bottom w:val="single" w:color="auto" w:sz="4" w:space="0"/>
              <w:right w:val="single" w:color="auto" w:sz="4" w:space="0"/>
            </w:tcBorders>
            <w:vAlign w:val="center"/>
          </w:tcPr>
          <w:p>
            <w:pPr>
              <w:rPr>
                <w:sz w:val="18"/>
                <w:szCs w:val="18"/>
              </w:rPr>
            </w:pPr>
          </w:p>
        </w:tc>
        <w:tc>
          <w:tcPr>
            <w:tcW w:w="69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其他资金</w:t>
            </w:r>
          </w:p>
        </w:tc>
        <w:tc>
          <w:tcPr>
            <w:tcW w:w="782"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55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Layout w:type="fixed"/>
          <w:tblCellMar>
            <w:top w:w="0" w:type="dxa"/>
            <w:left w:w="108" w:type="dxa"/>
            <w:bottom w:w="0" w:type="dxa"/>
            <w:right w:w="108" w:type="dxa"/>
          </w:tblCellMar>
        </w:tblPrEx>
        <w:trPr>
          <w:trHeight w:val="291" w:hRule="atLeast"/>
          <w:jc w:val="center"/>
        </w:trPr>
        <w:tc>
          <w:tcPr>
            <w:tcW w:w="477" w:type="dxa"/>
            <w:vMerge w:val="restart"/>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年度总体目标</w:t>
            </w:r>
          </w:p>
        </w:tc>
        <w:tc>
          <w:tcPr>
            <w:tcW w:w="5367"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预期目标</w:t>
            </w:r>
          </w:p>
        </w:tc>
        <w:tc>
          <w:tcPr>
            <w:tcW w:w="2950"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实际完成情况</w:t>
            </w:r>
          </w:p>
        </w:tc>
      </w:tr>
      <w:tr>
        <w:tblPrEx>
          <w:tblLayout w:type="fixed"/>
          <w:tblCellMar>
            <w:top w:w="0" w:type="dxa"/>
            <w:left w:w="108" w:type="dxa"/>
            <w:bottom w:w="0" w:type="dxa"/>
            <w:right w:w="108" w:type="dxa"/>
          </w:tblCellMar>
        </w:tblPrEx>
        <w:trPr>
          <w:trHeight w:val="1224" w:hRule="atLeast"/>
          <w:jc w:val="center"/>
        </w:trPr>
        <w:tc>
          <w:tcPr>
            <w:tcW w:w="477" w:type="dxa"/>
            <w:vMerge w:val="continue"/>
            <w:tcBorders>
              <w:top w:val="nil"/>
              <w:left w:val="single" w:color="auto" w:sz="4" w:space="0"/>
              <w:bottom w:val="single" w:color="auto" w:sz="4" w:space="0"/>
              <w:right w:val="single" w:color="auto" w:sz="4" w:space="0"/>
            </w:tcBorders>
            <w:vAlign w:val="center"/>
          </w:tcPr>
          <w:p>
            <w:pPr>
              <w:rPr>
                <w:sz w:val="18"/>
                <w:szCs w:val="18"/>
              </w:rPr>
            </w:pPr>
          </w:p>
        </w:tc>
        <w:tc>
          <w:tcPr>
            <w:tcW w:w="5367"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完成承担的辖区公共道路保洁和公共绿化养护等事权所需的支出</w:t>
            </w:r>
          </w:p>
        </w:tc>
        <w:tc>
          <w:tcPr>
            <w:tcW w:w="2950"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完成了预期的既定目标</w:t>
            </w:r>
          </w:p>
        </w:tc>
      </w:tr>
      <w:tr>
        <w:tblPrEx>
          <w:tblLayout w:type="fixed"/>
          <w:tblCellMar>
            <w:top w:w="0" w:type="dxa"/>
            <w:left w:w="108" w:type="dxa"/>
            <w:bottom w:w="0" w:type="dxa"/>
            <w:right w:w="108" w:type="dxa"/>
          </w:tblCellMar>
        </w:tblPrEx>
        <w:trPr>
          <w:trHeight w:val="517" w:hRule="atLeast"/>
          <w:jc w:val="center"/>
        </w:trPr>
        <w:tc>
          <w:tcPr>
            <w:tcW w:w="477" w:type="dxa"/>
            <w:vMerge w:val="restart"/>
            <w:tcBorders>
              <w:top w:val="nil"/>
              <w:left w:val="single" w:color="auto" w:sz="4" w:space="0"/>
              <w:bottom w:val="nil"/>
              <w:right w:val="single" w:color="auto" w:sz="4" w:space="0"/>
            </w:tcBorders>
            <w:vAlign w:val="center"/>
          </w:tcPr>
          <w:p>
            <w:pPr>
              <w:spacing w:line="240" w:lineRule="exact"/>
              <w:jc w:val="center"/>
              <w:rPr>
                <w:sz w:val="18"/>
                <w:szCs w:val="18"/>
              </w:rPr>
            </w:pPr>
            <w:r>
              <w:rPr>
                <w:rFonts w:hint="eastAsia"/>
                <w:sz w:val="18"/>
                <w:szCs w:val="18"/>
              </w:rPr>
              <w:t>绩</w:t>
            </w:r>
            <w:r>
              <w:rPr>
                <w:rFonts w:hint="eastAsia"/>
                <w:sz w:val="18"/>
                <w:szCs w:val="18"/>
              </w:rPr>
              <w:br w:type="textWrapping"/>
            </w:r>
            <w:r>
              <w:rPr>
                <w:rFonts w:hint="eastAsia"/>
                <w:sz w:val="18"/>
                <w:szCs w:val="18"/>
              </w:rPr>
              <w:t>效</w:t>
            </w:r>
            <w:r>
              <w:rPr>
                <w:rFonts w:hint="eastAsia"/>
                <w:sz w:val="18"/>
                <w:szCs w:val="18"/>
              </w:rPr>
              <w:br w:type="textWrapping"/>
            </w:r>
            <w:r>
              <w:rPr>
                <w:rFonts w:hint="eastAsia"/>
                <w:sz w:val="18"/>
                <w:szCs w:val="18"/>
              </w:rPr>
              <w:t>指</w:t>
            </w:r>
            <w:r>
              <w:rPr>
                <w:rFonts w:hint="eastAsia"/>
                <w:sz w:val="18"/>
                <w:szCs w:val="18"/>
              </w:rPr>
              <w:br w:type="textWrapping"/>
            </w:r>
            <w:r>
              <w:rPr>
                <w:rFonts w:hint="eastAsia"/>
                <w:sz w:val="18"/>
                <w:szCs w:val="18"/>
              </w:rPr>
              <w:t>标</w:t>
            </w:r>
          </w:p>
        </w:tc>
        <w:tc>
          <w:tcPr>
            <w:tcW w:w="466"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一级指标</w:t>
            </w: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二级指标</w:t>
            </w:r>
          </w:p>
        </w:tc>
        <w:tc>
          <w:tcPr>
            <w:tcW w:w="78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三级指标</w:t>
            </w: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年度</w:t>
            </w:r>
          </w:p>
          <w:p>
            <w:pPr>
              <w:spacing w:line="240" w:lineRule="exact"/>
              <w:jc w:val="center"/>
              <w:rPr>
                <w:sz w:val="18"/>
                <w:szCs w:val="18"/>
              </w:rPr>
            </w:pPr>
            <w:r>
              <w:rPr>
                <w:rFonts w:hint="eastAsia"/>
                <w:sz w:val="18"/>
                <w:szCs w:val="18"/>
              </w:rPr>
              <w:t>指标值</w:t>
            </w: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实际</w:t>
            </w:r>
          </w:p>
          <w:p>
            <w:pPr>
              <w:spacing w:line="240" w:lineRule="exact"/>
              <w:jc w:val="center"/>
              <w:rPr>
                <w:sz w:val="18"/>
                <w:szCs w:val="18"/>
              </w:rPr>
            </w:pPr>
            <w:r>
              <w:rPr>
                <w:rFonts w:hint="eastAsia"/>
                <w:sz w:val="18"/>
                <w:szCs w:val="18"/>
              </w:rPr>
              <w:t>完成值</w:t>
            </w: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分值</w:t>
            </w: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得分</w:t>
            </w: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偏差原因分析及改进措施</w:t>
            </w:r>
          </w:p>
        </w:tc>
      </w:tr>
      <w:tr>
        <w:tblPrEx>
          <w:tblLayout w:type="fixed"/>
          <w:tblCellMar>
            <w:top w:w="0" w:type="dxa"/>
            <w:left w:w="108" w:type="dxa"/>
            <w:bottom w:w="0" w:type="dxa"/>
            <w:right w:w="108" w:type="dxa"/>
          </w:tblCellMar>
        </w:tblPrEx>
        <w:trPr>
          <w:trHeight w:val="863"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vMerge w:val="restart"/>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产出指标</w:t>
            </w: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数量指标</w:t>
            </w:r>
          </w:p>
        </w:tc>
        <w:tc>
          <w:tcPr>
            <w:tcW w:w="782" w:type="dxa"/>
            <w:tcBorders>
              <w:top w:val="single" w:color="auto" w:sz="4" w:space="0"/>
              <w:left w:val="nil"/>
              <w:bottom w:val="nil"/>
              <w:right w:val="single" w:color="auto" w:sz="4" w:space="0"/>
            </w:tcBorders>
            <w:vAlign w:val="center"/>
          </w:tcPr>
          <w:p>
            <w:pPr>
              <w:spacing w:line="240" w:lineRule="exact"/>
              <w:rPr>
                <w:color w:val="000000"/>
                <w:sz w:val="18"/>
                <w:szCs w:val="18"/>
              </w:rPr>
            </w:pPr>
            <w:r>
              <w:rPr>
                <w:rFonts w:hint="eastAsia"/>
                <w:color w:val="000000"/>
                <w:sz w:val="18"/>
                <w:szCs w:val="18"/>
              </w:rPr>
              <w:t>指标1：使用范围</w:t>
            </w:r>
          </w:p>
        </w:tc>
        <w:tc>
          <w:tcPr>
            <w:tcW w:w="3427" w:type="dxa"/>
            <w:tcBorders>
              <w:top w:val="single" w:color="auto" w:sz="4" w:space="0"/>
              <w:left w:val="nil"/>
              <w:bottom w:val="single" w:color="auto" w:sz="4" w:space="0"/>
              <w:right w:val="single" w:color="auto" w:sz="6" w:space="0"/>
            </w:tcBorders>
            <w:vAlign w:val="center"/>
          </w:tcPr>
          <w:p>
            <w:pPr>
              <w:spacing w:line="240" w:lineRule="exact"/>
              <w:ind w:firstLine="360" w:firstLineChars="200"/>
              <w:rPr>
                <w:sz w:val="18"/>
                <w:szCs w:val="18"/>
              </w:rPr>
            </w:pPr>
            <w:r>
              <w:rPr>
                <w:rFonts w:hint="eastAsia"/>
                <w:sz w:val="18"/>
                <w:szCs w:val="18"/>
              </w:rPr>
              <w:t>辖区内公共道路保洁和公共绿化养护等支出</w:t>
            </w:r>
          </w:p>
        </w:tc>
        <w:tc>
          <w:tcPr>
            <w:tcW w:w="1369" w:type="dxa"/>
            <w:tcBorders>
              <w:top w:val="single" w:color="auto" w:sz="4" w:space="0"/>
              <w:left w:val="nil"/>
              <w:bottom w:val="single" w:color="auto" w:sz="4" w:space="0"/>
              <w:right w:val="single" w:color="auto" w:sz="6" w:space="0"/>
            </w:tcBorders>
            <w:vAlign w:val="center"/>
          </w:tcPr>
          <w:p>
            <w:pPr>
              <w:spacing w:line="240" w:lineRule="exact"/>
              <w:jc w:val="center"/>
              <w:rPr>
                <w:sz w:val="18"/>
                <w:szCs w:val="18"/>
              </w:rPr>
            </w:pPr>
            <w:r>
              <w:rPr>
                <w:rFonts w:hint="eastAsia"/>
                <w:sz w:val="18"/>
                <w:szCs w:val="18"/>
              </w:rPr>
              <w:t>完成了辖区内年初预期的既定目标</w:t>
            </w:r>
          </w:p>
        </w:tc>
        <w:tc>
          <w:tcPr>
            <w:tcW w:w="511" w:type="dxa"/>
            <w:tcBorders>
              <w:top w:val="single" w:color="auto" w:sz="4" w:space="0"/>
              <w:left w:val="nil"/>
              <w:bottom w:val="single" w:color="auto" w:sz="4" w:space="0"/>
              <w:right w:val="single" w:color="auto" w:sz="6" w:space="0"/>
            </w:tcBorders>
            <w:vAlign w:val="center"/>
          </w:tcPr>
          <w:p>
            <w:pPr>
              <w:spacing w:line="240" w:lineRule="exact"/>
              <w:jc w:val="center"/>
              <w:rPr>
                <w:sz w:val="18"/>
                <w:szCs w:val="18"/>
              </w:rPr>
            </w:pPr>
            <w:r>
              <w:rPr>
                <w:rFonts w:hint="eastAsia"/>
                <w:sz w:val="18"/>
                <w:szCs w:val="18"/>
              </w:rPr>
              <w:t>15</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w:t>
            </w:r>
          </w:p>
        </w:tc>
        <w:tc>
          <w:tcPr>
            <w:tcW w:w="559" w:type="dxa"/>
            <w:tcBorders>
              <w:top w:val="single" w:color="auto" w:sz="4" w:space="0"/>
              <w:left w:val="nil"/>
              <w:bottom w:val="nil"/>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1468"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vMerge w:val="continue"/>
            <w:tcBorders>
              <w:top w:val="nil"/>
              <w:left w:val="nil"/>
              <w:bottom w:val="single" w:color="auto" w:sz="4" w:space="0"/>
              <w:right w:val="single" w:color="auto" w:sz="4" w:space="0"/>
            </w:tcBorders>
            <w:vAlign w:val="center"/>
          </w:tcPr>
          <w:p>
            <w:pPr>
              <w:rPr>
                <w:sz w:val="18"/>
                <w:szCs w:val="18"/>
              </w:rPr>
            </w:pP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质量指标</w:t>
            </w:r>
          </w:p>
        </w:tc>
        <w:tc>
          <w:tcPr>
            <w:tcW w:w="782" w:type="dxa"/>
            <w:tcBorders>
              <w:top w:val="single" w:color="auto" w:sz="4" w:space="0"/>
              <w:left w:val="nil"/>
              <w:bottom w:val="nil"/>
              <w:right w:val="single" w:color="auto" w:sz="4" w:space="0"/>
            </w:tcBorders>
            <w:vAlign w:val="center"/>
          </w:tcPr>
          <w:p>
            <w:pPr>
              <w:spacing w:line="240" w:lineRule="exact"/>
              <w:rPr>
                <w:color w:val="000000"/>
                <w:sz w:val="18"/>
                <w:szCs w:val="18"/>
              </w:rPr>
            </w:pPr>
            <w:r>
              <w:rPr>
                <w:rFonts w:hint="eastAsia"/>
                <w:color w:val="000000"/>
                <w:sz w:val="18"/>
                <w:szCs w:val="18"/>
              </w:rPr>
              <w:t>指标1：完成情况</w:t>
            </w:r>
          </w:p>
        </w:tc>
        <w:tc>
          <w:tcPr>
            <w:tcW w:w="342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达到一级道路绿化指标。</w:t>
            </w:r>
          </w:p>
        </w:tc>
        <w:tc>
          <w:tcPr>
            <w:tcW w:w="136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均按管理办法合理支出</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w:t>
            </w:r>
          </w:p>
        </w:tc>
        <w:tc>
          <w:tcPr>
            <w:tcW w:w="559" w:type="dxa"/>
            <w:tcBorders>
              <w:top w:val="single" w:color="auto" w:sz="4" w:space="0"/>
              <w:left w:val="nil"/>
              <w:bottom w:val="nil"/>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695"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vMerge w:val="continue"/>
            <w:tcBorders>
              <w:top w:val="nil"/>
              <w:left w:val="nil"/>
              <w:bottom w:val="single" w:color="auto" w:sz="4" w:space="0"/>
              <w:right w:val="single" w:color="auto" w:sz="4" w:space="0"/>
            </w:tcBorders>
            <w:vAlign w:val="center"/>
          </w:tcPr>
          <w:p>
            <w:pPr>
              <w:rPr>
                <w:sz w:val="18"/>
                <w:szCs w:val="18"/>
              </w:rPr>
            </w:pP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时效指标</w:t>
            </w:r>
          </w:p>
        </w:tc>
        <w:tc>
          <w:tcPr>
            <w:tcW w:w="782" w:type="dxa"/>
            <w:tcBorders>
              <w:top w:val="single" w:color="auto" w:sz="4" w:space="0"/>
              <w:left w:val="nil"/>
              <w:bottom w:val="nil"/>
              <w:right w:val="single" w:color="auto" w:sz="4" w:space="0"/>
            </w:tcBorders>
            <w:vAlign w:val="center"/>
          </w:tcPr>
          <w:p>
            <w:pPr>
              <w:spacing w:line="240" w:lineRule="exact"/>
              <w:rPr>
                <w:color w:val="000000"/>
                <w:sz w:val="18"/>
                <w:szCs w:val="18"/>
              </w:rPr>
            </w:pPr>
            <w:r>
              <w:rPr>
                <w:rFonts w:hint="eastAsia"/>
                <w:color w:val="000000"/>
                <w:sz w:val="18"/>
                <w:szCs w:val="18"/>
              </w:rPr>
              <w:t>指标1：支出时间</w:t>
            </w:r>
          </w:p>
        </w:tc>
        <w:tc>
          <w:tcPr>
            <w:tcW w:w="342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xml:space="preserve">  </w:t>
            </w:r>
          </w:p>
        </w:tc>
        <w:tc>
          <w:tcPr>
            <w:tcW w:w="136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均按项目合同约定执行</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705"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vMerge w:val="continue"/>
            <w:tcBorders>
              <w:top w:val="nil"/>
              <w:left w:val="nil"/>
              <w:bottom w:val="single" w:color="auto" w:sz="4" w:space="0"/>
              <w:right w:val="single" w:color="auto" w:sz="4" w:space="0"/>
            </w:tcBorders>
            <w:vAlign w:val="center"/>
          </w:tcPr>
          <w:p>
            <w:pPr>
              <w:rPr>
                <w:sz w:val="18"/>
                <w:szCs w:val="18"/>
              </w:rPr>
            </w:pP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成本指标</w:t>
            </w:r>
          </w:p>
        </w:tc>
        <w:tc>
          <w:tcPr>
            <w:tcW w:w="782" w:type="dxa"/>
            <w:tcBorders>
              <w:top w:val="single" w:color="auto" w:sz="4" w:space="0"/>
              <w:left w:val="nil"/>
              <w:bottom w:val="nil"/>
              <w:right w:val="single" w:color="auto" w:sz="4" w:space="0"/>
            </w:tcBorders>
            <w:vAlign w:val="center"/>
          </w:tcPr>
          <w:p>
            <w:pPr>
              <w:spacing w:line="240" w:lineRule="exact"/>
              <w:rPr>
                <w:color w:val="000000"/>
                <w:sz w:val="18"/>
                <w:szCs w:val="18"/>
              </w:rPr>
            </w:pPr>
            <w:r>
              <w:rPr>
                <w:rFonts w:hint="eastAsia"/>
                <w:color w:val="000000"/>
                <w:sz w:val="18"/>
                <w:szCs w:val="18"/>
              </w:rPr>
              <w:t>指标1：支出金额</w:t>
            </w:r>
          </w:p>
        </w:tc>
        <w:tc>
          <w:tcPr>
            <w:tcW w:w="342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1000万元/年的标准设立民生家园建设专项资金。</w:t>
            </w:r>
          </w:p>
        </w:tc>
        <w:tc>
          <w:tcPr>
            <w:tcW w:w="136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1000万元/年的标准设立民生家园建设专项资金</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1902"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vMerge w:val="restart"/>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效益指标30</w:t>
            </w: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经济效益</w:t>
            </w:r>
          </w:p>
          <w:p>
            <w:pPr>
              <w:spacing w:line="240" w:lineRule="exact"/>
              <w:jc w:val="center"/>
              <w:rPr>
                <w:sz w:val="18"/>
                <w:szCs w:val="18"/>
              </w:rPr>
            </w:pPr>
            <w:r>
              <w:rPr>
                <w:rFonts w:hint="eastAsia"/>
                <w:sz w:val="18"/>
                <w:szCs w:val="18"/>
              </w:rPr>
              <w:t>指标</w:t>
            </w:r>
          </w:p>
        </w:tc>
        <w:tc>
          <w:tcPr>
            <w:tcW w:w="782" w:type="dxa"/>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指标1：</w:t>
            </w:r>
          </w:p>
        </w:tc>
        <w:tc>
          <w:tcPr>
            <w:tcW w:w="342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136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1995"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vMerge w:val="continue"/>
            <w:tcBorders>
              <w:top w:val="nil"/>
              <w:left w:val="nil"/>
              <w:bottom w:val="single" w:color="auto" w:sz="4" w:space="0"/>
              <w:right w:val="single" w:color="auto" w:sz="4" w:space="0"/>
            </w:tcBorders>
            <w:vAlign w:val="center"/>
          </w:tcPr>
          <w:p>
            <w:pPr>
              <w:rPr>
                <w:sz w:val="18"/>
                <w:szCs w:val="18"/>
              </w:rPr>
            </w:pP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社会效益</w:t>
            </w:r>
          </w:p>
          <w:p>
            <w:pPr>
              <w:spacing w:line="240" w:lineRule="exact"/>
              <w:jc w:val="center"/>
              <w:rPr>
                <w:sz w:val="18"/>
                <w:szCs w:val="18"/>
              </w:rPr>
            </w:pPr>
            <w:r>
              <w:rPr>
                <w:rFonts w:hint="eastAsia"/>
                <w:sz w:val="18"/>
                <w:szCs w:val="18"/>
              </w:rPr>
              <w:t>指标</w:t>
            </w:r>
          </w:p>
        </w:tc>
        <w:tc>
          <w:tcPr>
            <w:tcW w:w="782" w:type="dxa"/>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指标1：辅助政府履职及城市管理</w:t>
            </w: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提高基层社会治理水平，推进基层管理权限下沉，加大基层基础保障力度，推进街道、社区公共服务水平。</w:t>
            </w: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提高了基层社会治理水平，推进了基层管理权限下沉，加大了基层基础保障力度，推进了街道、社区公共服务水平。</w:t>
            </w: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30</w:t>
            </w: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30</w:t>
            </w: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1039"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vMerge w:val="continue"/>
            <w:tcBorders>
              <w:top w:val="nil"/>
              <w:left w:val="nil"/>
              <w:bottom w:val="single" w:color="auto" w:sz="4" w:space="0"/>
              <w:right w:val="single" w:color="auto" w:sz="4" w:space="0"/>
            </w:tcBorders>
            <w:vAlign w:val="center"/>
          </w:tcPr>
          <w:p>
            <w:pPr>
              <w:rPr>
                <w:sz w:val="18"/>
                <w:szCs w:val="18"/>
              </w:rPr>
            </w:pP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生态效益</w:t>
            </w:r>
          </w:p>
          <w:p>
            <w:pPr>
              <w:spacing w:line="240" w:lineRule="exact"/>
              <w:jc w:val="center"/>
              <w:rPr>
                <w:sz w:val="18"/>
                <w:szCs w:val="18"/>
              </w:rPr>
            </w:pPr>
            <w:r>
              <w:rPr>
                <w:rFonts w:hint="eastAsia"/>
                <w:sz w:val="18"/>
                <w:szCs w:val="18"/>
              </w:rPr>
              <w:t>指标</w:t>
            </w:r>
          </w:p>
        </w:tc>
        <w:tc>
          <w:tcPr>
            <w:tcW w:w="782" w:type="dxa"/>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指标1：</w:t>
            </w: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1152"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vMerge w:val="continue"/>
            <w:tcBorders>
              <w:top w:val="nil"/>
              <w:left w:val="nil"/>
              <w:bottom w:val="single" w:color="auto" w:sz="4" w:space="0"/>
              <w:right w:val="single" w:color="auto" w:sz="4" w:space="0"/>
            </w:tcBorders>
            <w:vAlign w:val="center"/>
          </w:tcPr>
          <w:p>
            <w:pPr>
              <w:rPr>
                <w:sz w:val="18"/>
                <w:szCs w:val="18"/>
              </w:rPr>
            </w:pP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可持续影响指标</w:t>
            </w:r>
          </w:p>
        </w:tc>
        <w:tc>
          <w:tcPr>
            <w:tcW w:w="782" w:type="dxa"/>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指标1：</w:t>
            </w: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1267"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满意度</w:t>
            </w:r>
          </w:p>
          <w:p>
            <w:pPr>
              <w:spacing w:line="240" w:lineRule="exact"/>
              <w:jc w:val="center"/>
              <w:rPr>
                <w:sz w:val="18"/>
                <w:szCs w:val="18"/>
              </w:rPr>
            </w:pPr>
            <w:r>
              <w:rPr>
                <w:rFonts w:hint="eastAsia"/>
                <w:sz w:val="18"/>
                <w:szCs w:val="18"/>
              </w:rPr>
              <w:t>指标</w:t>
            </w:r>
          </w:p>
        </w:tc>
        <w:tc>
          <w:tcPr>
            <w:tcW w:w="69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服务对象满意度指标</w:t>
            </w:r>
          </w:p>
        </w:tc>
        <w:tc>
          <w:tcPr>
            <w:tcW w:w="782" w:type="dxa"/>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指标1：</w:t>
            </w:r>
            <w:r>
              <w:rPr>
                <w:rFonts w:hint="eastAsia"/>
                <w:sz w:val="18"/>
                <w:szCs w:val="18"/>
              </w:rPr>
              <w:t>受益群众满意度</w:t>
            </w:r>
          </w:p>
        </w:tc>
        <w:tc>
          <w:tcPr>
            <w:tcW w:w="342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受益群众满意度  95%</w:t>
            </w:r>
          </w:p>
        </w:tc>
        <w:tc>
          <w:tcPr>
            <w:tcW w:w="136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受益群众满意度为95%</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291" w:hRule="atLeast"/>
          <w:jc w:val="center"/>
        </w:trPr>
        <w:tc>
          <w:tcPr>
            <w:tcW w:w="721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总分</w:t>
            </w:r>
          </w:p>
        </w:tc>
        <w:tc>
          <w:tcPr>
            <w:tcW w:w="511" w:type="dxa"/>
            <w:tcBorders>
              <w:top w:val="nil"/>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100</w:t>
            </w:r>
          </w:p>
        </w:tc>
        <w:tc>
          <w:tcPr>
            <w:tcW w:w="511" w:type="dxa"/>
            <w:tcBorders>
              <w:top w:val="nil"/>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100</w:t>
            </w: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bl>
    <w:p>
      <w:pPr>
        <w:pStyle w:val="24"/>
        <w:spacing w:before="0" w:beforeAutospacing="0"/>
        <w:rPr>
          <w:rFonts w:hint="eastAsia"/>
          <w:sz w:val="30"/>
          <w:szCs w:val="30"/>
        </w:rPr>
      </w:pPr>
      <w:r>
        <w:rPr>
          <w:rFonts w:hint="eastAsia"/>
          <w:sz w:val="30"/>
          <w:szCs w:val="30"/>
        </w:rPr>
        <w:t xml:space="preserve"> </w:t>
      </w:r>
    </w:p>
    <w:p>
      <w:pPr>
        <w:pStyle w:val="24"/>
        <w:spacing w:before="0" w:beforeAutospacing="0"/>
        <w:rPr>
          <w:rFonts w:hint="eastAsia"/>
          <w:sz w:val="30"/>
          <w:szCs w:val="30"/>
        </w:rPr>
      </w:pPr>
      <w:r>
        <w:rPr>
          <w:rFonts w:hint="eastAsia"/>
          <w:sz w:val="30"/>
          <w:szCs w:val="30"/>
        </w:rPr>
        <w:t xml:space="preserve"> </w:t>
      </w:r>
    </w:p>
    <w:p>
      <w:pPr>
        <w:pStyle w:val="24"/>
        <w:spacing w:before="0" w:beforeAutospacing="0"/>
        <w:rPr>
          <w:rFonts w:hint="eastAsia"/>
          <w:sz w:val="30"/>
          <w:szCs w:val="30"/>
        </w:rPr>
      </w:pPr>
      <w:r>
        <w:rPr>
          <w:rFonts w:hint="eastAsia"/>
          <w:sz w:val="30"/>
          <w:szCs w:val="30"/>
        </w:rPr>
        <w:t xml:space="preserve"> </w:t>
      </w:r>
    </w:p>
    <w:p>
      <w:pPr>
        <w:pStyle w:val="24"/>
        <w:spacing w:before="0" w:beforeAutospacing="0"/>
        <w:rPr>
          <w:rFonts w:hint="eastAsia"/>
          <w:sz w:val="30"/>
          <w:szCs w:val="30"/>
        </w:rPr>
      </w:pPr>
      <w:r>
        <w:rPr>
          <w:rFonts w:hint="eastAsia"/>
          <w:sz w:val="30"/>
          <w:szCs w:val="30"/>
        </w:rPr>
        <w:t xml:space="preserve"> </w:t>
      </w:r>
    </w:p>
    <w:p>
      <w:pPr>
        <w:spacing w:line="560" w:lineRule="exact"/>
        <w:rPr>
          <w:rFonts w:hint="eastAsia" w:eastAsia="仿宋_GB2312"/>
          <w:sz w:val="32"/>
          <w:szCs w:val="32"/>
        </w:rPr>
      </w:pPr>
      <w:r>
        <w:rPr>
          <w:rFonts w:hint="eastAsia" w:eastAsia="仿宋_GB2312"/>
          <w:sz w:val="32"/>
          <w:szCs w:val="32"/>
        </w:rPr>
        <w:t xml:space="preserve"> </w:t>
      </w:r>
    </w:p>
    <w:p>
      <w:pPr>
        <w:spacing w:line="560" w:lineRule="exact"/>
        <w:rPr>
          <w:rFonts w:hint="eastAsia" w:eastAsia="仿宋_GB2312"/>
          <w:sz w:val="32"/>
          <w:szCs w:val="32"/>
        </w:rPr>
      </w:pPr>
      <w:r>
        <w:rPr>
          <w:rFonts w:hint="eastAsia" w:eastAsia="仿宋_GB2312"/>
          <w:sz w:val="32"/>
          <w:szCs w:val="32"/>
        </w:rPr>
        <w:t xml:space="preserve"> </w:t>
      </w:r>
    </w:p>
    <w:p>
      <w:pPr>
        <w:spacing w:line="560" w:lineRule="exact"/>
        <w:rPr>
          <w:rFonts w:hint="eastAsia" w:eastAsia="仿宋_GB2312"/>
          <w:sz w:val="32"/>
          <w:szCs w:val="32"/>
        </w:rPr>
      </w:pPr>
      <w:r>
        <w:rPr>
          <w:rFonts w:hint="eastAsia" w:eastAsia="仿宋_GB2312"/>
          <w:sz w:val="32"/>
          <w:szCs w:val="32"/>
        </w:rPr>
        <w:t xml:space="preserve"> </w:t>
      </w:r>
    </w:p>
    <w:p>
      <w:pPr>
        <w:spacing w:line="560" w:lineRule="exact"/>
        <w:rPr>
          <w:rFonts w:hint="eastAsia" w:eastAsia="仿宋_GB2312"/>
          <w:sz w:val="32"/>
          <w:szCs w:val="32"/>
        </w:rPr>
      </w:pPr>
      <w:r>
        <w:rPr>
          <w:rFonts w:hint="eastAsia" w:eastAsia="仿宋_GB2312"/>
          <w:sz w:val="32"/>
          <w:szCs w:val="32"/>
        </w:rPr>
        <w:t xml:space="preserve"> </w:t>
      </w:r>
    </w:p>
    <w:p>
      <w:pPr>
        <w:pStyle w:val="2"/>
        <w:rPr>
          <w:rFonts w:hint="eastAsia"/>
        </w:rPr>
      </w:pPr>
      <w:r>
        <w:rPr>
          <w:rFonts w:hint="eastAsia"/>
        </w:rPr>
        <w:t xml:space="preserve"> </w:t>
      </w:r>
    </w:p>
    <w:p>
      <w:pPr>
        <w:pStyle w:val="2"/>
        <w:rPr>
          <w:rFonts w:hint="eastAsia"/>
        </w:rPr>
      </w:pPr>
      <w:r>
        <w:rPr>
          <w:rFonts w:hint="eastAsia"/>
        </w:rPr>
        <w:t xml:space="preserve"> </w:t>
      </w:r>
    </w:p>
    <w:tbl>
      <w:tblPr>
        <w:tblStyle w:val="14"/>
        <w:tblW w:w="8794" w:type="dxa"/>
        <w:jc w:val="center"/>
        <w:tblInd w:w="0" w:type="dxa"/>
        <w:tblLayout w:type="fixed"/>
        <w:tblCellMar>
          <w:top w:w="0" w:type="dxa"/>
          <w:left w:w="108" w:type="dxa"/>
          <w:bottom w:w="0" w:type="dxa"/>
          <w:right w:w="108" w:type="dxa"/>
        </w:tblCellMar>
      </w:tblPr>
      <w:tblGrid>
        <w:gridCol w:w="477"/>
        <w:gridCol w:w="466"/>
        <w:gridCol w:w="692"/>
        <w:gridCol w:w="782"/>
        <w:gridCol w:w="3427"/>
        <w:gridCol w:w="1369"/>
        <w:gridCol w:w="511"/>
        <w:gridCol w:w="511"/>
        <w:gridCol w:w="559"/>
      </w:tblGrid>
      <w:tr>
        <w:tblPrEx>
          <w:tblLayout w:type="fixed"/>
          <w:tblCellMar>
            <w:top w:w="0" w:type="dxa"/>
            <w:left w:w="108" w:type="dxa"/>
            <w:bottom w:w="0" w:type="dxa"/>
            <w:right w:w="108" w:type="dxa"/>
          </w:tblCellMar>
        </w:tblPrEx>
        <w:trPr>
          <w:trHeight w:val="440" w:hRule="atLeast"/>
          <w:jc w:val="center"/>
        </w:trPr>
        <w:tc>
          <w:tcPr>
            <w:tcW w:w="8794" w:type="dxa"/>
            <w:gridSpan w:val="9"/>
            <w:tcBorders>
              <w:top w:val="nil"/>
              <w:left w:val="nil"/>
              <w:bottom w:val="nil"/>
              <w:right w:val="nil"/>
            </w:tcBorders>
            <w:vAlign w:val="center"/>
          </w:tcPr>
          <w:p>
            <w:pPr>
              <w:spacing w:line="320" w:lineRule="exact"/>
              <w:jc w:val="center"/>
              <w:rPr>
                <w:rFonts w:ascii="黑体" w:eastAsia="黑体"/>
                <w:sz w:val="32"/>
                <w:szCs w:val="32"/>
              </w:rPr>
            </w:pPr>
            <w:r>
              <w:rPr>
                <w:rFonts w:hint="eastAsia" w:ascii="黑体" w:eastAsia="黑体"/>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794" w:type="dxa"/>
            <w:gridSpan w:val="9"/>
            <w:tcBorders>
              <w:top w:val="nil"/>
              <w:left w:val="nil"/>
              <w:bottom w:val="nil"/>
              <w:right w:val="nil"/>
            </w:tcBorders>
          </w:tcPr>
          <w:p>
            <w:pPr>
              <w:jc w:val="center"/>
              <w:rPr>
                <w:sz w:val="22"/>
                <w:szCs w:val="22"/>
              </w:rPr>
            </w:pPr>
            <w:r>
              <w:rPr>
                <w:rFonts w:hint="eastAsia"/>
                <w:sz w:val="22"/>
                <w:szCs w:val="22"/>
              </w:rPr>
              <w:t>（  2021 年度）</w:t>
            </w:r>
          </w:p>
        </w:tc>
      </w:tr>
      <w:tr>
        <w:tblPrEx>
          <w:tblLayout w:type="fixed"/>
          <w:tblCellMar>
            <w:top w:w="0" w:type="dxa"/>
            <w:left w:w="108" w:type="dxa"/>
            <w:bottom w:w="0" w:type="dxa"/>
            <w:right w:w="108" w:type="dxa"/>
          </w:tblCellMar>
        </w:tblPrEx>
        <w:trPr>
          <w:trHeight w:val="291" w:hRule="atLeast"/>
          <w:jc w:val="center"/>
        </w:trPr>
        <w:tc>
          <w:tcPr>
            <w:tcW w:w="94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项目名称</w:t>
            </w:r>
          </w:p>
        </w:tc>
        <w:tc>
          <w:tcPr>
            <w:tcW w:w="7851" w:type="dxa"/>
            <w:gridSpan w:val="7"/>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民生家园建设经费</w:t>
            </w:r>
          </w:p>
        </w:tc>
      </w:tr>
      <w:tr>
        <w:tblPrEx>
          <w:tblLayout w:type="fixed"/>
          <w:tblCellMar>
            <w:top w:w="0" w:type="dxa"/>
            <w:left w:w="108" w:type="dxa"/>
            <w:bottom w:w="0" w:type="dxa"/>
            <w:right w:w="108" w:type="dxa"/>
          </w:tblCellMar>
        </w:tblPrEx>
        <w:trPr>
          <w:trHeight w:val="291" w:hRule="atLeast"/>
          <w:jc w:val="center"/>
        </w:trPr>
        <w:tc>
          <w:tcPr>
            <w:tcW w:w="94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主管部门</w:t>
            </w:r>
          </w:p>
        </w:tc>
        <w:tc>
          <w:tcPr>
            <w:tcW w:w="4901"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615酒仙桥</w:t>
            </w: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实施单位</w:t>
            </w:r>
          </w:p>
        </w:tc>
        <w:tc>
          <w:tcPr>
            <w:tcW w:w="1581"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酒仙桥街道办事处</w:t>
            </w:r>
          </w:p>
        </w:tc>
      </w:tr>
      <w:tr>
        <w:tblPrEx>
          <w:tblLayout w:type="fixed"/>
          <w:tblCellMar>
            <w:top w:w="0" w:type="dxa"/>
            <w:left w:w="108" w:type="dxa"/>
            <w:bottom w:w="0" w:type="dxa"/>
            <w:right w:w="108" w:type="dxa"/>
          </w:tblCellMar>
        </w:tblPrEx>
        <w:trPr>
          <w:trHeight w:val="291" w:hRule="atLeast"/>
          <w:jc w:val="center"/>
        </w:trPr>
        <w:tc>
          <w:tcPr>
            <w:tcW w:w="94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项目负责人</w:t>
            </w:r>
          </w:p>
        </w:tc>
        <w:tc>
          <w:tcPr>
            <w:tcW w:w="4901" w:type="dxa"/>
            <w:gridSpan w:val="3"/>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 xml:space="preserve">                     王一凡</w:t>
            </w: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联系电话</w:t>
            </w:r>
          </w:p>
        </w:tc>
        <w:tc>
          <w:tcPr>
            <w:tcW w:w="1581"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64309090</w:t>
            </w:r>
          </w:p>
        </w:tc>
      </w:tr>
      <w:tr>
        <w:tblPrEx>
          <w:tblLayout w:type="fixed"/>
          <w:tblCellMar>
            <w:top w:w="0" w:type="dxa"/>
            <w:left w:w="108" w:type="dxa"/>
            <w:bottom w:w="0" w:type="dxa"/>
            <w:right w:w="108" w:type="dxa"/>
          </w:tblCellMar>
        </w:tblPrEx>
        <w:trPr>
          <w:trHeight w:val="291" w:hRule="atLeast"/>
          <w:jc w:val="center"/>
        </w:trPr>
        <w:tc>
          <w:tcPr>
            <w:tcW w:w="943" w:type="dxa"/>
            <w:gridSpan w:val="2"/>
            <w:vMerge w:val="restart"/>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项目资金</w:t>
            </w:r>
            <w:r>
              <w:rPr>
                <w:rFonts w:hint="eastAsia"/>
                <w:sz w:val="18"/>
                <w:szCs w:val="18"/>
              </w:rPr>
              <w:br w:type="textWrapping"/>
            </w:r>
            <w:r>
              <w:rPr>
                <w:rFonts w:hint="eastAsia"/>
                <w:sz w:val="18"/>
                <w:szCs w:val="18"/>
              </w:rPr>
              <w:t>（万元）</w:t>
            </w:r>
          </w:p>
        </w:tc>
        <w:tc>
          <w:tcPr>
            <w:tcW w:w="69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78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年初预算数</w:t>
            </w: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全年预算数</w:t>
            </w: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全年执行数</w:t>
            </w: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分值值</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执行率</w:t>
            </w:r>
          </w:p>
        </w:tc>
        <w:tc>
          <w:tcPr>
            <w:tcW w:w="55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得分</w:t>
            </w:r>
          </w:p>
        </w:tc>
      </w:tr>
      <w:tr>
        <w:tblPrEx>
          <w:tblLayout w:type="fixed"/>
          <w:tblCellMar>
            <w:top w:w="0" w:type="dxa"/>
            <w:left w:w="108" w:type="dxa"/>
            <w:bottom w:w="0" w:type="dxa"/>
            <w:right w:w="108" w:type="dxa"/>
          </w:tblCellMar>
        </w:tblPrEx>
        <w:trPr>
          <w:trHeight w:val="906" w:hRule="atLeast"/>
          <w:jc w:val="center"/>
        </w:trPr>
        <w:tc>
          <w:tcPr>
            <w:tcW w:w="943" w:type="dxa"/>
            <w:gridSpan w:val="2"/>
            <w:vMerge w:val="continue"/>
            <w:tcBorders>
              <w:top w:val="nil"/>
              <w:left w:val="single" w:color="auto" w:sz="4" w:space="0"/>
              <w:bottom w:val="single" w:color="auto" w:sz="4" w:space="0"/>
              <w:right w:val="single" w:color="auto" w:sz="4" w:space="0"/>
            </w:tcBorders>
            <w:vAlign w:val="center"/>
          </w:tcPr>
          <w:p>
            <w:pPr>
              <w:rPr>
                <w:sz w:val="18"/>
                <w:szCs w:val="18"/>
              </w:rPr>
            </w:pPr>
          </w:p>
        </w:tc>
        <w:tc>
          <w:tcPr>
            <w:tcW w:w="692" w:type="dxa"/>
            <w:tcBorders>
              <w:top w:val="single" w:color="auto" w:sz="4" w:space="0"/>
              <w:left w:val="nil"/>
              <w:bottom w:val="single" w:color="auto" w:sz="4" w:space="0"/>
              <w:right w:val="single" w:color="auto" w:sz="4" w:space="0"/>
            </w:tcBorders>
            <w:vAlign w:val="center"/>
          </w:tcPr>
          <w:p>
            <w:pPr>
              <w:spacing w:line="240" w:lineRule="exact"/>
              <w:rPr>
                <w:sz w:val="18"/>
                <w:szCs w:val="18"/>
              </w:rPr>
            </w:pPr>
            <w:r>
              <w:rPr>
                <w:rFonts w:hint="eastAsia"/>
                <w:sz w:val="18"/>
                <w:szCs w:val="18"/>
              </w:rPr>
              <w:t>年度资金总额</w:t>
            </w:r>
          </w:p>
        </w:tc>
        <w:tc>
          <w:tcPr>
            <w:tcW w:w="78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1000</w:t>
            </w: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1000</w:t>
            </w: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1000</w:t>
            </w: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w:t>
            </w:r>
          </w:p>
        </w:tc>
        <w:tc>
          <w:tcPr>
            <w:tcW w:w="55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r>
      <w:tr>
        <w:tblPrEx>
          <w:tblLayout w:type="fixed"/>
          <w:tblCellMar>
            <w:top w:w="0" w:type="dxa"/>
            <w:left w:w="108" w:type="dxa"/>
            <w:bottom w:w="0" w:type="dxa"/>
            <w:right w:w="108" w:type="dxa"/>
          </w:tblCellMar>
        </w:tblPrEx>
        <w:trPr>
          <w:trHeight w:val="1361" w:hRule="atLeast"/>
          <w:jc w:val="center"/>
        </w:trPr>
        <w:tc>
          <w:tcPr>
            <w:tcW w:w="943" w:type="dxa"/>
            <w:gridSpan w:val="2"/>
            <w:vMerge w:val="continue"/>
            <w:tcBorders>
              <w:top w:val="nil"/>
              <w:left w:val="single" w:color="auto" w:sz="4" w:space="0"/>
              <w:bottom w:val="single" w:color="auto" w:sz="4" w:space="0"/>
              <w:right w:val="single" w:color="auto" w:sz="4" w:space="0"/>
            </w:tcBorders>
            <w:vAlign w:val="center"/>
          </w:tcPr>
          <w:p>
            <w:pPr>
              <w:rPr>
                <w:sz w:val="18"/>
                <w:szCs w:val="18"/>
              </w:rPr>
            </w:pPr>
          </w:p>
        </w:tc>
        <w:tc>
          <w:tcPr>
            <w:tcW w:w="69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其中：当年财政拨款</w:t>
            </w:r>
          </w:p>
        </w:tc>
        <w:tc>
          <w:tcPr>
            <w:tcW w:w="78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1000</w:t>
            </w: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1000</w:t>
            </w: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1000</w:t>
            </w: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55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Layout w:type="fixed"/>
          <w:tblCellMar>
            <w:top w:w="0" w:type="dxa"/>
            <w:left w:w="108" w:type="dxa"/>
            <w:bottom w:w="0" w:type="dxa"/>
            <w:right w:w="108" w:type="dxa"/>
          </w:tblCellMar>
        </w:tblPrEx>
        <w:trPr>
          <w:trHeight w:val="1041" w:hRule="atLeast"/>
          <w:jc w:val="center"/>
        </w:trPr>
        <w:tc>
          <w:tcPr>
            <w:tcW w:w="943" w:type="dxa"/>
            <w:gridSpan w:val="2"/>
            <w:vMerge w:val="continue"/>
            <w:tcBorders>
              <w:top w:val="nil"/>
              <w:left w:val="single" w:color="auto" w:sz="4" w:space="0"/>
              <w:bottom w:val="single" w:color="auto" w:sz="4" w:space="0"/>
              <w:right w:val="single" w:color="auto" w:sz="4" w:space="0"/>
            </w:tcBorders>
            <w:vAlign w:val="center"/>
          </w:tcPr>
          <w:p>
            <w:pPr>
              <w:rPr>
                <w:sz w:val="18"/>
                <w:szCs w:val="18"/>
              </w:rPr>
            </w:pPr>
          </w:p>
        </w:tc>
        <w:tc>
          <w:tcPr>
            <w:tcW w:w="69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 xml:space="preserve">    上年结转资金</w:t>
            </w:r>
          </w:p>
        </w:tc>
        <w:tc>
          <w:tcPr>
            <w:tcW w:w="782"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55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Layout w:type="fixed"/>
          <w:tblCellMar>
            <w:top w:w="0" w:type="dxa"/>
            <w:left w:w="108" w:type="dxa"/>
            <w:bottom w:w="0" w:type="dxa"/>
            <w:right w:w="108" w:type="dxa"/>
          </w:tblCellMar>
        </w:tblPrEx>
        <w:trPr>
          <w:trHeight w:val="841" w:hRule="atLeast"/>
          <w:jc w:val="center"/>
        </w:trPr>
        <w:tc>
          <w:tcPr>
            <w:tcW w:w="943" w:type="dxa"/>
            <w:gridSpan w:val="2"/>
            <w:vMerge w:val="continue"/>
            <w:tcBorders>
              <w:top w:val="nil"/>
              <w:left w:val="single" w:color="auto" w:sz="4" w:space="0"/>
              <w:bottom w:val="single" w:color="auto" w:sz="4" w:space="0"/>
              <w:right w:val="single" w:color="auto" w:sz="4" w:space="0"/>
            </w:tcBorders>
            <w:vAlign w:val="center"/>
          </w:tcPr>
          <w:p>
            <w:pPr>
              <w:rPr>
                <w:sz w:val="18"/>
                <w:szCs w:val="18"/>
              </w:rPr>
            </w:pPr>
          </w:p>
        </w:tc>
        <w:tc>
          <w:tcPr>
            <w:tcW w:w="69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其他资金</w:t>
            </w:r>
          </w:p>
        </w:tc>
        <w:tc>
          <w:tcPr>
            <w:tcW w:w="782"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55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w:t>
            </w:r>
          </w:p>
        </w:tc>
      </w:tr>
      <w:tr>
        <w:tblPrEx>
          <w:tblLayout w:type="fixed"/>
          <w:tblCellMar>
            <w:top w:w="0" w:type="dxa"/>
            <w:left w:w="108" w:type="dxa"/>
            <w:bottom w:w="0" w:type="dxa"/>
            <w:right w:w="108" w:type="dxa"/>
          </w:tblCellMar>
        </w:tblPrEx>
        <w:trPr>
          <w:trHeight w:val="291" w:hRule="atLeast"/>
          <w:jc w:val="center"/>
        </w:trPr>
        <w:tc>
          <w:tcPr>
            <w:tcW w:w="477" w:type="dxa"/>
            <w:vMerge w:val="restart"/>
            <w:tcBorders>
              <w:top w:val="nil"/>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年度总体目标</w:t>
            </w:r>
          </w:p>
        </w:tc>
        <w:tc>
          <w:tcPr>
            <w:tcW w:w="5367"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预期目标</w:t>
            </w:r>
          </w:p>
        </w:tc>
        <w:tc>
          <w:tcPr>
            <w:tcW w:w="2950"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实际完成情况</w:t>
            </w:r>
          </w:p>
        </w:tc>
      </w:tr>
      <w:tr>
        <w:tblPrEx>
          <w:tblLayout w:type="fixed"/>
          <w:tblCellMar>
            <w:top w:w="0" w:type="dxa"/>
            <w:left w:w="108" w:type="dxa"/>
            <w:bottom w:w="0" w:type="dxa"/>
            <w:right w:w="108" w:type="dxa"/>
          </w:tblCellMar>
        </w:tblPrEx>
        <w:trPr>
          <w:trHeight w:val="1154" w:hRule="atLeast"/>
          <w:jc w:val="center"/>
        </w:trPr>
        <w:tc>
          <w:tcPr>
            <w:tcW w:w="477" w:type="dxa"/>
            <w:vMerge w:val="continue"/>
            <w:tcBorders>
              <w:top w:val="nil"/>
              <w:left w:val="single" w:color="auto" w:sz="4" w:space="0"/>
              <w:bottom w:val="single" w:color="auto" w:sz="4" w:space="0"/>
              <w:right w:val="single" w:color="auto" w:sz="4" w:space="0"/>
            </w:tcBorders>
            <w:vAlign w:val="center"/>
          </w:tcPr>
          <w:p>
            <w:pPr>
              <w:rPr>
                <w:sz w:val="18"/>
                <w:szCs w:val="18"/>
              </w:rPr>
            </w:pPr>
          </w:p>
        </w:tc>
        <w:tc>
          <w:tcPr>
            <w:tcW w:w="5367"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提高基层社会治理水平，推进基层管理权限下沉，加大基层基础保障力度，推进街道、社区公共服务水平。</w:t>
            </w:r>
          </w:p>
        </w:tc>
        <w:tc>
          <w:tcPr>
            <w:tcW w:w="2950"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完成了预期的既定目标</w:t>
            </w:r>
          </w:p>
        </w:tc>
      </w:tr>
      <w:tr>
        <w:tblPrEx>
          <w:tblLayout w:type="fixed"/>
          <w:tblCellMar>
            <w:top w:w="0" w:type="dxa"/>
            <w:left w:w="108" w:type="dxa"/>
            <w:bottom w:w="0" w:type="dxa"/>
            <w:right w:w="108" w:type="dxa"/>
          </w:tblCellMar>
        </w:tblPrEx>
        <w:trPr>
          <w:trHeight w:val="517" w:hRule="atLeast"/>
          <w:jc w:val="center"/>
        </w:trPr>
        <w:tc>
          <w:tcPr>
            <w:tcW w:w="477" w:type="dxa"/>
            <w:vMerge w:val="restart"/>
            <w:tcBorders>
              <w:top w:val="nil"/>
              <w:left w:val="single" w:color="auto" w:sz="4" w:space="0"/>
              <w:bottom w:val="nil"/>
              <w:right w:val="single" w:color="auto" w:sz="4" w:space="0"/>
            </w:tcBorders>
            <w:vAlign w:val="center"/>
          </w:tcPr>
          <w:p>
            <w:pPr>
              <w:spacing w:line="240" w:lineRule="exact"/>
              <w:jc w:val="center"/>
              <w:rPr>
                <w:sz w:val="18"/>
                <w:szCs w:val="18"/>
              </w:rPr>
            </w:pPr>
            <w:r>
              <w:rPr>
                <w:rFonts w:hint="eastAsia"/>
                <w:sz w:val="18"/>
                <w:szCs w:val="18"/>
              </w:rPr>
              <w:t>绩</w:t>
            </w:r>
            <w:r>
              <w:rPr>
                <w:rFonts w:hint="eastAsia"/>
                <w:sz w:val="18"/>
                <w:szCs w:val="18"/>
              </w:rPr>
              <w:br w:type="textWrapping"/>
            </w:r>
            <w:r>
              <w:rPr>
                <w:rFonts w:hint="eastAsia"/>
                <w:sz w:val="18"/>
                <w:szCs w:val="18"/>
              </w:rPr>
              <w:t>效</w:t>
            </w:r>
            <w:r>
              <w:rPr>
                <w:rFonts w:hint="eastAsia"/>
                <w:sz w:val="18"/>
                <w:szCs w:val="18"/>
              </w:rPr>
              <w:br w:type="textWrapping"/>
            </w:r>
            <w:r>
              <w:rPr>
                <w:rFonts w:hint="eastAsia"/>
                <w:sz w:val="18"/>
                <w:szCs w:val="18"/>
              </w:rPr>
              <w:t>指</w:t>
            </w:r>
            <w:r>
              <w:rPr>
                <w:rFonts w:hint="eastAsia"/>
                <w:sz w:val="18"/>
                <w:szCs w:val="18"/>
              </w:rPr>
              <w:br w:type="textWrapping"/>
            </w:r>
            <w:r>
              <w:rPr>
                <w:rFonts w:hint="eastAsia"/>
                <w:sz w:val="18"/>
                <w:szCs w:val="18"/>
              </w:rPr>
              <w:t>标</w:t>
            </w:r>
          </w:p>
        </w:tc>
        <w:tc>
          <w:tcPr>
            <w:tcW w:w="466"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一级指标</w:t>
            </w: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二级指标</w:t>
            </w:r>
          </w:p>
        </w:tc>
        <w:tc>
          <w:tcPr>
            <w:tcW w:w="78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三级指标</w:t>
            </w: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年度</w:t>
            </w:r>
          </w:p>
          <w:p>
            <w:pPr>
              <w:spacing w:line="240" w:lineRule="exact"/>
              <w:jc w:val="center"/>
              <w:rPr>
                <w:sz w:val="18"/>
                <w:szCs w:val="18"/>
              </w:rPr>
            </w:pPr>
            <w:r>
              <w:rPr>
                <w:rFonts w:hint="eastAsia"/>
                <w:sz w:val="18"/>
                <w:szCs w:val="18"/>
              </w:rPr>
              <w:t>指标值</w:t>
            </w: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实际</w:t>
            </w:r>
          </w:p>
          <w:p>
            <w:pPr>
              <w:spacing w:line="240" w:lineRule="exact"/>
              <w:jc w:val="center"/>
              <w:rPr>
                <w:sz w:val="18"/>
                <w:szCs w:val="18"/>
              </w:rPr>
            </w:pPr>
            <w:r>
              <w:rPr>
                <w:rFonts w:hint="eastAsia"/>
                <w:sz w:val="18"/>
                <w:szCs w:val="18"/>
              </w:rPr>
              <w:t>完成值</w:t>
            </w: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分值</w:t>
            </w: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得分</w:t>
            </w: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偏差原因分析及改进措施</w:t>
            </w:r>
          </w:p>
        </w:tc>
      </w:tr>
      <w:tr>
        <w:tblPrEx>
          <w:tblLayout w:type="fixed"/>
          <w:tblCellMar>
            <w:top w:w="0" w:type="dxa"/>
            <w:left w:w="108" w:type="dxa"/>
            <w:bottom w:w="0" w:type="dxa"/>
            <w:right w:w="108" w:type="dxa"/>
          </w:tblCellMar>
        </w:tblPrEx>
        <w:trPr>
          <w:trHeight w:val="2455"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vMerge w:val="restart"/>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产出指标</w:t>
            </w: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数量指标</w:t>
            </w:r>
          </w:p>
        </w:tc>
        <w:tc>
          <w:tcPr>
            <w:tcW w:w="782" w:type="dxa"/>
            <w:tcBorders>
              <w:top w:val="single" w:color="auto" w:sz="4" w:space="0"/>
              <w:left w:val="nil"/>
              <w:bottom w:val="nil"/>
              <w:right w:val="single" w:color="auto" w:sz="4" w:space="0"/>
            </w:tcBorders>
            <w:vAlign w:val="center"/>
          </w:tcPr>
          <w:p>
            <w:pPr>
              <w:spacing w:line="240" w:lineRule="exact"/>
              <w:rPr>
                <w:color w:val="000000"/>
                <w:sz w:val="18"/>
                <w:szCs w:val="18"/>
              </w:rPr>
            </w:pPr>
            <w:r>
              <w:rPr>
                <w:rFonts w:hint="eastAsia"/>
                <w:color w:val="000000"/>
                <w:sz w:val="18"/>
                <w:szCs w:val="18"/>
              </w:rPr>
              <w:t>指标1：使用范围</w:t>
            </w:r>
          </w:p>
        </w:tc>
        <w:tc>
          <w:tcPr>
            <w:tcW w:w="3427" w:type="dxa"/>
            <w:tcBorders>
              <w:top w:val="single" w:color="auto" w:sz="4" w:space="0"/>
              <w:left w:val="nil"/>
              <w:bottom w:val="single" w:color="auto" w:sz="4" w:space="0"/>
              <w:right w:val="single" w:color="auto" w:sz="6" w:space="0"/>
            </w:tcBorders>
            <w:vAlign w:val="center"/>
          </w:tcPr>
          <w:p>
            <w:pPr>
              <w:spacing w:line="240" w:lineRule="exact"/>
              <w:rPr>
                <w:sz w:val="18"/>
                <w:szCs w:val="18"/>
              </w:rPr>
            </w:pPr>
            <w:r>
              <w:rPr>
                <w:rFonts w:hint="eastAsia"/>
                <w:sz w:val="18"/>
                <w:szCs w:val="18"/>
              </w:rPr>
              <w:t>街道辖区内环境秩序整治与维护，重点区域环境卫生保障；街道社区治安综合治理、信访维稳、安防设施配备、提升群众安全感等服务保障；街道辖区内大气、水环境等生态文明服务保障；中央、市、区各重大活动期间相关服务保障；街道社区文化、体育、教育、卫生等民生服务保障；街道社区精神文明建设；街道辖区内消防、防汛、安全等各类应急事项。</w:t>
            </w:r>
          </w:p>
        </w:tc>
        <w:tc>
          <w:tcPr>
            <w:tcW w:w="1369" w:type="dxa"/>
            <w:tcBorders>
              <w:top w:val="single" w:color="auto" w:sz="4" w:space="0"/>
              <w:left w:val="nil"/>
              <w:bottom w:val="single" w:color="auto" w:sz="4" w:space="0"/>
              <w:right w:val="single" w:color="auto" w:sz="6" w:space="0"/>
            </w:tcBorders>
            <w:vAlign w:val="center"/>
          </w:tcPr>
          <w:p>
            <w:pPr>
              <w:spacing w:line="240" w:lineRule="exact"/>
              <w:jc w:val="center"/>
              <w:rPr>
                <w:sz w:val="18"/>
                <w:szCs w:val="18"/>
              </w:rPr>
            </w:pPr>
            <w:r>
              <w:rPr>
                <w:rFonts w:hint="eastAsia"/>
                <w:sz w:val="18"/>
                <w:szCs w:val="18"/>
              </w:rPr>
              <w:t>完成了辖区内年初预期的既定目标</w:t>
            </w:r>
          </w:p>
        </w:tc>
        <w:tc>
          <w:tcPr>
            <w:tcW w:w="511" w:type="dxa"/>
            <w:tcBorders>
              <w:top w:val="single" w:color="auto" w:sz="4" w:space="0"/>
              <w:left w:val="nil"/>
              <w:bottom w:val="single" w:color="auto" w:sz="4" w:space="0"/>
              <w:right w:val="single" w:color="auto" w:sz="6" w:space="0"/>
            </w:tcBorders>
            <w:vAlign w:val="center"/>
          </w:tcPr>
          <w:p>
            <w:pPr>
              <w:spacing w:line="240" w:lineRule="exact"/>
              <w:jc w:val="center"/>
              <w:rPr>
                <w:sz w:val="18"/>
                <w:szCs w:val="18"/>
              </w:rPr>
            </w:pPr>
            <w:r>
              <w:rPr>
                <w:rFonts w:hint="eastAsia"/>
                <w:sz w:val="18"/>
                <w:szCs w:val="18"/>
              </w:rPr>
              <w:t>15</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w:t>
            </w:r>
          </w:p>
        </w:tc>
        <w:tc>
          <w:tcPr>
            <w:tcW w:w="559" w:type="dxa"/>
            <w:tcBorders>
              <w:top w:val="single" w:color="auto" w:sz="4" w:space="0"/>
              <w:left w:val="nil"/>
              <w:bottom w:val="nil"/>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1468"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vMerge w:val="continue"/>
            <w:tcBorders>
              <w:top w:val="nil"/>
              <w:left w:val="nil"/>
              <w:bottom w:val="single" w:color="auto" w:sz="4" w:space="0"/>
              <w:right w:val="single" w:color="auto" w:sz="4" w:space="0"/>
            </w:tcBorders>
            <w:vAlign w:val="center"/>
          </w:tcPr>
          <w:p>
            <w:pPr>
              <w:rPr>
                <w:sz w:val="18"/>
                <w:szCs w:val="18"/>
              </w:rPr>
            </w:pP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质量指标</w:t>
            </w:r>
          </w:p>
        </w:tc>
        <w:tc>
          <w:tcPr>
            <w:tcW w:w="782" w:type="dxa"/>
            <w:tcBorders>
              <w:top w:val="single" w:color="auto" w:sz="4" w:space="0"/>
              <w:left w:val="nil"/>
              <w:bottom w:val="nil"/>
              <w:right w:val="single" w:color="auto" w:sz="4" w:space="0"/>
            </w:tcBorders>
            <w:vAlign w:val="center"/>
          </w:tcPr>
          <w:p>
            <w:pPr>
              <w:spacing w:line="240" w:lineRule="exact"/>
              <w:rPr>
                <w:color w:val="000000"/>
                <w:sz w:val="18"/>
                <w:szCs w:val="18"/>
              </w:rPr>
            </w:pPr>
            <w:r>
              <w:rPr>
                <w:rFonts w:hint="eastAsia"/>
                <w:color w:val="000000"/>
                <w:sz w:val="18"/>
                <w:szCs w:val="18"/>
              </w:rPr>
              <w:t>指标1：资金管理使用办法</w:t>
            </w:r>
          </w:p>
        </w:tc>
        <w:tc>
          <w:tcPr>
            <w:tcW w:w="342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根据朝阳区财政局《关于印发&lt;朝阳区民生家园建设专项资金管理办法（试行）&gt;的通知》朝财城乡〔2018〕301号及酒仙桥街道民生家园建设专项资金管理实施细则进行支出。</w:t>
            </w:r>
          </w:p>
        </w:tc>
        <w:tc>
          <w:tcPr>
            <w:tcW w:w="136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均按管理办法合理支出</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15</w:t>
            </w:r>
          </w:p>
        </w:tc>
        <w:tc>
          <w:tcPr>
            <w:tcW w:w="559" w:type="dxa"/>
            <w:tcBorders>
              <w:top w:val="single" w:color="auto" w:sz="4" w:space="0"/>
              <w:left w:val="nil"/>
              <w:bottom w:val="nil"/>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1030"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vMerge w:val="continue"/>
            <w:tcBorders>
              <w:top w:val="nil"/>
              <w:left w:val="nil"/>
              <w:bottom w:val="single" w:color="auto" w:sz="4" w:space="0"/>
              <w:right w:val="single" w:color="auto" w:sz="4" w:space="0"/>
            </w:tcBorders>
            <w:vAlign w:val="center"/>
          </w:tcPr>
          <w:p>
            <w:pPr>
              <w:rPr>
                <w:sz w:val="18"/>
                <w:szCs w:val="18"/>
              </w:rPr>
            </w:pP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时效指标</w:t>
            </w:r>
          </w:p>
        </w:tc>
        <w:tc>
          <w:tcPr>
            <w:tcW w:w="782" w:type="dxa"/>
            <w:tcBorders>
              <w:top w:val="single" w:color="auto" w:sz="4" w:space="0"/>
              <w:left w:val="nil"/>
              <w:bottom w:val="nil"/>
              <w:right w:val="single" w:color="auto" w:sz="4" w:space="0"/>
            </w:tcBorders>
            <w:vAlign w:val="center"/>
          </w:tcPr>
          <w:p>
            <w:pPr>
              <w:spacing w:line="240" w:lineRule="exact"/>
              <w:rPr>
                <w:color w:val="000000"/>
                <w:sz w:val="18"/>
                <w:szCs w:val="18"/>
              </w:rPr>
            </w:pPr>
            <w:r>
              <w:rPr>
                <w:rFonts w:hint="eastAsia"/>
                <w:color w:val="000000"/>
                <w:sz w:val="18"/>
                <w:szCs w:val="18"/>
              </w:rPr>
              <w:t>指标1：支出时间</w:t>
            </w:r>
          </w:p>
        </w:tc>
        <w:tc>
          <w:tcPr>
            <w:tcW w:w="342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按项目合同约定执行。</w:t>
            </w:r>
          </w:p>
        </w:tc>
        <w:tc>
          <w:tcPr>
            <w:tcW w:w="136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均按项目合同约定执行</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705"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vMerge w:val="continue"/>
            <w:tcBorders>
              <w:top w:val="nil"/>
              <w:left w:val="nil"/>
              <w:bottom w:val="single" w:color="auto" w:sz="4" w:space="0"/>
              <w:right w:val="single" w:color="auto" w:sz="4" w:space="0"/>
            </w:tcBorders>
            <w:vAlign w:val="center"/>
          </w:tcPr>
          <w:p>
            <w:pPr>
              <w:rPr>
                <w:sz w:val="18"/>
                <w:szCs w:val="18"/>
              </w:rPr>
            </w:pP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成本指标</w:t>
            </w:r>
          </w:p>
        </w:tc>
        <w:tc>
          <w:tcPr>
            <w:tcW w:w="782" w:type="dxa"/>
            <w:tcBorders>
              <w:top w:val="single" w:color="auto" w:sz="4" w:space="0"/>
              <w:left w:val="nil"/>
              <w:bottom w:val="nil"/>
              <w:right w:val="single" w:color="auto" w:sz="4" w:space="0"/>
            </w:tcBorders>
            <w:vAlign w:val="center"/>
          </w:tcPr>
          <w:p>
            <w:pPr>
              <w:spacing w:line="240" w:lineRule="exact"/>
              <w:rPr>
                <w:color w:val="000000"/>
                <w:sz w:val="18"/>
                <w:szCs w:val="18"/>
              </w:rPr>
            </w:pPr>
            <w:r>
              <w:rPr>
                <w:rFonts w:hint="eastAsia"/>
                <w:color w:val="000000"/>
                <w:sz w:val="18"/>
                <w:szCs w:val="18"/>
              </w:rPr>
              <w:t>指标1：支出金额</w:t>
            </w:r>
          </w:p>
        </w:tc>
        <w:tc>
          <w:tcPr>
            <w:tcW w:w="342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1000万元/年的标准设立民生家园建设专项资金。</w:t>
            </w:r>
          </w:p>
        </w:tc>
        <w:tc>
          <w:tcPr>
            <w:tcW w:w="136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1000万元/年的标准设立民生家园建设专项资金</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1857"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vMerge w:val="restart"/>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效益指标30</w:t>
            </w: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经济效益</w:t>
            </w:r>
          </w:p>
          <w:p>
            <w:pPr>
              <w:spacing w:line="240" w:lineRule="exact"/>
              <w:jc w:val="center"/>
              <w:rPr>
                <w:sz w:val="18"/>
                <w:szCs w:val="18"/>
              </w:rPr>
            </w:pPr>
            <w:r>
              <w:rPr>
                <w:rFonts w:hint="eastAsia"/>
                <w:sz w:val="18"/>
                <w:szCs w:val="18"/>
              </w:rPr>
              <w:t>指标</w:t>
            </w:r>
          </w:p>
        </w:tc>
        <w:tc>
          <w:tcPr>
            <w:tcW w:w="782" w:type="dxa"/>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指标1：</w:t>
            </w:r>
          </w:p>
        </w:tc>
        <w:tc>
          <w:tcPr>
            <w:tcW w:w="342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136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2565"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vMerge w:val="continue"/>
            <w:tcBorders>
              <w:top w:val="nil"/>
              <w:left w:val="nil"/>
              <w:bottom w:val="single" w:color="auto" w:sz="4" w:space="0"/>
              <w:right w:val="single" w:color="auto" w:sz="4" w:space="0"/>
            </w:tcBorders>
            <w:vAlign w:val="center"/>
          </w:tcPr>
          <w:p>
            <w:pPr>
              <w:rPr>
                <w:sz w:val="18"/>
                <w:szCs w:val="18"/>
              </w:rPr>
            </w:pP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社会效益</w:t>
            </w:r>
          </w:p>
          <w:p>
            <w:pPr>
              <w:spacing w:line="240" w:lineRule="exact"/>
              <w:jc w:val="center"/>
              <w:rPr>
                <w:sz w:val="18"/>
                <w:szCs w:val="18"/>
              </w:rPr>
            </w:pPr>
            <w:r>
              <w:rPr>
                <w:rFonts w:hint="eastAsia"/>
                <w:sz w:val="18"/>
                <w:szCs w:val="18"/>
              </w:rPr>
              <w:t>指标</w:t>
            </w:r>
          </w:p>
        </w:tc>
        <w:tc>
          <w:tcPr>
            <w:tcW w:w="782" w:type="dxa"/>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指标1：辅助政府履职及城市管理</w:t>
            </w: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提高基层社会治理水平，推进基层管理权限下沉，加大基层基础保障力度，推进街道、社区公共服务水平。</w:t>
            </w: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提高了基层社会治理水平，推进了基层管理权限下沉，加大了基层基础保障力度，推进了街道、社区公共服务水平。</w:t>
            </w: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30</w:t>
            </w: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30</w:t>
            </w: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1110"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vMerge w:val="continue"/>
            <w:tcBorders>
              <w:top w:val="nil"/>
              <w:left w:val="nil"/>
              <w:bottom w:val="single" w:color="auto" w:sz="4" w:space="0"/>
              <w:right w:val="single" w:color="auto" w:sz="4" w:space="0"/>
            </w:tcBorders>
            <w:vAlign w:val="center"/>
          </w:tcPr>
          <w:p>
            <w:pPr>
              <w:rPr>
                <w:sz w:val="18"/>
                <w:szCs w:val="18"/>
              </w:rPr>
            </w:pP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生态效益</w:t>
            </w:r>
          </w:p>
          <w:p>
            <w:pPr>
              <w:spacing w:line="240" w:lineRule="exact"/>
              <w:jc w:val="center"/>
              <w:rPr>
                <w:sz w:val="18"/>
                <w:szCs w:val="18"/>
              </w:rPr>
            </w:pPr>
            <w:r>
              <w:rPr>
                <w:rFonts w:hint="eastAsia"/>
                <w:sz w:val="18"/>
                <w:szCs w:val="18"/>
              </w:rPr>
              <w:t>指标</w:t>
            </w:r>
          </w:p>
        </w:tc>
        <w:tc>
          <w:tcPr>
            <w:tcW w:w="782" w:type="dxa"/>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指标1：</w:t>
            </w: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1317"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vMerge w:val="continue"/>
            <w:tcBorders>
              <w:top w:val="nil"/>
              <w:left w:val="nil"/>
              <w:bottom w:val="single" w:color="auto" w:sz="4" w:space="0"/>
              <w:right w:val="single" w:color="auto" w:sz="4" w:space="0"/>
            </w:tcBorders>
            <w:vAlign w:val="center"/>
          </w:tcPr>
          <w:p>
            <w:pPr>
              <w:rPr>
                <w:sz w:val="18"/>
                <w:szCs w:val="18"/>
              </w:rPr>
            </w:pPr>
          </w:p>
        </w:tc>
        <w:tc>
          <w:tcPr>
            <w:tcW w:w="692" w:type="dxa"/>
            <w:tcBorders>
              <w:top w:val="nil"/>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可持续影响指标</w:t>
            </w:r>
          </w:p>
        </w:tc>
        <w:tc>
          <w:tcPr>
            <w:tcW w:w="782" w:type="dxa"/>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指标1：</w:t>
            </w:r>
          </w:p>
        </w:tc>
        <w:tc>
          <w:tcPr>
            <w:tcW w:w="3427"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1369"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11" w:type="dxa"/>
            <w:tcBorders>
              <w:top w:val="nil"/>
              <w:left w:val="nil"/>
              <w:bottom w:val="single" w:color="auto" w:sz="4" w:space="0"/>
              <w:right w:val="single" w:color="auto" w:sz="4" w:space="0"/>
            </w:tcBorders>
            <w:vAlign w:val="center"/>
          </w:tcPr>
          <w:p>
            <w:pPr>
              <w:spacing w:line="240" w:lineRule="exact"/>
              <w:jc w:val="center"/>
              <w:rPr>
                <w:sz w:val="18"/>
                <w:szCs w:val="18"/>
              </w:rPr>
            </w:pP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1612" w:hRule="atLeast"/>
          <w:jc w:val="center"/>
        </w:trPr>
        <w:tc>
          <w:tcPr>
            <w:tcW w:w="477" w:type="dxa"/>
            <w:vMerge w:val="continue"/>
            <w:tcBorders>
              <w:top w:val="nil"/>
              <w:left w:val="single" w:color="auto" w:sz="4" w:space="0"/>
              <w:bottom w:val="nil"/>
              <w:right w:val="single" w:color="auto" w:sz="4" w:space="0"/>
            </w:tcBorders>
            <w:vAlign w:val="center"/>
          </w:tcPr>
          <w:p>
            <w:pPr>
              <w:rPr>
                <w:sz w:val="18"/>
                <w:szCs w:val="18"/>
              </w:rPr>
            </w:pPr>
          </w:p>
        </w:tc>
        <w:tc>
          <w:tcPr>
            <w:tcW w:w="466"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满意度</w:t>
            </w:r>
          </w:p>
          <w:p>
            <w:pPr>
              <w:spacing w:line="240" w:lineRule="exact"/>
              <w:jc w:val="center"/>
              <w:rPr>
                <w:sz w:val="18"/>
                <w:szCs w:val="18"/>
              </w:rPr>
            </w:pPr>
            <w:r>
              <w:rPr>
                <w:rFonts w:hint="eastAsia"/>
                <w:sz w:val="18"/>
                <w:szCs w:val="18"/>
              </w:rPr>
              <w:t>指标</w:t>
            </w:r>
          </w:p>
        </w:tc>
        <w:tc>
          <w:tcPr>
            <w:tcW w:w="692"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服务对象满意度指标</w:t>
            </w:r>
          </w:p>
        </w:tc>
        <w:tc>
          <w:tcPr>
            <w:tcW w:w="782" w:type="dxa"/>
            <w:tcBorders>
              <w:top w:val="single" w:color="auto" w:sz="4" w:space="0"/>
              <w:left w:val="nil"/>
              <w:bottom w:val="single" w:color="auto" w:sz="4" w:space="0"/>
              <w:right w:val="single" w:color="auto" w:sz="4" w:space="0"/>
            </w:tcBorders>
            <w:vAlign w:val="center"/>
          </w:tcPr>
          <w:p>
            <w:pPr>
              <w:spacing w:line="240" w:lineRule="exact"/>
              <w:rPr>
                <w:color w:val="000000"/>
                <w:sz w:val="18"/>
                <w:szCs w:val="18"/>
              </w:rPr>
            </w:pPr>
            <w:r>
              <w:rPr>
                <w:rFonts w:hint="eastAsia"/>
                <w:color w:val="000000"/>
                <w:sz w:val="18"/>
                <w:szCs w:val="18"/>
              </w:rPr>
              <w:t>指标1：</w:t>
            </w:r>
            <w:r>
              <w:rPr>
                <w:rFonts w:hint="eastAsia"/>
                <w:sz w:val="18"/>
                <w:szCs w:val="18"/>
              </w:rPr>
              <w:t>受益群众满意度</w:t>
            </w:r>
          </w:p>
        </w:tc>
        <w:tc>
          <w:tcPr>
            <w:tcW w:w="3427"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受益群众满意度  95%</w:t>
            </w:r>
          </w:p>
        </w:tc>
        <w:tc>
          <w:tcPr>
            <w:tcW w:w="136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受益群众满意度为95%</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11"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r>
        <w:tblPrEx>
          <w:tblLayout w:type="fixed"/>
          <w:tblCellMar>
            <w:top w:w="0" w:type="dxa"/>
            <w:left w:w="108" w:type="dxa"/>
            <w:bottom w:w="0" w:type="dxa"/>
            <w:right w:w="108" w:type="dxa"/>
          </w:tblCellMar>
        </w:tblPrEx>
        <w:trPr>
          <w:trHeight w:val="291" w:hRule="atLeast"/>
          <w:jc w:val="center"/>
        </w:trPr>
        <w:tc>
          <w:tcPr>
            <w:tcW w:w="721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总分</w:t>
            </w:r>
          </w:p>
        </w:tc>
        <w:tc>
          <w:tcPr>
            <w:tcW w:w="511" w:type="dxa"/>
            <w:tcBorders>
              <w:top w:val="nil"/>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100</w:t>
            </w:r>
          </w:p>
        </w:tc>
        <w:tc>
          <w:tcPr>
            <w:tcW w:w="511" w:type="dxa"/>
            <w:tcBorders>
              <w:top w:val="nil"/>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100</w:t>
            </w:r>
          </w:p>
        </w:tc>
        <w:tc>
          <w:tcPr>
            <w:tcW w:w="559" w:type="dxa"/>
            <w:tcBorders>
              <w:top w:val="single" w:color="auto" w:sz="4" w:space="0"/>
              <w:left w:val="nil"/>
              <w:bottom w:val="single" w:color="auto" w:sz="4" w:space="0"/>
              <w:right w:val="single" w:color="auto" w:sz="4" w:space="0"/>
            </w:tcBorders>
            <w:vAlign w:val="center"/>
          </w:tcPr>
          <w:p>
            <w:pPr>
              <w:spacing w:line="240" w:lineRule="exact"/>
              <w:jc w:val="center"/>
              <w:rPr>
                <w:sz w:val="18"/>
                <w:szCs w:val="18"/>
              </w:rPr>
            </w:pPr>
          </w:p>
        </w:tc>
      </w:tr>
    </w:tbl>
    <w:p>
      <w:pPr>
        <w:pStyle w:val="24"/>
        <w:spacing w:before="0" w:beforeAutospacing="0"/>
        <w:rPr>
          <w:rFonts w:hint="eastAsia"/>
        </w:rPr>
      </w:pPr>
      <w:r>
        <w:rPr>
          <w:rFonts w:hint="eastAsia"/>
        </w:rPr>
        <w:t xml:space="preserve"> </w:t>
      </w:r>
    </w:p>
    <w:sectPr>
      <w:pgSz w:w="11915" w:h="16851"/>
      <w:pgMar w:top="960" w:right="1800" w:bottom="77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05AE7"/>
    <w:multiLevelType w:val="multilevel"/>
    <w:tmpl w:val="16805AE7"/>
    <w:lvl w:ilvl="0" w:tentative="0">
      <w:start w:val="1"/>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17C0645A"/>
    <w:multiLevelType w:val="multilevel"/>
    <w:tmpl w:val="17C0645A"/>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1A697643"/>
    <w:multiLevelType w:val="multilevel"/>
    <w:tmpl w:val="1A697643"/>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
    <w:nsid w:val="45B86825"/>
    <w:multiLevelType w:val="multilevel"/>
    <w:tmpl w:val="45B86825"/>
    <w:lvl w:ilvl="0" w:tentative="0">
      <w:start w:val="1"/>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55560C83"/>
    <w:multiLevelType w:val="multilevel"/>
    <w:tmpl w:val="55560C83"/>
    <w:lvl w:ilvl="0" w:tentative="0">
      <w:start w:val="2"/>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
    <w:nsid w:val="6192622B"/>
    <w:multiLevelType w:val="multilevel"/>
    <w:tmpl w:val="6192622B"/>
    <w:lvl w:ilvl="0" w:tentative="0">
      <w:start w:val="4"/>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doNotCompress"/>
  <w:compat>
    <w:useFELayout/>
    <w:compatSetting w:name="compatibilityMode" w:uri="http://schemas.microsoft.com/office/word" w:val="12"/>
  </w:compat>
  <w:rsids>
    <w:rsidRoot w:val="00156C08"/>
    <w:rsid w:val="00156C08"/>
    <w:rsid w:val="00833440"/>
    <w:rsid w:val="00B822A8"/>
    <w:rsid w:val="02113047"/>
    <w:rsid w:val="05085014"/>
    <w:rsid w:val="07022150"/>
    <w:rsid w:val="072E7D26"/>
    <w:rsid w:val="076940B5"/>
    <w:rsid w:val="0A325805"/>
    <w:rsid w:val="0D0D70AA"/>
    <w:rsid w:val="0DDB0690"/>
    <w:rsid w:val="120F4CDF"/>
    <w:rsid w:val="14EF2971"/>
    <w:rsid w:val="16A41B15"/>
    <w:rsid w:val="1879548E"/>
    <w:rsid w:val="1BA92AFB"/>
    <w:rsid w:val="1EA66342"/>
    <w:rsid w:val="204B10F5"/>
    <w:rsid w:val="20AA3755"/>
    <w:rsid w:val="246F2E32"/>
    <w:rsid w:val="24A02414"/>
    <w:rsid w:val="262E1624"/>
    <w:rsid w:val="2A057927"/>
    <w:rsid w:val="2B780AA0"/>
    <w:rsid w:val="2BAD245E"/>
    <w:rsid w:val="2C6043DA"/>
    <w:rsid w:val="2CA86AE6"/>
    <w:rsid w:val="31153114"/>
    <w:rsid w:val="327014FE"/>
    <w:rsid w:val="337E30C3"/>
    <w:rsid w:val="34430FA3"/>
    <w:rsid w:val="35765C68"/>
    <w:rsid w:val="3796444E"/>
    <w:rsid w:val="3849782C"/>
    <w:rsid w:val="38D42E6C"/>
    <w:rsid w:val="39D576E2"/>
    <w:rsid w:val="3A5F245B"/>
    <w:rsid w:val="3AFF284C"/>
    <w:rsid w:val="3B9067F6"/>
    <w:rsid w:val="3DD7616B"/>
    <w:rsid w:val="3E627320"/>
    <w:rsid w:val="40EA6B02"/>
    <w:rsid w:val="4716717D"/>
    <w:rsid w:val="474C5953"/>
    <w:rsid w:val="4840429D"/>
    <w:rsid w:val="488805A5"/>
    <w:rsid w:val="4B910EF0"/>
    <w:rsid w:val="4EC63ADA"/>
    <w:rsid w:val="50C01F1B"/>
    <w:rsid w:val="58094B69"/>
    <w:rsid w:val="58E06619"/>
    <w:rsid w:val="5A440AF9"/>
    <w:rsid w:val="5AC24A17"/>
    <w:rsid w:val="5CC55B45"/>
    <w:rsid w:val="5CFF742C"/>
    <w:rsid w:val="5D7B6C7A"/>
    <w:rsid w:val="5E4D4F25"/>
    <w:rsid w:val="5F791466"/>
    <w:rsid w:val="60CF5E49"/>
    <w:rsid w:val="6167643F"/>
    <w:rsid w:val="63102009"/>
    <w:rsid w:val="64A57E99"/>
    <w:rsid w:val="663D0318"/>
    <w:rsid w:val="6A465D26"/>
    <w:rsid w:val="6B0555C2"/>
    <w:rsid w:val="6C505A58"/>
    <w:rsid w:val="70464924"/>
    <w:rsid w:val="72217C96"/>
    <w:rsid w:val="731F2850"/>
    <w:rsid w:val="73572800"/>
    <w:rsid w:val="75DE4E8E"/>
    <w:rsid w:val="76445857"/>
    <w:rsid w:val="79532FC3"/>
    <w:rsid w:val="7B7A109E"/>
    <w:rsid w:val="7E383B71"/>
    <w:rsid w:val="7FF44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semiHidden="0" w:name="Table Simple 1"/>
    <w:lsdException w:uiPriority="99" w:semiHidden="0" w:name="Table Simple 2"/>
    <w:lsdException w:uiPriority="99" w:semiHidden="0" w:name="Table Simple 3"/>
    <w:lsdException w:uiPriority="99" w:semiHidden="0" w:name="Table Classic 1"/>
    <w:lsdException w:uiPriority="99" w:semiHidden="0" w:name="Table Classic 2"/>
    <w:lsdException w:uiPriority="99" w:semiHidden="0" w:name="Table Classic 3"/>
    <w:lsdException w:uiPriority="99" w:semiHidden="0" w:name="Table Classic 4"/>
    <w:lsdException w:uiPriority="99" w:semiHidden="0" w:name="Table Colorful 1"/>
    <w:lsdException w:uiPriority="99" w:semiHidden="0" w:name="Table Colorful 2"/>
    <w:lsdException w:uiPriority="99" w:semiHidden="0" w:name="Table Colorful 3"/>
    <w:lsdException w:uiPriority="99" w:semiHidden="0" w:name="Table Columns 1"/>
    <w:lsdException w:uiPriority="99" w:semiHidden="0" w:name="Table Columns 2"/>
    <w:lsdException w:uiPriority="99" w:semiHidden="0" w:name="Table Columns 3"/>
    <w:lsdException w:uiPriority="99" w:semiHidden="0" w:name="Table Columns 4"/>
    <w:lsdException w:uiPriority="99" w:semiHidden="0" w:name="Table Columns 5"/>
    <w:lsdException w:uiPriority="99" w:semiHidden="0" w:name="Table Grid 1"/>
    <w:lsdException w:uiPriority="99" w:semiHidden="0" w:name="Table Grid 2"/>
    <w:lsdException w:uiPriority="99" w:semiHidden="0" w:name="Table Grid 3"/>
    <w:lsdException w:uiPriority="99" w:semiHidden="0" w:name="Table Grid 4"/>
    <w:lsdException w:uiPriority="99" w:semiHidden="0" w:name="Table Grid 5"/>
    <w:lsdException w:uiPriority="99" w:semiHidden="0" w:name="Table Grid 6"/>
    <w:lsdException w:uiPriority="99" w:semiHidden="0" w:name="Table Grid 7"/>
    <w:lsdException w:uiPriority="99" w:semiHidden="0" w:name="Table Grid 8"/>
    <w:lsdException w:uiPriority="99" w:semiHidden="0" w:name="Table List 1"/>
    <w:lsdException w:uiPriority="99" w:semiHidden="0" w:name="Table List 2"/>
    <w:lsdException w:uiPriority="99" w:semiHidden="0" w:name="Table List 3"/>
    <w:lsdException w:uiPriority="99" w:semiHidden="0" w:name="Table List 4"/>
    <w:lsdException w:uiPriority="99" w:semiHidden="0" w:name="Table List 5"/>
    <w:lsdException w:uiPriority="99" w:semiHidden="0" w:name="Table List 6"/>
    <w:lsdException w:uiPriority="99" w:semiHidden="0" w:name="Table List 7"/>
    <w:lsdException w:uiPriority="99" w:semiHidden="0" w:name="Table List 8"/>
    <w:lsdException w:uiPriority="99" w:semiHidden="0" w:name="Table 3D effects 1"/>
    <w:lsdException w:uiPriority="99" w:semiHidden="0" w:name="Table 3D effects 2"/>
    <w:lsdException w:uiPriority="99" w:semiHidden="0" w:name="Table 3D effects 3"/>
    <w:lsdException w:uiPriority="99" w:semiHidden="0" w:name="Table Contemporary"/>
    <w:lsdException w:uiPriority="99" w:semiHidden="0" w:name="Table Elegant"/>
    <w:lsdException w:uiPriority="99" w:semiHidden="0" w:name="Table Professional"/>
    <w:lsdException w:uiPriority="99" w:semiHidden="0" w:name="Table Subtle 1"/>
    <w:lsdException w:uiPriority="99" w:semiHidden="0" w:name="Table Subtle 2"/>
    <w:lsdException w:uiPriority="99" w:semiHidden="0" w:name="Table Web 1"/>
    <w:lsdException w:uiPriority="99" w:semiHidden="0" w:name="Table Web 2"/>
    <w:lsdException w:uiPriority="99" w:semiHidden="0" w:name="Table Web 3"/>
    <w:lsdException w:unhideWhenUsed="0" w:uiPriority="0" w:semiHidden="0" w:name="Balloon Text"/>
    <w:lsdException w:uiPriority="9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16"/>
    <w:qFormat/>
    <w:uiPriority w:val="0"/>
    <w:pPr>
      <w:spacing w:before="100" w:beforeAutospacing="1" w:after="100" w:afterAutospacing="1"/>
      <w:outlineLvl w:val="0"/>
    </w:pPr>
    <w:rPr>
      <w:b/>
      <w:bCs/>
      <w:kern w:val="44"/>
      <w:sz w:val="48"/>
      <w:szCs w:val="48"/>
    </w:rPr>
  </w:style>
  <w:style w:type="paragraph" w:styleId="4">
    <w:name w:val="heading 2"/>
    <w:basedOn w:val="1"/>
    <w:next w:val="1"/>
    <w:link w:val="17"/>
    <w:qFormat/>
    <w:uiPriority w:val="0"/>
    <w:pPr>
      <w:spacing w:before="100" w:beforeAutospacing="1" w:after="100" w:afterAutospacing="1"/>
      <w:outlineLvl w:val="1"/>
    </w:pPr>
    <w:rPr>
      <w:b/>
      <w:bCs/>
      <w:sz w:val="36"/>
      <w:szCs w:val="36"/>
    </w:rPr>
  </w:style>
  <w:style w:type="paragraph" w:styleId="5">
    <w:name w:val="heading 3"/>
    <w:basedOn w:val="1"/>
    <w:next w:val="1"/>
    <w:link w:val="18"/>
    <w:qFormat/>
    <w:uiPriority w:val="0"/>
    <w:pPr>
      <w:spacing w:before="100" w:beforeAutospacing="1" w:after="100" w:afterAutospacing="1"/>
      <w:outlineLvl w:val="2"/>
    </w:pPr>
    <w:rPr>
      <w:b/>
      <w:bCs/>
      <w:sz w:val="27"/>
      <w:szCs w:val="27"/>
    </w:rPr>
  </w:style>
  <w:style w:type="paragraph" w:styleId="6">
    <w:name w:val="heading 4"/>
    <w:basedOn w:val="1"/>
    <w:next w:val="1"/>
    <w:link w:val="19"/>
    <w:qFormat/>
    <w:uiPriority w:val="0"/>
    <w:pPr>
      <w:spacing w:before="100" w:beforeAutospacing="1" w:after="100" w:afterAutospacing="1"/>
      <w:outlineLvl w:val="3"/>
    </w:pPr>
    <w:rPr>
      <w:b/>
      <w:bCs/>
    </w:rPr>
  </w:style>
  <w:style w:type="paragraph" w:styleId="7">
    <w:name w:val="heading 5"/>
    <w:basedOn w:val="1"/>
    <w:next w:val="1"/>
    <w:link w:val="20"/>
    <w:qFormat/>
    <w:uiPriority w:val="0"/>
    <w:pPr>
      <w:spacing w:before="100" w:beforeAutospacing="1" w:after="100" w:afterAutospacing="1"/>
      <w:outlineLvl w:val="4"/>
    </w:pPr>
    <w:rPr>
      <w:b/>
      <w:bCs/>
      <w:sz w:val="20"/>
      <w:szCs w:val="20"/>
    </w:rPr>
  </w:style>
  <w:style w:type="paragraph" w:styleId="8">
    <w:name w:val="heading 6"/>
    <w:basedOn w:val="1"/>
    <w:next w:val="1"/>
    <w:link w:val="21"/>
    <w:qFormat/>
    <w:uiPriority w:val="0"/>
    <w:pPr>
      <w:spacing w:before="100" w:beforeAutospacing="1" w:after="100" w:afterAutospacing="1"/>
      <w:outlineLvl w:val="5"/>
    </w:pPr>
    <w:rPr>
      <w:b/>
      <w:bCs/>
      <w:sz w:val="15"/>
      <w:szCs w:val="15"/>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link w:val="15"/>
    <w:qFormat/>
    <w:uiPriority w:val="0"/>
    <w:pPr>
      <w:spacing w:before="240" w:after="60"/>
      <w:jc w:val="center"/>
      <w:outlineLvl w:val="0"/>
    </w:pPr>
    <w:rPr>
      <w:rFonts w:ascii="等线 Light" w:hAnsi="等线 Light" w:eastAsia="等线 Light"/>
      <w:sz w:val="32"/>
      <w:szCs w:val="32"/>
    </w:rPr>
  </w:style>
  <w:style w:type="paragraph" w:styleId="9">
    <w:name w:val="footer"/>
    <w:basedOn w:val="1"/>
    <w:link w:val="39"/>
    <w:qFormat/>
    <w:uiPriority w:val="0"/>
    <w:pPr>
      <w:tabs>
        <w:tab w:val="center" w:pos="4153"/>
        <w:tab w:val="right" w:pos="8306"/>
      </w:tabs>
      <w:snapToGrid w:val="0"/>
    </w:pPr>
    <w:rPr>
      <w:sz w:val="18"/>
      <w:szCs w:val="18"/>
    </w:rPr>
  </w:style>
  <w:style w:type="paragraph" w:styleId="10">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2"/>
    <w:qFormat/>
    <w:uiPriority w:val="0"/>
  </w:style>
  <w:style w:type="paragraph" w:styleId="12">
    <w:name w:val="Normal (Web)"/>
    <w:basedOn w:val="1"/>
    <w:qFormat/>
    <w:uiPriority w:val="0"/>
    <w:pPr>
      <w:spacing w:before="100" w:beforeAutospacing="1" w:after="100" w:afterAutospacing="1"/>
    </w:pPr>
  </w:style>
  <w:style w:type="character" w:customStyle="1" w:styleId="15">
    <w:name w:val="标题 Char"/>
    <w:basedOn w:val="13"/>
    <w:link w:val="2"/>
    <w:qFormat/>
    <w:uiPriority w:val="0"/>
    <w:rPr>
      <w:rFonts w:eastAsia="宋体" w:asciiTheme="majorHAnsi" w:hAnsiTheme="majorHAnsi" w:cstheme="majorBidi"/>
      <w:b/>
      <w:bCs/>
      <w:sz w:val="32"/>
      <w:szCs w:val="32"/>
    </w:rPr>
  </w:style>
  <w:style w:type="character" w:customStyle="1" w:styleId="16">
    <w:name w:val="标题 1 Char"/>
    <w:basedOn w:val="13"/>
    <w:link w:val="3"/>
    <w:qFormat/>
    <w:uiPriority w:val="0"/>
    <w:rPr>
      <w:rFonts w:ascii="宋体" w:hAnsi="宋体" w:eastAsia="宋体" w:cs="宋体"/>
      <w:b/>
      <w:bCs/>
      <w:kern w:val="44"/>
      <w:sz w:val="44"/>
      <w:szCs w:val="44"/>
    </w:rPr>
  </w:style>
  <w:style w:type="character" w:customStyle="1" w:styleId="17">
    <w:name w:val="标题 2 Char"/>
    <w:basedOn w:val="13"/>
    <w:link w:val="4"/>
    <w:qFormat/>
    <w:uiPriority w:val="0"/>
    <w:rPr>
      <w:rFonts w:asciiTheme="majorHAnsi" w:hAnsiTheme="majorHAnsi" w:eastAsiaTheme="majorEastAsia" w:cstheme="majorBidi"/>
      <w:b/>
      <w:bCs/>
      <w:sz w:val="32"/>
      <w:szCs w:val="32"/>
    </w:rPr>
  </w:style>
  <w:style w:type="character" w:customStyle="1" w:styleId="18">
    <w:name w:val="标题 3 Char"/>
    <w:basedOn w:val="13"/>
    <w:link w:val="5"/>
    <w:qFormat/>
    <w:uiPriority w:val="0"/>
    <w:rPr>
      <w:rFonts w:ascii="宋体" w:hAnsi="宋体" w:eastAsia="宋体" w:cs="宋体"/>
      <w:b/>
      <w:bCs/>
      <w:sz w:val="32"/>
      <w:szCs w:val="32"/>
    </w:rPr>
  </w:style>
  <w:style w:type="character" w:customStyle="1" w:styleId="19">
    <w:name w:val="标题 4 Char"/>
    <w:basedOn w:val="13"/>
    <w:link w:val="6"/>
    <w:qFormat/>
    <w:uiPriority w:val="0"/>
    <w:rPr>
      <w:rFonts w:asciiTheme="majorHAnsi" w:hAnsiTheme="majorHAnsi" w:eastAsiaTheme="majorEastAsia" w:cstheme="majorBidi"/>
      <w:b/>
      <w:bCs/>
      <w:sz w:val="28"/>
      <w:szCs w:val="28"/>
    </w:rPr>
  </w:style>
  <w:style w:type="character" w:customStyle="1" w:styleId="20">
    <w:name w:val="标题 5 Char"/>
    <w:basedOn w:val="13"/>
    <w:link w:val="7"/>
    <w:qFormat/>
    <w:uiPriority w:val="0"/>
    <w:rPr>
      <w:rFonts w:ascii="宋体" w:hAnsi="宋体" w:eastAsia="宋体" w:cs="宋体"/>
      <w:b/>
      <w:bCs/>
      <w:sz w:val="28"/>
      <w:szCs w:val="28"/>
    </w:rPr>
  </w:style>
  <w:style w:type="character" w:customStyle="1" w:styleId="21">
    <w:name w:val="标题 6 Char"/>
    <w:basedOn w:val="13"/>
    <w:link w:val="8"/>
    <w:qFormat/>
    <w:uiPriority w:val="0"/>
    <w:rPr>
      <w:rFonts w:asciiTheme="majorHAnsi" w:hAnsiTheme="majorHAnsi" w:eastAsiaTheme="majorEastAsia" w:cstheme="majorBidi"/>
      <w:b/>
      <w:bCs/>
      <w:sz w:val="24"/>
      <w:szCs w:val="24"/>
    </w:rPr>
  </w:style>
  <w:style w:type="character" w:customStyle="1" w:styleId="22">
    <w:name w:val="HTML 预设格式 Char"/>
    <w:basedOn w:val="13"/>
    <w:link w:val="11"/>
    <w:qFormat/>
    <w:uiPriority w:val="0"/>
    <w:rPr>
      <w:rFonts w:ascii="Courier New" w:hAnsi="Courier New" w:eastAsia="宋体" w:cs="Courier New"/>
    </w:rPr>
  </w:style>
  <w:style w:type="paragraph" w:customStyle="1" w:styleId="23">
    <w:name w:val="HTML 预设格式 Char Char"/>
    <w:basedOn w:val="1"/>
    <w:qFormat/>
    <w:uiPriority w:val="0"/>
  </w:style>
  <w:style w:type="paragraph" w:customStyle="1" w:styleId="24">
    <w:name w:val="普通(网站) Char"/>
    <w:basedOn w:val="1"/>
    <w:qFormat/>
    <w:uiPriority w:val="0"/>
    <w:pPr>
      <w:spacing w:before="100" w:beforeAutospacing="1" w:after="100" w:afterAutospacing="1"/>
    </w:pPr>
    <w:rPr>
      <w:rFonts w:cs="Times New Roman"/>
    </w:rPr>
  </w:style>
  <w:style w:type="paragraph" w:customStyle="1" w:styleId="25">
    <w:name w:val="普通(网站) Char Char"/>
    <w:basedOn w:val="1"/>
    <w:qFormat/>
    <w:uiPriority w:val="0"/>
    <w:pPr>
      <w:spacing w:before="100" w:beforeAutospacing="1" w:after="100" w:afterAutospacing="1"/>
    </w:pPr>
  </w:style>
  <w:style w:type="paragraph" w:customStyle="1" w:styleId="26">
    <w:name w:val="HTML 预设格式 Char Char Char"/>
    <w:basedOn w:val="1"/>
    <w:qFormat/>
    <w:uiPriority w:val="0"/>
  </w:style>
  <w:style w:type="paragraph" w:customStyle="1" w:styleId="27">
    <w:name w:val="HTML 预设格式 Char1"/>
    <w:basedOn w:val="1"/>
    <w:qFormat/>
    <w:uiPriority w:val="0"/>
  </w:style>
  <w:style w:type="character" w:customStyle="1" w:styleId="28">
    <w:name w:val="10"/>
    <w:basedOn w:val="13"/>
    <w:qFormat/>
    <w:uiPriority w:val="0"/>
    <w:rPr>
      <w:rFonts w:hint="default" w:ascii="Times New Roman" w:hAnsi="Times New Roman" w:cs="Times New Roman"/>
    </w:rPr>
  </w:style>
  <w:style w:type="character" w:customStyle="1" w:styleId="29">
    <w:name w:val="15"/>
    <w:basedOn w:val="13"/>
    <w:qFormat/>
    <w:uiPriority w:val="0"/>
    <w:rPr>
      <w:rFonts w:hint="default" w:ascii="Times New Roman" w:hAnsi="Times New Roman" w:cs="Times New Roman"/>
    </w:rPr>
  </w:style>
  <w:style w:type="character" w:customStyle="1" w:styleId="30">
    <w:name w:val="16"/>
    <w:basedOn w:val="13"/>
    <w:qFormat/>
    <w:uiPriority w:val="0"/>
    <w:rPr>
      <w:rFonts w:hint="default" w:ascii="Times New Roman" w:hAnsi="Times New Roman" w:cs="Times New Roman"/>
    </w:rPr>
  </w:style>
  <w:style w:type="character" w:customStyle="1" w:styleId="31">
    <w:name w:val="17"/>
    <w:basedOn w:val="13"/>
    <w:qFormat/>
    <w:uiPriority w:val="0"/>
    <w:rPr>
      <w:rFonts w:hint="default" w:ascii="Times New Roman" w:hAnsi="Times New Roman" w:cs="Times New Roman"/>
    </w:rPr>
  </w:style>
  <w:style w:type="character" w:customStyle="1" w:styleId="32">
    <w:name w:val="18"/>
    <w:basedOn w:val="13"/>
    <w:qFormat/>
    <w:uiPriority w:val="0"/>
    <w:rPr>
      <w:rFonts w:hint="default" w:ascii="Times New Roman" w:hAnsi="Times New Roman" w:cs="Times New Roman"/>
    </w:rPr>
  </w:style>
  <w:style w:type="character" w:customStyle="1" w:styleId="33">
    <w:name w:val="19"/>
    <w:basedOn w:val="13"/>
    <w:qFormat/>
    <w:uiPriority w:val="0"/>
    <w:rPr>
      <w:rFonts w:hint="default" w:ascii="Times New Roman" w:hAnsi="Times New Roman" w:cs="Times New Roman"/>
    </w:rPr>
  </w:style>
  <w:style w:type="character" w:customStyle="1" w:styleId="34">
    <w:name w:val="20"/>
    <w:basedOn w:val="13"/>
    <w:qFormat/>
    <w:uiPriority w:val="0"/>
    <w:rPr>
      <w:rFonts w:hint="default" w:ascii="Times New Roman" w:hAnsi="Times New Roman" w:cs="Times New Roman"/>
    </w:rPr>
  </w:style>
  <w:style w:type="character" w:customStyle="1" w:styleId="35">
    <w:name w:val="21"/>
    <w:basedOn w:val="13"/>
    <w:qFormat/>
    <w:uiPriority w:val="0"/>
    <w:rPr>
      <w:rFonts w:hint="default" w:ascii="Times New Roman" w:hAnsi="Times New Roman" w:cs="Times New Roman"/>
    </w:rPr>
  </w:style>
  <w:style w:type="character" w:customStyle="1" w:styleId="36">
    <w:name w:val="22"/>
    <w:basedOn w:val="13"/>
    <w:qFormat/>
    <w:uiPriority w:val="0"/>
    <w:rPr>
      <w:rFonts w:hint="default" w:ascii="Times New Roman" w:hAnsi="Times New Roman" w:cs="Times New Roman"/>
    </w:rPr>
  </w:style>
  <w:style w:type="character" w:customStyle="1" w:styleId="37">
    <w:name w:val="23"/>
    <w:basedOn w:val="13"/>
    <w:qFormat/>
    <w:uiPriority w:val="0"/>
    <w:rPr>
      <w:rFonts w:hint="default" w:ascii="Times New Roman" w:hAnsi="Times New Roman" w:cs="Times New Roman"/>
      <w:b/>
      <w:bCs/>
    </w:rPr>
  </w:style>
  <w:style w:type="character" w:customStyle="1" w:styleId="38">
    <w:name w:val="页眉 Char"/>
    <w:basedOn w:val="13"/>
    <w:link w:val="10"/>
    <w:qFormat/>
    <w:uiPriority w:val="0"/>
    <w:rPr>
      <w:rFonts w:ascii="宋体" w:hAnsi="宋体" w:eastAsia="宋体" w:cs="宋体"/>
      <w:sz w:val="18"/>
      <w:szCs w:val="18"/>
    </w:rPr>
  </w:style>
  <w:style w:type="character" w:customStyle="1" w:styleId="39">
    <w:name w:val="页脚 Char"/>
    <w:basedOn w:val="13"/>
    <w:link w:val="9"/>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2459</Words>
  <Characters>14022</Characters>
  <Lines>116</Lines>
  <Paragraphs>32</Paragraphs>
  <ScaleCrop>false</ScaleCrop>
  <LinksUpToDate>false</LinksUpToDate>
  <CharactersWithSpaces>16449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2022-08-22T07:49:00Z</dcterms:created>
  <dc:creator>DELL02</dc:creator>
  <cp:lastModifiedBy>DELL02</cp:lastModifiedBy>
  <dcterms:modified xsi:type="dcterms:W3CDTF">2022-08-24T01:41:03Z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