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北京市朝阳区人民政府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酒仙桥街道办事处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23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北京市朝阳区人民政府酒仙桥街道办事处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023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北京市朝阳区人民政府酒仙桥街道办事处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承担执法工作的科室编制数为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个A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执法岗位，在岗人员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服务中心受理事项9325件，中心严格落实“一事一评”“一次一评”要求，主动引导办事人对服务进行评价，人工评价8571件，系统评价548件，事项办理无“差评”记录，好评率达到100%。政务服务事项“全程网办”3543件，实现数据多跑路，群众少跑腿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执法队坚持围绕《北京市“十四五”时期城市管理发展规划》，深入推动城管综合执法效能提升，做好各类执法检查专项工作。一是保持常态化街面执法检查力度，二是狠抓“门前三包”责任制落实，三是有序推进燃气安全执法，四是持续保持对存量违建的高压打击态势、着力加强对辖区内施工工地的检查管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行政处罚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637件，罚款金额21万元。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  <w:t>本年度内无行政强制案件。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综合行政执法队全年累计执法检查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6206件；处理诉求案件4125起。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北京市朝阳区人民政府酒仙桥街道办事处</w:t>
      </w:r>
    </w:p>
    <w:p>
      <w:pPr>
        <w:widowControl/>
        <w:shd w:val="clear" w:color="auto" w:fill="FFFFFF"/>
        <w:wordWrap w:val="0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 xml:space="preserve">2024年1月17日         </w:t>
      </w: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NTU4Y2VmNDVmY2FhOTU3NjE4ZDRkMWUzZDVjM2MifQ=="/>
  </w:docVars>
  <w:rsids>
    <w:rsidRoot w:val="00115C5C"/>
    <w:rsid w:val="00115C5C"/>
    <w:rsid w:val="00C85F20"/>
    <w:rsid w:val="060F47D7"/>
    <w:rsid w:val="0D971FA8"/>
    <w:rsid w:val="14892BC6"/>
    <w:rsid w:val="148F0DF0"/>
    <w:rsid w:val="1E115A0D"/>
    <w:rsid w:val="2E60513A"/>
    <w:rsid w:val="4E5C00A5"/>
    <w:rsid w:val="59B937CD"/>
    <w:rsid w:val="62B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2024-01-15T06:59:00Z</dcterms:created>
  <dc:creator>sf</dc:creator>
  <cp:lastModifiedBy>sf</cp:lastModifiedBy>
  <cp:lastPrinted>2024-01-17T03:09:54Z</cp:lastPrinted>
  <dcterms:modified xsi:type="dcterms:W3CDTF">2024-01-17T03:10:02Z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2F81DC48B8404510BE41E977177F7D3C_12</vt:lpwstr>
  </property>
</Properties>
</file>