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312" w:beforeAutospacing="0" w:after="312" w:afterAutospacing="0" w:line="500" w:lineRule="atLeast"/>
        <w:ind w:left="0" w:right="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auto"/>
          <w:sz w:val="44"/>
          <w:szCs w:val="44"/>
        </w:rPr>
        <w:t>2016年北京市朝阳区垡头街道办事处政府信息公开工作年度报告</w:t>
      </w:r>
    </w:p>
    <w:bookmarkEnd w:id="0"/>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sz w:val="32"/>
          <w:szCs w:val="32"/>
        </w:rPr>
        <w:t>本报告是根据《中华人民共和国政府信息公开条例》</w:t>
      </w:r>
      <w:r>
        <w:rPr>
          <w:rFonts w:hint="eastAsia" w:ascii="仿宋" w:hAnsi="仿宋" w:eastAsia="仿宋" w:cs="仿宋"/>
          <w:color w:val="000000"/>
          <w:sz w:val="32"/>
          <w:szCs w:val="32"/>
        </w:rPr>
        <w:t>（</w:t>
      </w:r>
      <w:r>
        <w:rPr>
          <w:rFonts w:hint="eastAsia" w:ascii="仿宋" w:hAnsi="仿宋" w:eastAsia="仿宋" w:cs="仿宋"/>
          <w:sz w:val="32"/>
          <w:szCs w:val="32"/>
        </w:rPr>
        <w:t>以下简称《条例》）要求</w:t>
      </w:r>
      <w:r>
        <w:rPr>
          <w:rFonts w:hint="eastAsia" w:ascii="仿宋" w:hAnsi="仿宋" w:eastAsia="仿宋" w:cs="仿宋"/>
          <w:color w:val="000000"/>
          <w:sz w:val="32"/>
          <w:szCs w:val="32"/>
        </w:rPr>
        <w:t>，由北京市朝阳区</w:t>
      </w:r>
      <w:r>
        <w:rPr>
          <w:rFonts w:hint="eastAsia" w:ascii="仿宋" w:hAnsi="仿宋" w:eastAsia="仿宋" w:cs="仿宋"/>
          <w:sz w:val="32"/>
          <w:szCs w:val="32"/>
        </w:rPr>
        <w:t>垡头街道办事处</w:t>
      </w:r>
      <w:r>
        <w:rPr>
          <w:rFonts w:hint="eastAsia" w:ascii="仿宋" w:hAnsi="仿宋" w:eastAsia="仿宋" w:cs="仿宋"/>
          <w:color w:val="000000"/>
          <w:sz w:val="32"/>
          <w:szCs w:val="32"/>
        </w:rPr>
        <w:t>编制的</w:t>
      </w:r>
      <w:r>
        <w:rPr>
          <w:rFonts w:hint="eastAsia" w:ascii="仿宋" w:hAnsi="仿宋" w:eastAsia="仿宋" w:cs="仿宋"/>
          <w:sz w:val="32"/>
          <w:szCs w:val="32"/>
        </w:rPr>
        <w:t>2016</w:t>
      </w:r>
      <w:r>
        <w:rPr>
          <w:rFonts w:hint="eastAsia" w:ascii="仿宋" w:hAnsi="仿宋" w:eastAsia="仿宋" w:cs="仿宋"/>
          <w:color w:val="000000"/>
          <w:sz w:val="32"/>
          <w:szCs w:val="32"/>
        </w:rPr>
        <w:t>年度政府信息公开年度报告。</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六部分内容。</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本报告中所列数据的统计期限自</w:t>
      </w:r>
      <w:r>
        <w:rPr>
          <w:rFonts w:hint="eastAsia" w:ascii="仿宋" w:hAnsi="仿宋" w:eastAsia="仿宋" w:cs="仿宋"/>
          <w:sz w:val="32"/>
          <w:szCs w:val="32"/>
        </w:rPr>
        <w:t>2016年1月1日起，至2016年12月31日止。</w:t>
      </w:r>
      <w:r>
        <w:rPr>
          <w:rFonts w:hint="eastAsia" w:ascii="仿宋" w:hAnsi="仿宋" w:eastAsia="仿宋" w:cs="仿宋"/>
          <w:color w:val="000000"/>
          <w:sz w:val="32"/>
          <w:szCs w:val="32"/>
        </w:rPr>
        <w:t>本报告的电子版可在朝阳区政府网站（</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"http://xxgk.bjchy.gov.cn/" </w:instrText>
      </w:r>
      <w:r>
        <w:rPr>
          <w:rFonts w:hint="default" w:ascii="Times New Roman" w:hAnsi="Times New Roman" w:cs="Times New Roman"/>
          <w:sz w:val="21"/>
          <w:szCs w:val="21"/>
        </w:rPr>
        <w:fldChar w:fldCharType="separate"/>
      </w:r>
      <w:r>
        <w:rPr>
          <w:rStyle w:val="5"/>
          <w:rFonts w:hint="eastAsia" w:ascii="仿宋" w:hAnsi="仿宋" w:eastAsia="仿宋" w:cs="仿宋"/>
          <w:color w:val="000000"/>
          <w:sz w:val="32"/>
          <w:szCs w:val="32"/>
          <w:u w:val="none"/>
        </w:rPr>
        <w:t>http://xxgk.bjchy.gov.cn/</w:t>
      </w:r>
      <w:r>
        <w:rPr>
          <w:rFonts w:hint="default" w:ascii="Times New Roman" w:hAnsi="Times New Roman" w:cs="Times New Roman"/>
          <w:sz w:val="21"/>
          <w:szCs w:val="21"/>
        </w:rPr>
        <w:fldChar w:fldCharType="end"/>
      </w:r>
      <w:r>
        <w:rPr>
          <w:rFonts w:hint="eastAsia" w:ascii="仿宋" w:hAnsi="仿宋" w:eastAsia="仿宋" w:cs="仿宋"/>
          <w:color w:val="000000"/>
          <w:sz w:val="32"/>
          <w:szCs w:val="32"/>
        </w:rPr>
        <w:t>）下载。如对报告有任何疑问，请联系：垡头街道办事处综合办公室，联系电话：67383368。</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一、概述</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2016年，我街道在2015年开展政府信息公开工作的基础上，进一步推进我街道政府信息公开工作向前发展。2016年初，我们召开了全街道的政府信息公开培训会，垡头街道政府信息公开工作走上新台阶。同时，依托全区统一的政府信息公开</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工作平台和政府信息公开工作管理系统，继续优化调整街道外网网站，在街道为民服务大厅依申请政府信息服务窗口设专人负责接待，不断拓宽政府信息公开渠道，为推进阳光政府建设，构建和谐社会做出不懈的努力。</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截至2016年底，垡头街道办事处政府信息公开工作运行正常，政府信息公开咨询、申请以及答复工作均得到了顺利开展。</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二、主动公开情况</w:t>
      </w:r>
    </w:p>
    <w:p>
      <w:pPr>
        <w:pStyle w:val="2"/>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ascii="楷体" w:hAnsi="楷体" w:eastAsia="楷体" w:cs="楷体"/>
          <w:b/>
          <w:bCs/>
          <w:color w:val="000000"/>
          <w:sz w:val="32"/>
          <w:szCs w:val="32"/>
        </w:rPr>
        <w:t>（一）公开情况</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垡头街道办事处</w:t>
      </w:r>
      <w:r>
        <w:rPr>
          <w:rFonts w:hint="eastAsia" w:ascii="仿宋" w:hAnsi="仿宋" w:eastAsia="仿宋" w:cs="仿宋"/>
          <w:color w:val="000000"/>
          <w:sz w:val="32"/>
          <w:szCs w:val="32"/>
        </w:rPr>
        <w:t>2016</w:t>
      </w:r>
      <w:r>
        <w:rPr>
          <w:rFonts w:hint="eastAsia" w:ascii="仿宋" w:hAnsi="仿宋" w:eastAsia="仿宋" w:cs="仿宋"/>
          <w:sz w:val="32"/>
          <w:szCs w:val="32"/>
        </w:rPr>
        <w:t>年共主动公开政府信息</w:t>
      </w:r>
      <w:r>
        <w:rPr>
          <w:rFonts w:hint="eastAsia" w:ascii="仿宋" w:hAnsi="仿宋" w:eastAsia="仿宋" w:cs="仿宋"/>
          <w:color w:val="000000"/>
          <w:sz w:val="32"/>
          <w:szCs w:val="32"/>
        </w:rPr>
        <w:t>208</w:t>
      </w:r>
      <w:r>
        <w:rPr>
          <w:rFonts w:hint="eastAsia" w:ascii="仿宋" w:hAnsi="仿宋" w:eastAsia="仿宋" w:cs="仿宋"/>
          <w:sz w:val="32"/>
          <w:szCs w:val="32"/>
        </w:rPr>
        <w:t>条，全文电子化率达</w:t>
      </w:r>
      <w:r>
        <w:rPr>
          <w:rFonts w:hint="eastAsia" w:ascii="仿宋" w:hAnsi="仿宋" w:eastAsia="仿宋" w:cs="仿宋"/>
          <w:color w:val="000000"/>
          <w:sz w:val="32"/>
          <w:szCs w:val="32"/>
        </w:rPr>
        <w:t>100</w:t>
      </w:r>
      <w:r>
        <w:rPr>
          <w:rFonts w:hint="eastAsia" w:ascii="仿宋" w:hAnsi="仿宋" w:eastAsia="仿宋" w:cs="仿宋"/>
          <w:sz w:val="32"/>
          <w:szCs w:val="32"/>
        </w:rPr>
        <w:t>%。其中，</w:t>
      </w:r>
      <w:r>
        <w:rPr>
          <w:rFonts w:hint="eastAsia" w:ascii="仿宋" w:hAnsi="仿宋" w:eastAsia="仿宋" w:cs="仿宋"/>
          <w:color w:val="000000"/>
          <w:sz w:val="32"/>
          <w:szCs w:val="32"/>
        </w:rPr>
        <w:t>业务动态类信息192条，占总体的比例为92.30%。</w:t>
      </w:r>
    </w:p>
    <w:p>
      <w:pPr>
        <w:pStyle w:val="2"/>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color w:val="000000"/>
          <w:sz w:val="32"/>
          <w:szCs w:val="32"/>
        </w:rPr>
        <w:t>（二）公开形式</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在主动公开的信息中，为方便公众了解信息，本</w:t>
      </w:r>
      <w:r>
        <w:rPr>
          <w:rFonts w:hint="eastAsia" w:ascii="仿宋" w:hAnsi="仿宋" w:eastAsia="仿宋" w:cs="仿宋"/>
          <w:sz w:val="32"/>
          <w:szCs w:val="32"/>
        </w:rPr>
        <w:t>垡头街道办事处</w:t>
      </w:r>
      <w:r>
        <w:rPr>
          <w:rFonts w:hint="eastAsia" w:ascii="仿宋" w:hAnsi="仿宋" w:eastAsia="仿宋" w:cs="仿宋"/>
          <w:color w:val="000000"/>
          <w:sz w:val="32"/>
          <w:szCs w:val="32"/>
        </w:rPr>
        <w:t>在主动公开政府信息的形式上做了：外网网站、为民服务大厅政府信息公开窗口、电子屏幕、服务指南、公告、通告等工作。</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三、依申请公开情况</w:t>
      </w:r>
    </w:p>
    <w:p>
      <w:pPr>
        <w:pStyle w:val="2"/>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color w:val="000000"/>
          <w:sz w:val="32"/>
          <w:szCs w:val="32"/>
        </w:rPr>
        <w:t>（一）申请情况</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按照《条例》第13条规定，我街道自《条例》实施之日起正式受理公民、法人或者其他组织根据自身生产、生活、科研等特殊需要提出的政府信息公开申请，并公布了联系方式。</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截止至今，我街道未接到一起依申请公开。</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sz w:val="32"/>
          <w:szCs w:val="32"/>
        </w:rPr>
        <w:t>四、咨询情况</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2016年，我街道共接受公民、法人及其他组织政府信息公开方面的咨询192人次。其中，现场咨询87人次，占总数的45.3%；电话咨询105人次，占总数的54.7%；网上咨询0人次。</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xml:space="preserve">五、行政复议和行政诉讼情况 </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2016年，针对</w:t>
      </w:r>
      <w:r>
        <w:rPr>
          <w:rFonts w:hint="eastAsia" w:ascii="仿宋" w:hAnsi="仿宋" w:eastAsia="仿宋" w:cs="仿宋"/>
          <w:sz w:val="32"/>
          <w:szCs w:val="32"/>
        </w:rPr>
        <w:t>垡头街道办事处</w:t>
      </w:r>
      <w:r>
        <w:rPr>
          <w:rFonts w:hint="eastAsia" w:ascii="仿宋" w:hAnsi="仿宋" w:eastAsia="仿宋" w:cs="仿宋"/>
          <w:color w:val="000000"/>
          <w:sz w:val="32"/>
          <w:szCs w:val="32"/>
        </w:rPr>
        <w:t>政府信息公开的行政复议申请0件，针对</w:t>
      </w:r>
      <w:r>
        <w:rPr>
          <w:rFonts w:hint="eastAsia" w:ascii="仿宋" w:hAnsi="仿宋" w:eastAsia="仿宋" w:cs="仿宋"/>
          <w:sz w:val="32"/>
          <w:szCs w:val="32"/>
        </w:rPr>
        <w:t>垡头街道办事处</w:t>
      </w:r>
      <w:r>
        <w:rPr>
          <w:rFonts w:hint="eastAsia" w:ascii="仿宋" w:hAnsi="仿宋" w:eastAsia="仿宋" w:cs="仿宋"/>
          <w:color w:val="000000"/>
          <w:sz w:val="32"/>
          <w:szCs w:val="32"/>
        </w:rPr>
        <w:t>政府信息公开的行政诉讼案0件。</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六、主要问题和改进措施</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b/>
          <w:bCs/>
          <w:color w:val="000000"/>
          <w:sz w:val="32"/>
          <w:szCs w:val="32"/>
        </w:rPr>
        <w:t>（一）工作中存在的主要问题和困难</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2016年，我街道信息公开工作取得了一定成效，但仍存在一些问题：一是对政府信息公开工作重要性的认识不到位，依法履行信息公开义务的意识淡薄，推进政府信息公开工作相对滞后，主动公开的自觉性不够；二是公开内容需进一步深化，公开形式需进一步优化，信息公开的有效性、便民性需进一步提高。</w:t>
      </w:r>
    </w:p>
    <w:p>
      <w:pPr>
        <w:pStyle w:val="2"/>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楷体" w:hAnsi="楷体" w:eastAsia="楷体" w:cs="楷体"/>
          <w:b/>
          <w:bCs/>
          <w:color w:val="000000"/>
          <w:sz w:val="32"/>
          <w:szCs w:val="32"/>
        </w:rPr>
        <w:t>（二）具体的解决办法和改进措施</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增强政务公开意识。全面推进政务公开，让权力在阳光下运行，要深入贯彻落实政府信息公开条例，坚持以公开为常态、不公开为例外。推进行决策公开、执行公开、管理公开、服务公开和结果公开，紧紧围绕经济社会发展和人民群众关注关切，以公开促落实，以公开促规范，以公开促服务。</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加强培训，提高公开水平。通过加强对《条例》、《行政诉讼法》、《行政复议法》等法律法规的学习，实现对公开意识，发布信息、解读政策、回应关切的能力的提高。借鉴其他政府部门的良好经验，提高我街道政府信息公开工作水平。坚持改革创新，注重精细化、可操作性，务求公开实效，让群众看得到、听得懂、能监督。</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3、严格遵守《条例》要求除了国家秘密、商业秘密和个人隐私外，都应主动及时向社会公开，以确保政府信息公开的完整性、全面性和及时性，不断充实公开内容。</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4、拓展政府信息公开载体，继续发挥街道网站的主渠道作用；积极拓展网上办事功能，继续做好政府与人民群众网络交流、热线电话等工作。</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5、以制度化、规范化、科学化为着力点，努力构建政府信息公开的长效机制，将政府信息公开工作列入绩效考核管理体系，进行月度督办、季度检查、半年考评小结、年终考核总结。</w:t>
      </w:r>
    </w:p>
    <w:p>
      <w:pPr>
        <w:pStyle w:val="2"/>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七、2016年度政府信息公开情况统计表</w:t>
      </w:r>
    </w:p>
    <w:tbl>
      <w:tblPr>
        <w:tblW w:w="0" w:type="auto"/>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64"/>
        <w:gridCol w:w="658"/>
        <w:gridCol w:w="625"/>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gridSpan w:val="2"/>
            <w:shd w:val="clear"/>
            <w:noWrap/>
            <w:tcMar>
              <w:left w:w="108" w:type="dxa"/>
              <w:right w:w="108" w:type="dxa"/>
            </w:tcMar>
            <w:vAlign w:val="center"/>
          </w:tcPr>
          <w:p>
            <w:pPr>
              <w:rPr>
                <w:rFonts w:hint="eastAsia" w:ascii="Arial" w:hAnsi="Arial" w:cs="Arial"/>
                <w:sz w:val="18"/>
                <w:szCs w:val="18"/>
              </w:rPr>
            </w:pPr>
          </w:p>
        </w:tc>
        <w:tc>
          <w:tcPr>
            <w:tcW w:w="0" w:type="auto"/>
            <w:shd w:val="clear"/>
            <w:noWrap/>
            <w:tcMar>
              <w:left w:w="108" w:type="dxa"/>
              <w:right w:w="108" w:type="dxa"/>
            </w:tcMar>
            <w:vAlign w:val="center"/>
          </w:tcPr>
          <w:p>
            <w:pPr>
              <w:rPr>
                <w:rFonts w:hint="default" w:ascii="Arial" w:hAnsi="Arial" w:cs="Arial"/>
                <w:sz w:val="18"/>
                <w:szCs w:val="18"/>
              </w:rPr>
            </w:pPr>
          </w:p>
        </w:tc>
        <w:tc>
          <w:tcPr>
            <w:tcW w:w="0" w:type="auto"/>
            <w:shd w:val="clear"/>
            <w:noWrap/>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0" w:type="auto"/>
            <w:gridSpan w:val="4"/>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000000"/>
                <w:sz w:val="24"/>
                <w:szCs w:val="24"/>
              </w:rPr>
              <w:t>（2016年度）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shd w:val="clear"/>
            <w:noWrap/>
            <w:tcMar>
              <w:left w:w="108" w:type="dxa"/>
              <w:right w:w="108" w:type="dxa"/>
            </w:tcMar>
            <w:vAlign w:val="center"/>
          </w:tcPr>
          <w:p>
            <w:pPr>
              <w:rPr>
                <w:rFonts w:hint="default" w:ascii="Arial" w:hAnsi="Arial" w:cs="Arial"/>
                <w:sz w:val="18"/>
                <w:szCs w:val="18"/>
              </w:rPr>
            </w:pPr>
          </w:p>
        </w:tc>
        <w:tc>
          <w:tcPr>
            <w:tcW w:w="0" w:type="auto"/>
            <w:gridSpan w:val="2"/>
            <w:shd w:val="clear"/>
            <w:noWrap/>
            <w:tcMar>
              <w:left w:w="108" w:type="dxa"/>
              <w:right w:w="108" w:type="dxa"/>
            </w:tcMar>
            <w:vAlign w:val="center"/>
          </w:tcPr>
          <w:p>
            <w:pPr>
              <w:rPr>
                <w:rFonts w:hint="default" w:ascii="Arial" w:hAnsi="Arial" w:cs="Arial"/>
                <w:sz w:val="18"/>
                <w:szCs w:val="18"/>
              </w:rPr>
            </w:pPr>
          </w:p>
        </w:tc>
        <w:tc>
          <w:tcPr>
            <w:tcW w:w="0" w:type="auto"/>
            <w:shd w:val="clear"/>
            <w:noWrap/>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shd w:val="clear"/>
            <w:noWrap/>
            <w:tcMar>
              <w:left w:w="108" w:type="dxa"/>
              <w:right w:w="108" w:type="dxa"/>
            </w:tcMar>
            <w:vAlign w:val="center"/>
          </w:tcPr>
          <w:p>
            <w:pPr>
              <w:rPr>
                <w:rFonts w:hint="default" w:ascii="Arial" w:hAnsi="Arial" w:cs="Arial"/>
                <w:sz w:val="18"/>
                <w:szCs w:val="18"/>
              </w:rPr>
            </w:pPr>
          </w:p>
        </w:tc>
        <w:tc>
          <w:tcPr>
            <w:tcW w:w="0" w:type="auto"/>
            <w:gridSpan w:val="2"/>
            <w:shd w:val="clear"/>
            <w:noWrap/>
            <w:tcMar>
              <w:left w:w="108" w:type="dxa"/>
              <w:right w:w="108" w:type="dxa"/>
            </w:tcMar>
            <w:vAlign w:val="center"/>
          </w:tcPr>
          <w:p>
            <w:pPr>
              <w:rPr>
                <w:rFonts w:hint="default" w:ascii="Arial" w:hAnsi="Arial" w:cs="Arial"/>
                <w:sz w:val="18"/>
                <w:szCs w:val="18"/>
              </w:rPr>
            </w:pPr>
          </w:p>
        </w:tc>
        <w:tc>
          <w:tcPr>
            <w:tcW w:w="0" w:type="auto"/>
            <w:shd w:val="clear"/>
            <w:noWrap/>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2"/>
                <w:szCs w:val="22"/>
              </w:rPr>
              <w:t>填报单位（盖章）：</w:t>
            </w:r>
          </w:p>
        </w:tc>
        <w:tc>
          <w:tcPr>
            <w:tcW w:w="0" w:type="auto"/>
            <w:gridSpan w:val="2"/>
            <w:shd w:val="clear"/>
            <w:noWrap/>
            <w:tcMar>
              <w:left w:w="108" w:type="dxa"/>
              <w:right w:w="108" w:type="dxa"/>
            </w:tcMar>
            <w:vAlign w:val="center"/>
          </w:tcPr>
          <w:p>
            <w:pPr>
              <w:rPr>
                <w:rFonts w:hint="default" w:ascii="Arial" w:hAnsi="Arial" w:cs="Arial"/>
                <w:sz w:val="18"/>
                <w:szCs w:val="18"/>
              </w:rPr>
            </w:pPr>
          </w:p>
        </w:tc>
        <w:tc>
          <w:tcPr>
            <w:tcW w:w="0" w:type="auto"/>
            <w:shd w:val="clear"/>
            <w:noWrap/>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000000"/>
                <w:sz w:val="22"/>
                <w:szCs w:val="22"/>
              </w:rPr>
              <w:t>统 计 指 标</w:t>
            </w:r>
          </w:p>
        </w:tc>
        <w:tc>
          <w:tcPr>
            <w:tcW w:w="0" w:type="auto"/>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000000"/>
                <w:sz w:val="22"/>
                <w:szCs w:val="22"/>
              </w:rPr>
              <w:t>单位</w:t>
            </w:r>
          </w:p>
        </w:tc>
        <w:tc>
          <w:tcPr>
            <w:tcW w:w="0" w:type="auto"/>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000000"/>
                <w:sz w:val="22"/>
                <w:szCs w:val="22"/>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一、主动公开情况</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auto"/>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（一）主动公开政府信息数</w:t>
            </w:r>
            <w:r>
              <w:rPr>
                <w:rFonts w:hint="eastAsia" w:ascii="MS Mincho" w:hAnsi="MS Mincho" w:eastAsia="宋体" w:cs="MS Mincho"/>
                <w:color w:val="000000"/>
                <w:sz w:val="22"/>
                <w:szCs w:val="22"/>
                <w:lang w:eastAsia="zh-CN"/>
              </w:rPr>
              <w:t xml:space="preserve">  </w:t>
            </w:r>
          </w:p>
        </w:tc>
        <w:tc>
          <w:tcPr>
            <w:tcW w:w="0" w:type="auto"/>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（不同渠道和方式公开相同信息计1条）</w:t>
            </w:r>
            <w:r>
              <w:rPr>
                <w:rFonts w:hint="eastAsia" w:ascii="MS Mincho" w:hAnsi="MS Mincho" w:eastAsia="宋体" w:cs="MS Mincho"/>
                <w:color w:val="000000"/>
                <w:sz w:val="22"/>
                <w:szCs w:val="22"/>
                <w:lang w:eastAsia="zh-CN"/>
              </w:rPr>
              <w:t xml:space="preserve">    </w:t>
            </w:r>
          </w:p>
        </w:tc>
        <w:tc>
          <w:tcPr>
            <w:tcW w:w="0" w:type="auto"/>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Arial" w:hAnsi="Arial" w:cs="Arial"/>
                <w:sz w:val="18"/>
                <w:szCs w:val="18"/>
              </w:rPr>
            </w:pPr>
          </w:p>
        </w:tc>
        <w:tc>
          <w:tcPr>
            <w:tcW w:w="0" w:type="auto"/>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其中：主动公开规范性文件数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制发规范性文件总数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auto"/>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（二）重点领域公开政府信息数</w:t>
            </w:r>
            <w:r>
              <w:rPr>
                <w:rFonts w:hint="eastAsia" w:ascii="MS Mincho" w:hAnsi="MS Mincho" w:eastAsia="宋体" w:cs="MS Mincho"/>
                <w:color w:val="000000"/>
                <w:sz w:val="22"/>
                <w:szCs w:val="22"/>
                <w:lang w:eastAsia="zh-CN"/>
              </w:rPr>
              <w:t xml:space="preserve">  </w:t>
            </w:r>
          </w:p>
        </w:tc>
        <w:tc>
          <w:tcPr>
            <w:tcW w:w="0" w:type="auto"/>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（不同渠道和方式公开相同信息计1条）</w:t>
            </w:r>
            <w:r>
              <w:rPr>
                <w:rFonts w:hint="eastAsia" w:ascii="MS Mincho" w:hAnsi="MS Mincho" w:eastAsia="宋体" w:cs="MS Mincho"/>
                <w:color w:val="000000"/>
                <w:sz w:val="22"/>
                <w:szCs w:val="22"/>
                <w:lang w:eastAsia="zh-CN"/>
              </w:rPr>
              <w:t xml:space="preserve">    </w:t>
            </w:r>
          </w:p>
        </w:tc>
        <w:tc>
          <w:tcPr>
            <w:tcW w:w="0" w:type="auto"/>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Arial" w:hAnsi="Arial" w:cs="Arial"/>
                <w:sz w:val="18"/>
                <w:szCs w:val="18"/>
              </w:rPr>
            </w:pPr>
          </w:p>
        </w:tc>
        <w:tc>
          <w:tcPr>
            <w:tcW w:w="0" w:type="auto"/>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其中：主动公开财政预算决算、“三公经费”和行政经费信息数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主动公开保障性安居工程建设计划、项目开工和竣工情况，保障性住房的分配和退出等信息数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主动公开食品安全标准，食品生产经营许可、专项检查整治等信息数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主动公开环境核查审批、环境状况公报和重特大突发环境事件等信息数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主动公开招投标违法违规行为及处理情况、国有资金占控股或者主导地位依法应当招标的项目等信息数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主动公开生产安全事故的政府举措、处置进展、风险预警、防范措施等信息数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主动公开农用地转为建设用地批准、征收集体土地批准、征地公告、征地补偿安置公示、集体土地征收结案等信息数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主动公开政府指导价、政府定价和收费标准调整的项目、价格、依据、执行时间和范围等信息数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主动公开本市企业信用信息系统中的警示信息和良好信息等信息数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主动公开政府部门预算执行审计结果等信息数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主动公开行政机关对与人民群众利益密切相关的公共企事业单位进行监督管理的信息数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主动公开市人民政府决定主动公开的其他信息数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（三）通过不同渠道和方式公开政府信息的情况</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1.政府公报公开政府信息数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2.政府网站公开政府信息数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3.政务微博公开政府信息数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4.政务微信公开政府信息数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5.其他方式公开政府信息数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二、回应解读情况</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auto"/>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（一）回应公众关注热点或重大舆情数</w:t>
            </w:r>
            <w:r>
              <w:rPr>
                <w:rFonts w:hint="eastAsia" w:ascii="MS Mincho" w:hAnsi="MS Mincho" w:eastAsia="宋体" w:cs="MS Mincho"/>
                <w:color w:val="000000"/>
                <w:sz w:val="22"/>
                <w:szCs w:val="22"/>
                <w:lang w:eastAsia="zh-CN"/>
              </w:rPr>
              <w:t xml:space="preserve">  </w:t>
            </w:r>
          </w:p>
        </w:tc>
        <w:tc>
          <w:tcPr>
            <w:tcW w:w="0" w:type="auto"/>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（不同方式回应同一热点或舆情计1次）</w:t>
            </w:r>
            <w:r>
              <w:rPr>
                <w:rFonts w:hint="eastAsia" w:ascii="MS Mincho" w:hAnsi="MS Mincho" w:eastAsia="宋体" w:cs="MS Mincho"/>
                <w:color w:val="000000"/>
                <w:sz w:val="22"/>
                <w:szCs w:val="22"/>
                <w:lang w:eastAsia="zh-CN"/>
              </w:rPr>
              <w:t xml:space="preserve">     </w:t>
            </w:r>
          </w:p>
        </w:tc>
        <w:tc>
          <w:tcPr>
            <w:tcW w:w="0" w:type="auto"/>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Arial" w:hAnsi="Arial" w:cs="Arial"/>
                <w:sz w:val="18"/>
                <w:szCs w:val="18"/>
              </w:rPr>
            </w:pPr>
          </w:p>
        </w:tc>
        <w:tc>
          <w:tcPr>
            <w:tcW w:w="0" w:type="auto"/>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（二）通过不同渠道和方式回应解读的情况</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1.参加或举办新闻发布会总次数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其中：主要负责同志参加新闻发布会次数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2.政府网站在线访谈次数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其中：主要负责同志参加政府网站在线访谈次数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3.政策解读稿件发布数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篇</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4.微博微信回应事件数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5.其他方式回应事件数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三、依申请公开情况</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（一）收到申请数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1.当面申请数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2.传真申请数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3.网络申请数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4.信函申请数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（二）申请办结数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1.按时办结数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2.延期办结数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（三）申请答复数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1.属于已主动公开范围数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2.同意公开答复数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3.同意部分公开答复数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4.不同意公开答复数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其中：涉及国家秘密</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涉及商业秘密</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涉及个人隐私</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危及国家安全、公共安全、经济安全和社会稳定</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不是《条例》所指政府信息</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法律法规规定的其他情形</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5.不属于本行政机关公开数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6.申请信息不存在数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7.告知作出更改补充数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8.告知通过其他途径办理数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四、行政复议数量</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（一）维持具体行政行为数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（二）被依法纠错数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（三）其他情形数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五、行政诉讼数量</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（一）维持具体行政行为或者驳回原告诉讼请求数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（二）被依法纠错数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（三）其他情形数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六、举报投诉数量</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件</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七、依申请公开信息收取的费用</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元</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八、机构建设和保障经费情况</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（一）政府信息公开工作专门机构数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个</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（二）设置政府信息公开查阅点数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个</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（三）从事政府信息公开工作人员数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人</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1.专职人员数（不包括政府公报及政府网站工作人员数）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人</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2.兼职人员数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人</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（四）政府信息公开专项经费（不包括用于政府公报编辑管理及政府网站建设维护等方面的经费）</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元</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235843.60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b/>
                <w:bCs/>
                <w:color w:val="000000"/>
                <w:sz w:val="22"/>
                <w:szCs w:val="22"/>
              </w:rPr>
              <w:t>九、政府信息公开会议和培训情况</w:t>
            </w:r>
            <w:r>
              <w:rPr>
                <w:rFonts w:hint="eastAsia" w:ascii="MS Mincho" w:hAnsi="MS Mincho" w:eastAsia="宋体" w:cs="MS Mincho"/>
                <w:b/>
                <w:bCs/>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（一）召开政府信息公开工作会议或专题会议数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（二）举办各类培训班数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宋体" w:hAnsi="宋体" w:eastAsia="宋体" w:cs="宋体"/>
                <w:color w:val="000000"/>
                <w:sz w:val="22"/>
                <w:szCs w:val="22"/>
              </w:rPr>
              <w:t>（三）接受培训人员数</w:t>
            </w:r>
            <w:r>
              <w:rPr>
                <w:rFonts w:hint="eastAsia" w:ascii="MS Mincho" w:hAnsi="MS Mincho" w:eastAsia="宋体" w:cs="MS Mincho"/>
                <w:color w:val="000000"/>
                <w:sz w:val="22"/>
                <w:szCs w:val="22"/>
                <w:lang w:eastAsia="zh-CN"/>
              </w:rPr>
              <w:t xml:space="preserve">  </w:t>
            </w:r>
          </w:p>
        </w:tc>
        <w:tc>
          <w:tcPr>
            <w:tcW w:w="0" w:type="auto"/>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人次</w:t>
            </w:r>
          </w:p>
        </w:tc>
        <w:tc>
          <w:tcPr>
            <w:tcW w:w="0" w:type="auto"/>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2"/>
                <w:szCs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noWrap/>
            <w:tcMar>
              <w:left w:w="108" w:type="dxa"/>
              <w:right w:w="108" w:type="dxa"/>
            </w:tcMar>
            <w:vAlign w:val="center"/>
          </w:tcPr>
          <w:p>
            <w:pPr>
              <w:rPr>
                <w:rFonts w:hint="default" w:ascii="Arial" w:hAnsi="Arial" w:cs="Arial"/>
                <w:sz w:val="18"/>
                <w:szCs w:val="18"/>
              </w:rPr>
            </w:pPr>
          </w:p>
        </w:tc>
        <w:tc>
          <w:tcPr>
            <w:tcW w:w="0" w:type="auto"/>
            <w:shd w:val="clear"/>
            <w:noWrap/>
            <w:tcMar>
              <w:left w:w="108" w:type="dxa"/>
              <w:right w:w="108" w:type="dxa"/>
            </w:tcMar>
            <w:vAlign w:val="center"/>
          </w:tcPr>
          <w:p>
            <w:pPr>
              <w:rPr>
                <w:rFonts w:hint="default" w:ascii="Arial" w:hAnsi="Arial" w:cs="Arial"/>
                <w:sz w:val="18"/>
                <w:szCs w:val="18"/>
              </w:rPr>
            </w:pPr>
          </w:p>
        </w:tc>
        <w:tc>
          <w:tcPr>
            <w:tcW w:w="0" w:type="auto"/>
            <w:gridSpan w:val="2"/>
            <w:shd w:val="clear"/>
            <w:noWrap/>
            <w:tcMar>
              <w:left w:w="108" w:type="dxa"/>
              <w:right w:w="108" w:type="dxa"/>
            </w:tcMar>
            <w:vAlign w:val="center"/>
          </w:tcPr>
          <w:p>
            <w:pPr>
              <w:rPr>
                <w:rFonts w:hint="default"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2" w:hRule="atLeast"/>
        </w:trPr>
        <w:tc>
          <w:tcPr>
            <w:tcW w:w="0" w:type="auto"/>
            <w:gridSpan w:val="4"/>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2"/>
                <w:szCs w:val="22"/>
              </w:rPr>
              <w:t>单位负责人：韩桂东</w:t>
            </w:r>
            <w:r>
              <w:rPr>
                <w:rFonts w:hint="eastAsia" w:ascii="Arial" w:hAnsi="Arial" w:eastAsia="宋体" w:cs="Arial"/>
                <w:color w:val="000000"/>
                <w:sz w:val="22"/>
                <w:szCs w:val="22"/>
                <w:lang w:eastAsia="zh-CN"/>
              </w:rPr>
              <w:t xml:space="preserve"> </w:t>
            </w:r>
            <w:r>
              <w:rPr>
                <w:rFonts w:hint="eastAsia" w:ascii="Arial" w:hAnsi="Arial" w:cs="Arial"/>
                <w:color w:val="000000"/>
                <w:sz w:val="22"/>
                <w:szCs w:val="22"/>
                <w:lang w:eastAsia="zh-CN"/>
              </w:rPr>
              <w:t xml:space="preserve">     </w:t>
            </w:r>
            <w:r>
              <w:rPr>
                <w:rFonts w:hint="default" w:ascii="Arial" w:hAnsi="Arial" w:cs="Arial"/>
                <w:color w:val="000000"/>
                <w:sz w:val="22"/>
                <w:szCs w:val="22"/>
              </w:rPr>
              <w:t xml:space="preserve">  </w:t>
            </w:r>
            <w:r>
              <w:rPr>
                <w:rFonts w:hint="eastAsia" w:ascii="宋体" w:hAnsi="宋体" w:eastAsia="宋体" w:cs="宋体"/>
                <w:color w:val="000000"/>
                <w:sz w:val="22"/>
                <w:szCs w:val="22"/>
              </w:rPr>
              <w:t>审核人：李瑾</w:t>
            </w:r>
            <w:r>
              <w:rPr>
                <w:rFonts w:hint="eastAsia" w:ascii="Arial" w:hAnsi="Arial" w:eastAsia="宋体" w:cs="Arial"/>
                <w:color w:val="000000"/>
                <w:sz w:val="22"/>
                <w:szCs w:val="22"/>
                <w:lang w:eastAsia="zh-CN"/>
              </w:rPr>
              <w:t xml:space="preserve"> </w:t>
            </w:r>
            <w:r>
              <w:rPr>
                <w:rFonts w:hint="eastAsia" w:ascii="Arial" w:hAnsi="Arial" w:cs="Arial"/>
                <w:color w:val="000000"/>
                <w:sz w:val="22"/>
                <w:szCs w:val="22"/>
                <w:lang w:eastAsia="zh-CN"/>
              </w:rPr>
              <w:t xml:space="preserve">        </w:t>
            </w:r>
            <w:r>
              <w:rPr>
                <w:rFonts w:hint="default" w:ascii="Arial" w:hAnsi="Arial" w:cs="Arial"/>
                <w:color w:val="000000"/>
                <w:sz w:val="22"/>
                <w:szCs w:val="22"/>
              </w:rPr>
              <w:t xml:space="preserve"> </w:t>
            </w:r>
            <w:r>
              <w:rPr>
                <w:rFonts w:hint="eastAsia" w:ascii="宋体" w:hAnsi="宋体" w:eastAsia="宋体" w:cs="宋体"/>
                <w:color w:val="000000"/>
                <w:sz w:val="22"/>
                <w:szCs w:val="22"/>
              </w:rPr>
              <w:t>填报人：郭昊</w:t>
            </w:r>
          </w:p>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olor w:val="000000"/>
                <w:sz w:val="22"/>
                <w:szCs w:val="22"/>
              </w:rPr>
              <w:t>联系电话：</w:t>
            </w:r>
            <w:r>
              <w:rPr>
                <w:rFonts w:hint="eastAsia" w:ascii="Arial" w:hAnsi="Arial" w:eastAsia="宋体" w:cs="Arial"/>
                <w:color w:val="000000"/>
                <w:sz w:val="22"/>
                <w:szCs w:val="22"/>
                <w:lang w:eastAsia="zh-CN"/>
              </w:rPr>
              <w:t xml:space="preserve"> </w:t>
            </w:r>
            <w:r>
              <w:rPr>
                <w:rFonts w:hint="default" w:ascii="Arial" w:hAnsi="Arial" w:cs="Arial"/>
                <w:color w:val="000000"/>
                <w:sz w:val="22"/>
                <w:szCs w:val="22"/>
              </w:rPr>
              <w:t>67383368</w:t>
            </w:r>
            <w:r>
              <w:rPr>
                <w:rFonts w:hint="eastAsia" w:ascii="Arial" w:hAnsi="Arial" w:cs="Arial"/>
                <w:color w:val="000000"/>
                <w:sz w:val="22"/>
                <w:szCs w:val="22"/>
                <w:lang w:eastAsia="zh-CN"/>
              </w:rPr>
              <w:t xml:space="preserve">                     </w:t>
            </w:r>
            <w:r>
              <w:rPr>
                <w:rFonts w:hint="eastAsia" w:ascii="宋体" w:hAnsi="宋体" w:eastAsia="宋体" w:cs="宋体"/>
                <w:color w:val="000000"/>
                <w:sz w:val="22"/>
                <w:szCs w:val="22"/>
              </w:rPr>
              <w:t>填报日期：2017.2</w:t>
            </w:r>
          </w:p>
        </w:tc>
      </w:tr>
    </w:tbl>
    <w:p>
      <w:pPr>
        <w:pStyle w:val="2"/>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 w:hAnsi="仿宋" w:eastAsia="仿宋" w:cs="仿宋"/>
          <w:sz w:val="32"/>
          <w:szCs w:val="32"/>
        </w:rPr>
        <w:t>北京市朝阳区人民政府垡头街道办事处</w:t>
      </w:r>
    </w:p>
    <w:p>
      <w:pPr>
        <w:pStyle w:val="2"/>
        <w:keepNext w:val="0"/>
        <w:keepLines w:val="0"/>
        <w:widowControl/>
        <w:suppressLineNumbers w:val="0"/>
        <w:wordWrap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 w:hAnsi="仿宋" w:eastAsia="仿宋" w:cs="仿宋"/>
          <w:sz w:val="32"/>
          <w:szCs w:val="32"/>
        </w:rPr>
        <w:t xml:space="preserve">二〇一七年三月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dhNzhkNGYxOTExNDIxMTQyOWYxZmQ1NTMyMDUifQ=="/>
  </w:docVars>
  <w:rsids>
    <w:rsidRoot w:val="00000000"/>
    <w:rsid w:val="5FEC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3660</Words>
  <Characters>3819</Characters>
  <Lines>0</Lines>
  <Paragraphs>0</Paragraphs>
  <TotalTime>2</TotalTime>
  <ScaleCrop>false</ScaleCrop>
  <LinksUpToDate>false</LinksUpToDate>
  <CharactersWithSpaces>3864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2023-08-11T08:37:38Z</dcterms:created>
  <dc:creator>user</dc:creator>
  <cp:lastModifiedBy>admin</cp:lastModifiedBy>
  <dcterms:modified xsi:type="dcterms:W3CDTF">2023-08-11T08:40:14Z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B926F8BB07DD4862839D0B85A23E45F4_12</vt:lpwstr>
  </property>
</Properties>
</file>