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both"/>
        <w:rPr>
          <w:rFonts w:hint="eastAsia"/>
          <w:color w:val="auto"/>
          <w:highlight w:val="none"/>
        </w:rPr>
      </w:pPr>
      <w:bookmarkStart w:id="220" w:name="_GoBack"/>
      <w:bookmarkEnd w:id="220"/>
      <w:r>
        <w:rPr>
          <w:rFonts w:hint="eastAsia" w:ascii="黑体" w:hAnsi="黑体" w:eastAsia="黑体" w:cs="黑体"/>
          <w:color w:val="auto"/>
          <w:sz w:val="28"/>
          <w:szCs w:val="28"/>
          <w:highlight w:val="none"/>
          <w:lang w:eastAsia="zh-CN"/>
        </w:rPr>
        <w:t>附件</w:t>
      </w: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p>
    <w:p>
      <w:pPr>
        <w:bidi w:val="0"/>
        <w:jc w:val="center"/>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【20</w:t>
      </w:r>
      <w:r>
        <w:rPr>
          <w:rFonts w:hint="eastAsia" w:ascii="方正小标宋简体" w:hAnsi="方正小标宋简体" w:eastAsia="方正小标宋简体" w:cs="方正小标宋简体"/>
          <w:color w:val="auto"/>
          <w:sz w:val="32"/>
          <w:szCs w:val="32"/>
          <w:highlight w:val="none"/>
          <w:lang w:val="en-US" w:eastAsia="zh-CN"/>
        </w:rPr>
        <w:t>25.3-4  古树名木条例，收回职权</w:t>
      </w:r>
      <w:r>
        <w:rPr>
          <w:rFonts w:hint="eastAsia" w:ascii="方正小标宋简体" w:hAnsi="方正小标宋简体" w:eastAsia="方正小标宋简体" w:cs="方正小标宋简体"/>
          <w:color w:val="auto"/>
          <w:sz w:val="32"/>
          <w:szCs w:val="32"/>
          <w:highlight w:val="none"/>
          <w:lang w:eastAsia="zh-CN"/>
        </w:rPr>
        <w:t>】</w:t>
      </w:r>
    </w:p>
    <w:p>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sdtPr>
      <w:sdtEndPr>
        <w:rPr>
          <w:rFonts w:hint="default" w:ascii="Times New Roman" w:hAnsi="Times New Roman"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pPr>
            <w:pStyle w:val="19"/>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_Toc526440799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_Toc526440799 \h </w:instrText>
          </w:r>
          <w:r>
            <w:fldChar w:fldCharType="separate"/>
          </w:r>
          <w:r>
            <w:t>1</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_Toc1144378001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_Toc1144378001 \h </w:instrText>
          </w:r>
          <w:r>
            <w:fldChar w:fldCharType="separate"/>
          </w:r>
          <w:r>
            <w:t>1</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_Toc599974242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_Toc599974242 \h </w:instrText>
          </w:r>
          <w:r>
            <w:fldChar w:fldCharType="separate"/>
          </w:r>
          <w:r>
            <w:t>10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_Toc1887098234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_Toc1887098234 \h </w:instrText>
          </w:r>
          <w:r>
            <w:fldChar w:fldCharType="separate"/>
          </w:r>
          <w:r>
            <w:t>20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_Toc1280965736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_Toc1280965736 \h </w:instrText>
          </w:r>
          <w:r>
            <w:fldChar w:fldCharType="separate"/>
          </w:r>
          <w:r>
            <w:t>22</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_Toc1752345302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_Toc1752345302 \h </w:instrText>
          </w:r>
          <w:r>
            <w:fldChar w:fldCharType="separate"/>
          </w:r>
          <w:r>
            <w:t>25</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_Toc1651336954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_Toc1651336954 \h </w:instrText>
          </w:r>
          <w:r>
            <w:fldChar w:fldCharType="separate"/>
          </w:r>
          <w:r>
            <w:t>29</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_Toc172958056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_Toc172958056 \h </w:instrText>
          </w:r>
          <w:r>
            <w:fldChar w:fldCharType="separate"/>
          </w:r>
          <w:r>
            <w:t>29</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_Toc145735833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_Toc145735833 \h </w:instrText>
          </w:r>
          <w:r>
            <w:fldChar w:fldCharType="separate"/>
          </w:r>
          <w:r>
            <w:t>29</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_Toc1140185292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_Toc1140185292 \h </w:instrText>
          </w:r>
          <w:r>
            <w:fldChar w:fldCharType="separate"/>
          </w:r>
          <w:r>
            <w:t>32</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_Toc1213367316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_Toc1213367316 \h </w:instrText>
          </w:r>
          <w:r>
            <w:fldChar w:fldCharType="separate"/>
          </w:r>
          <w:r>
            <w:t>33</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_Toc1597996495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_Toc1597996495 \h </w:instrText>
          </w:r>
          <w:r>
            <w:fldChar w:fldCharType="separate"/>
          </w:r>
          <w:r>
            <w:t>34</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_Toc1748480692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_Toc1748480692 \h </w:instrText>
          </w:r>
          <w:r>
            <w:fldChar w:fldCharType="separate"/>
          </w:r>
          <w:r>
            <w:t>42</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_Toc1377620528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_Toc1377620528 \h </w:instrText>
          </w:r>
          <w:r>
            <w:fldChar w:fldCharType="separate"/>
          </w:r>
          <w:r>
            <w:t>42</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_Toc39814009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_Toc39814009 \h </w:instrText>
          </w:r>
          <w:r>
            <w:fldChar w:fldCharType="separate"/>
          </w:r>
          <w:r>
            <w:t>42</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_Toc1498766390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_Toc1498766390 \h </w:instrText>
          </w:r>
          <w:r>
            <w:fldChar w:fldCharType="separate"/>
          </w:r>
          <w:r>
            <w:t>43</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_Toc1839556778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_Toc1839556778 \h </w:instrText>
          </w:r>
          <w:r>
            <w:fldChar w:fldCharType="separate"/>
          </w:r>
          <w:r>
            <w:t>44</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_Toc1866286370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_Toc1866286370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_Toc1709548156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_Toc1709548156 \h </w:instrText>
          </w:r>
          <w:r>
            <w:fldChar w:fldCharType="separate"/>
          </w:r>
          <w:r>
            <w:t>45</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_Toc1607059839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_Toc1607059839 \h </w:instrText>
          </w:r>
          <w:r>
            <w:fldChar w:fldCharType="separate"/>
          </w:r>
          <w:r>
            <w:t>45</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_Toc175167693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_Toc175167693 \h </w:instrText>
          </w:r>
          <w:r>
            <w:fldChar w:fldCharType="separate"/>
          </w:r>
          <w:r>
            <w:t>46</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_Toc1724920233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_Toc1724920233 \h </w:instrText>
          </w:r>
          <w:r>
            <w:fldChar w:fldCharType="separate"/>
          </w:r>
          <w:r>
            <w:t>46</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_Toc884119906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_Toc884119906 \h </w:instrText>
          </w:r>
          <w:r>
            <w:fldChar w:fldCharType="separate"/>
          </w:r>
          <w:r>
            <w:t>49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_Toc782261727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_Toc782261727 \h </w:instrText>
          </w:r>
          <w:r>
            <w:fldChar w:fldCharType="separate"/>
          </w:r>
          <w:r>
            <w:t>50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_Toc333158386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_Toc333158386 \h </w:instrText>
          </w:r>
          <w:r>
            <w:fldChar w:fldCharType="separate"/>
          </w:r>
          <w:r>
            <w:t>50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_Toc1483790773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_Toc1483790773 \h </w:instrText>
          </w:r>
          <w:r>
            <w:fldChar w:fldCharType="separate"/>
          </w:r>
          <w:r>
            <w:t>60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_Toc1517927781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_Toc1517927781 \h </w:instrText>
          </w:r>
          <w:r>
            <w:fldChar w:fldCharType="separate"/>
          </w:r>
          <w:r>
            <w:t>70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_Toc2108634677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_Toc2108634677 \h </w:instrText>
          </w:r>
          <w:r>
            <w:fldChar w:fldCharType="separate"/>
          </w:r>
          <w:r>
            <w:t>70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_Toc1514974869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_Toc1514974869 \h </w:instrText>
          </w:r>
          <w:r>
            <w:fldChar w:fldCharType="separate"/>
          </w:r>
          <w:r>
            <w:t>71</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_Toc819278804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_Toc819278804 \h </w:instrText>
          </w:r>
          <w:r>
            <w:fldChar w:fldCharType="separate"/>
          </w:r>
          <w:r>
            <w:t>74</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_Toc1311839352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_Toc1311839352 \h </w:instrText>
          </w:r>
          <w:r>
            <w:fldChar w:fldCharType="separate"/>
          </w:r>
          <w:r>
            <w:t>74</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_Toc2041415668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_Toc2041415668 \h </w:instrText>
          </w:r>
          <w:r>
            <w:fldChar w:fldCharType="separate"/>
          </w:r>
          <w:r>
            <w:t>74</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_Toc1963656805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_Toc1963656805 \h </w:instrText>
          </w:r>
          <w:r>
            <w:fldChar w:fldCharType="separate"/>
          </w:r>
          <w:r>
            <w:t>78</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_Toc1911813594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_Toc1911813594 \h </w:instrText>
          </w:r>
          <w:r>
            <w:fldChar w:fldCharType="separate"/>
          </w:r>
          <w:r>
            <w:t>79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_Toc1781030255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_Toc1781030255 \h </w:instrText>
          </w:r>
          <w:r>
            <w:fldChar w:fldCharType="separate"/>
          </w:r>
          <w:r>
            <w:t>80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_Toc1097138893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_Toc1097138893 \h </w:instrText>
          </w:r>
          <w:r>
            <w:fldChar w:fldCharType="separate"/>
          </w:r>
          <w:r>
            <w:t>80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_Toc1516675248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_Toc1516675248 \h </w:instrText>
          </w:r>
          <w:r>
            <w:fldChar w:fldCharType="separate"/>
          </w:r>
          <w:r>
            <w:t>84</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_Toc1284883561 </w:instrText>
          </w:r>
          <w:r>
            <w:rPr>
              <w:highlight w:val="none"/>
            </w:rPr>
            <w:fldChar w:fldCharType="separate"/>
          </w:r>
          <w:r>
            <w:rPr>
              <w:rFonts w:hint="eastAsia" w:cs="宋体" w:asciiTheme="minorEastAsia" w:hAnsiTheme="minorEastAsia" w:eastAsiaTheme="minorEastAsia"/>
              <w:szCs w:val="21"/>
              <w:highlight w:val="none"/>
            </w:rPr>
            <w:t>《古树名木保护条例》案由11项</w:t>
          </w:r>
          <w:r>
            <w:tab/>
          </w:r>
          <w:r>
            <w:fldChar w:fldCharType="begin"/>
          </w:r>
          <w:r>
            <w:instrText xml:space="preserve"> PAGEREF _Toc1284883561 \h </w:instrText>
          </w:r>
          <w:r>
            <w:fldChar w:fldCharType="separate"/>
          </w:r>
          <w:r>
            <w:t>84</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_Toc1270096950 </w:instrText>
          </w:r>
          <w:r>
            <w:rPr>
              <w:highlight w:val="none"/>
            </w:rPr>
            <w:fldChar w:fldCharType="separate"/>
          </w:r>
          <w:r>
            <w:rPr>
              <w:rFonts w:hint="eastAsia"/>
            </w:rPr>
            <w:t>《北京市古树名木保护管理条例》案由</w:t>
          </w:r>
          <w:r>
            <w:rPr>
              <w:rFonts w:hint="eastAsia"/>
              <w:lang w:val="en-US" w:eastAsia="zh-CN"/>
            </w:rPr>
            <w:t>3项</w:t>
          </w:r>
          <w:r>
            <w:tab/>
          </w:r>
          <w:r>
            <w:fldChar w:fldCharType="begin"/>
          </w:r>
          <w:r>
            <w:instrText xml:space="preserve"> PAGEREF _Toc1270096950 \h </w:instrText>
          </w:r>
          <w:r>
            <w:fldChar w:fldCharType="separate"/>
          </w:r>
          <w:r>
            <w:t>89</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_Toc1662411082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_Toc1662411082 \h </w:instrText>
          </w:r>
          <w:r>
            <w:fldChar w:fldCharType="separate"/>
          </w:r>
          <w:r>
            <w:t>89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_Toc277585206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_Toc277585206 \h </w:instrText>
          </w:r>
          <w:r>
            <w:fldChar w:fldCharType="separate"/>
          </w:r>
          <w:r>
            <w:t>92</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_Toc335980618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_Toc335980618 \h </w:instrText>
          </w:r>
          <w:r>
            <w:fldChar w:fldCharType="separate"/>
          </w:r>
          <w:r>
            <w:t>92</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_Toc1112923929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_Toc1112923929 \h </w:instrText>
          </w:r>
          <w:r>
            <w:fldChar w:fldCharType="separate"/>
          </w:r>
          <w:r>
            <w:t>95</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_Toc2026065898 </w:instrText>
          </w:r>
          <w:r>
            <w:rPr>
              <w:highlight w:val="none"/>
            </w:rPr>
            <w:fldChar w:fldCharType="separate"/>
          </w:r>
          <w:r>
            <w:rPr>
              <w:rFonts w:hint="eastAsia" w:asciiTheme="minorEastAsia" w:hAnsiTheme="minorEastAsia" w:eastAsiaTheme="minorEastAsia"/>
              <w:szCs w:val="21"/>
              <w:highlight w:val="none"/>
            </w:rPr>
            <w:t>《北京市环境噪声污染防治办法》案由</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w:t>
          </w:r>
          <w:r>
            <w:tab/>
          </w:r>
          <w:r>
            <w:fldChar w:fldCharType="begin"/>
          </w:r>
          <w:r>
            <w:instrText xml:space="preserve"> PAGEREF _Toc2026065898 \h </w:instrText>
          </w:r>
          <w:r>
            <w:fldChar w:fldCharType="separate"/>
          </w:r>
          <w:r>
            <w:t>96</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_Toc1713601146 </w:instrText>
          </w:r>
          <w:r>
            <w:rPr>
              <w:highlight w:val="none"/>
            </w:rPr>
            <w:fldChar w:fldCharType="separate"/>
          </w:r>
          <w:r>
            <w:rPr>
              <w:rFonts w:hint="eastAsia" w:asciiTheme="minorEastAsia" w:hAnsiTheme="minorEastAsia" w:eastAsiaTheme="minorEastAsia"/>
              <w:szCs w:val="21"/>
              <w:highlight w:val="none"/>
            </w:rPr>
            <w:t>《中华人民共和国噪声污染防治法》案由</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项</w:t>
          </w:r>
          <w:r>
            <w:tab/>
          </w:r>
          <w:r>
            <w:fldChar w:fldCharType="begin"/>
          </w:r>
          <w:r>
            <w:instrText xml:space="preserve"> PAGEREF _Toc1713601146 \h </w:instrText>
          </w:r>
          <w:r>
            <w:fldChar w:fldCharType="separate"/>
          </w:r>
          <w:r>
            <w:t>97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_Toc1152737938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_Toc1152737938 \h </w:instrText>
          </w:r>
          <w:r>
            <w:fldChar w:fldCharType="separate"/>
          </w:r>
          <w:r>
            <w:t>98</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_Toc1377348640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_Toc1377348640 \h </w:instrText>
          </w:r>
          <w:r>
            <w:fldChar w:fldCharType="separate"/>
          </w:r>
          <w:r>
            <w:t>98</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_Toc1405674276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_Toc1405674276 \h </w:instrText>
          </w:r>
          <w:r>
            <w:fldChar w:fldCharType="separate"/>
          </w:r>
          <w:r>
            <w:t>100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_Toc871540661 </w:instrText>
          </w:r>
          <w:r>
            <w:rPr>
              <w:highlight w:val="none"/>
            </w:rPr>
            <w:fldChar w:fldCharType="separate"/>
          </w:r>
          <w:r>
            <w:rPr>
              <w:rFonts w:hint="eastAsia" w:ascii="黑体" w:hAnsi="黑体" w:eastAsia="黑体"/>
              <w:szCs w:val="36"/>
              <w:highlight w:val="none"/>
            </w:rPr>
            <w:t>停车场管理方面</w:t>
          </w:r>
          <w:r>
            <w:tab/>
          </w:r>
          <w:r>
            <w:fldChar w:fldCharType="begin"/>
          </w:r>
          <w:r>
            <w:instrText xml:space="preserve"> PAGEREF _Toc871540661 \h </w:instrText>
          </w:r>
          <w:r>
            <w:fldChar w:fldCharType="separate"/>
          </w:r>
          <w:r>
            <w:t>103</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_Toc939413149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_Toc939413149 \h </w:instrText>
          </w:r>
          <w:r>
            <w:fldChar w:fldCharType="separate"/>
          </w:r>
          <w:r>
            <w:t>103</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_Toc865250467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_Toc865250467 \h </w:instrText>
          </w:r>
          <w:r>
            <w:fldChar w:fldCharType="separate"/>
          </w:r>
          <w:r>
            <w:t>106</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_Toc1046708354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_Toc1046708354 \h </w:instrText>
          </w:r>
          <w:r>
            <w:fldChar w:fldCharType="separate"/>
          </w:r>
          <w:r>
            <w:t>107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_Toc516849734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_Toc516849734 \h </w:instrText>
          </w:r>
          <w:r>
            <w:fldChar w:fldCharType="separate"/>
          </w:r>
          <w:r>
            <w:t>108</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_Toc1749370373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_Toc1749370373 \h </w:instrText>
          </w:r>
          <w:r>
            <w:fldChar w:fldCharType="separate"/>
          </w:r>
          <w:r>
            <w:t>108</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_Toc1828970082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_Toc1828970082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_Toc850008120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_Toc850008120 \h </w:instrText>
          </w:r>
          <w:r>
            <w:fldChar w:fldCharType="separate"/>
          </w:r>
          <w:r>
            <w:t>109</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_Toc1085677499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_Toc1085677499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_Toc1199414215 </w:instrText>
          </w:r>
          <w:r>
            <w:rPr>
              <w:highlight w:val="none"/>
            </w:rPr>
            <w:fldChar w:fldCharType="separate"/>
          </w:r>
          <w:r>
            <w:rPr>
              <w:rFonts w:hint="eastAsia" w:ascii="黑体" w:hAnsi="黑体" w:eastAsia="黑体"/>
              <w:szCs w:val="36"/>
              <w:highlight w:val="none"/>
            </w:rPr>
            <w:t>城</w:t>
          </w:r>
          <w:r>
            <w:rPr>
              <w:rFonts w:hint="eastAsia" w:ascii="黑体" w:hAnsi="黑体" w:eastAsia="黑体"/>
              <w:szCs w:val="36"/>
              <w:highlight w:val="none"/>
              <w:lang w:eastAsia="zh-CN"/>
            </w:rPr>
            <w:t>乡</w:t>
          </w:r>
          <w:r>
            <w:rPr>
              <w:rFonts w:hint="eastAsia" w:ascii="黑体" w:hAnsi="黑体" w:eastAsia="黑体"/>
              <w:szCs w:val="36"/>
              <w:highlight w:val="none"/>
            </w:rPr>
            <w:t>规划管理方面</w:t>
          </w:r>
          <w:r>
            <w:tab/>
          </w:r>
          <w:r>
            <w:fldChar w:fldCharType="begin"/>
          </w:r>
          <w:r>
            <w:instrText xml:space="preserve"> PAGEREF _Toc1199414215 \h </w:instrText>
          </w:r>
          <w:r>
            <w:fldChar w:fldCharType="separate"/>
          </w:r>
          <w:r>
            <w:t>110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_Toc811159149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_Toc811159149 \h </w:instrText>
          </w:r>
          <w:r>
            <w:fldChar w:fldCharType="separate"/>
          </w:r>
          <w:r>
            <w:t>110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_Toc453168720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_Toc453168720 \h </w:instrText>
          </w:r>
          <w:r>
            <w:fldChar w:fldCharType="separate"/>
          </w:r>
          <w:r>
            <w:t>111</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_Toc2018693019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_Toc2018693019 \h </w:instrText>
          </w:r>
          <w:r>
            <w:fldChar w:fldCharType="separate"/>
          </w:r>
          <w:r>
            <w:t>111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_Toc2122998501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_Toc2122998501 \h </w:instrText>
          </w:r>
          <w:r>
            <w:fldChar w:fldCharType="separate"/>
          </w:r>
          <w:r>
            <w:t>111</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_Toc347100741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_Toc347100741 \h </w:instrText>
          </w:r>
          <w:r>
            <w:fldChar w:fldCharType="separate"/>
          </w:r>
          <w:r>
            <w:t>111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_Toc1834866177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_Toc1834866177 \h </w:instrText>
          </w:r>
          <w:r>
            <w:fldChar w:fldCharType="separate"/>
          </w:r>
          <w:r>
            <w:t>117</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_Toc1887328448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_Toc1887328448 \h </w:instrText>
          </w:r>
          <w:r>
            <w:fldChar w:fldCharType="separate"/>
          </w:r>
          <w:r>
            <w:t>117</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_Toc2128130996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_Toc2128130996 \h </w:instrText>
          </w:r>
          <w:r>
            <w:fldChar w:fldCharType="separate"/>
          </w:r>
          <w:r>
            <w:t>117</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_Toc784521422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_Toc784521422 \h </w:instrText>
          </w:r>
          <w:r>
            <w:fldChar w:fldCharType="separate"/>
          </w:r>
          <w:r>
            <w:t>118</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_Toc1256520048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_Toc1256520048 \h </w:instrText>
          </w:r>
          <w:r>
            <w:fldChar w:fldCharType="separate"/>
          </w:r>
          <w:r>
            <w:t>119</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_Toc1265530909 </w:instrText>
          </w:r>
          <w:r>
            <w:rPr>
              <w:highlight w:val="none"/>
            </w:rPr>
            <w:fldChar w:fldCharType="separate"/>
          </w:r>
          <w:r>
            <w:rPr>
              <w:rFonts w:hint="eastAsia"/>
              <w:szCs w:val="21"/>
              <w:lang w:val="en-US" w:eastAsia="zh-CN"/>
            </w:rPr>
            <w:t>《北京市优化营商环境条例》案由1项</w:t>
          </w:r>
          <w:r>
            <w:tab/>
          </w:r>
          <w:r>
            <w:fldChar w:fldCharType="begin"/>
          </w:r>
          <w:r>
            <w:instrText xml:space="preserve"> PAGEREF _Toc1265530909 \h </w:instrText>
          </w:r>
          <w:r>
            <w:fldChar w:fldCharType="separate"/>
          </w:r>
          <w:r>
            <w:t>120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_Toc2054618372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_Toc2054618372 \h </w:instrText>
          </w:r>
          <w:r>
            <w:fldChar w:fldCharType="separate"/>
          </w:r>
          <w:r>
            <w:t>120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_Toc771447482 </w:instrText>
          </w:r>
          <w:r>
            <w:rPr>
              <w:highlight w:val="none"/>
            </w:rPr>
            <w:fldChar w:fldCharType="separate"/>
          </w:r>
          <w:r>
            <w:rPr>
              <w:rFonts w:hint="eastAsia"/>
            </w:rPr>
            <w:t>国际交往语言环境建设方面</w:t>
          </w:r>
          <w:r>
            <w:tab/>
          </w:r>
          <w:r>
            <w:fldChar w:fldCharType="begin"/>
          </w:r>
          <w:r>
            <w:instrText xml:space="preserve"> PAGEREF _Toc771447482 \h </w:instrText>
          </w:r>
          <w:r>
            <w:fldChar w:fldCharType="separate"/>
          </w:r>
          <w:r>
            <w:t>125</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_Toc1543116115 </w:instrText>
          </w:r>
          <w:r>
            <w:rPr>
              <w:highlight w:val="none"/>
            </w:rPr>
            <w:fldChar w:fldCharType="separate"/>
          </w:r>
          <w:r>
            <w:rPr>
              <w:rFonts w:hint="eastAsia"/>
            </w:rPr>
            <w:t>《</w:t>
          </w:r>
          <w:r>
            <w:rPr>
              <w:rFonts w:hint="eastAsia"/>
              <w:lang w:val="zh-CN"/>
            </w:rPr>
            <w:t>北京市国际交往语言环境建设条例</w:t>
          </w:r>
          <w:r>
            <w:rPr>
              <w:rFonts w:hint="eastAsia"/>
            </w:rPr>
            <w:t>》案由4项</w:t>
          </w:r>
          <w:r>
            <w:tab/>
          </w:r>
          <w:r>
            <w:fldChar w:fldCharType="begin"/>
          </w:r>
          <w:r>
            <w:instrText xml:space="preserve"> PAGEREF _Toc1543116115 \h </w:instrText>
          </w:r>
          <w:r>
            <w:fldChar w:fldCharType="separate"/>
          </w:r>
          <w:r>
            <w:t>125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_Toc243115343 </w:instrText>
          </w:r>
          <w:r>
            <w:rPr>
              <w:highlight w:val="none"/>
            </w:rPr>
            <w:fldChar w:fldCharType="separate"/>
          </w:r>
          <w:r>
            <w:rPr>
              <w:rFonts w:hint="eastAsia"/>
              <w:szCs w:val="21"/>
            </w:rPr>
            <w:t>生态环境</w:t>
          </w:r>
          <w:r>
            <w:rPr>
              <w:rFonts w:hint="eastAsia"/>
              <w:szCs w:val="21"/>
              <w:lang w:eastAsia="zh-CN"/>
            </w:rPr>
            <w:t>下放</w:t>
          </w:r>
          <w:r>
            <w:rPr>
              <w:rFonts w:hint="eastAsia"/>
              <w:szCs w:val="21"/>
              <w:lang w:val="en-US" w:eastAsia="zh-CN"/>
            </w:rPr>
            <w:t>2</w:t>
          </w:r>
          <w:r>
            <w:rPr>
              <w:rFonts w:hint="eastAsia"/>
              <w:szCs w:val="21"/>
            </w:rPr>
            <w:t>项</w:t>
          </w:r>
          <w:r>
            <w:tab/>
          </w:r>
          <w:r>
            <w:fldChar w:fldCharType="begin"/>
          </w:r>
          <w:r>
            <w:instrText xml:space="preserve"> PAGEREF _Toc243115343 \h </w:instrText>
          </w:r>
          <w:r>
            <w:fldChar w:fldCharType="separate"/>
          </w:r>
          <w:r>
            <w:t>126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_Toc1884371412 </w:instrText>
          </w:r>
          <w:r>
            <w:rPr>
              <w:highlight w:val="none"/>
            </w:rPr>
            <w:fldChar w:fldCharType="separate"/>
          </w:r>
          <w:r>
            <w:rPr>
              <w:rFonts w:hint="eastAsia"/>
              <w:szCs w:val="21"/>
            </w:rPr>
            <w:t>水务管理方面</w:t>
          </w:r>
          <w:r>
            <w:rPr>
              <w:rFonts w:hint="eastAsia"/>
              <w:szCs w:val="21"/>
              <w:lang w:val="en-US" w:eastAsia="zh-CN"/>
            </w:rPr>
            <w:t>20</w:t>
          </w:r>
          <w:r>
            <w:rPr>
              <w:rFonts w:hint="eastAsia"/>
              <w:szCs w:val="21"/>
            </w:rPr>
            <w:t>项</w:t>
          </w:r>
          <w:r>
            <w:tab/>
          </w:r>
          <w:r>
            <w:fldChar w:fldCharType="begin"/>
          </w:r>
          <w:r>
            <w:instrText xml:space="preserve"> PAGEREF _Toc1884371412 \h </w:instrText>
          </w:r>
          <w:r>
            <w:fldChar w:fldCharType="separate"/>
          </w:r>
          <w:r>
            <w:t>126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_Toc1421698366 </w:instrText>
          </w:r>
          <w:r>
            <w:rPr>
              <w:highlight w:val="none"/>
            </w:rPr>
            <w:fldChar w:fldCharType="separate"/>
          </w:r>
          <w:r>
            <w:rPr>
              <w:rFonts w:hint="eastAsia"/>
              <w:szCs w:val="21"/>
            </w:rPr>
            <w:t>农业农村</w:t>
          </w:r>
          <w:r>
            <w:rPr>
              <w:rFonts w:hint="eastAsia"/>
              <w:szCs w:val="21"/>
              <w:lang w:eastAsia="zh-CN"/>
            </w:rPr>
            <w:t>下放</w:t>
          </w:r>
          <w:r>
            <w:rPr>
              <w:rFonts w:hint="eastAsia"/>
              <w:szCs w:val="21"/>
            </w:rPr>
            <w:t>1项</w:t>
          </w:r>
          <w:r>
            <w:tab/>
          </w:r>
          <w:r>
            <w:fldChar w:fldCharType="begin"/>
          </w:r>
          <w:r>
            <w:instrText xml:space="preserve"> PAGEREF _Toc1421698366 \h </w:instrText>
          </w:r>
          <w:r>
            <w:fldChar w:fldCharType="separate"/>
          </w:r>
          <w:r>
            <w:t>131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_Toc1956716489 </w:instrText>
          </w:r>
          <w:r>
            <w:rPr>
              <w:highlight w:val="none"/>
            </w:rPr>
            <w:fldChar w:fldCharType="separate"/>
          </w:r>
          <w:r>
            <w:rPr>
              <w:rFonts w:hint="eastAsia"/>
              <w:szCs w:val="21"/>
            </w:rPr>
            <w:t>卫生健康</w:t>
          </w:r>
          <w:r>
            <w:rPr>
              <w:rFonts w:hint="eastAsia"/>
              <w:szCs w:val="21"/>
              <w:lang w:eastAsia="zh-CN"/>
            </w:rPr>
            <w:t>下放</w:t>
          </w:r>
          <w:r>
            <w:rPr>
              <w:rFonts w:hint="eastAsia"/>
              <w:szCs w:val="21"/>
              <w:lang w:val="en-US" w:eastAsia="zh-CN"/>
            </w:rPr>
            <w:t>5</w:t>
          </w:r>
          <w:r>
            <w:rPr>
              <w:rFonts w:hint="eastAsia"/>
              <w:szCs w:val="21"/>
            </w:rPr>
            <w:t>项</w:t>
          </w:r>
          <w:r>
            <w:tab/>
          </w:r>
          <w:r>
            <w:fldChar w:fldCharType="begin"/>
          </w:r>
          <w:r>
            <w:instrText xml:space="preserve"> PAGEREF _Toc1956716489 \h </w:instrText>
          </w:r>
          <w:r>
            <w:fldChar w:fldCharType="separate"/>
          </w:r>
          <w:r>
            <w:t>131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_Toc889625702 </w:instrText>
          </w:r>
          <w:r>
            <w:rPr>
              <w:highlight w:val="none"/>
            </w:rPr>
            <w:fldChar w:fldCharType="separate"/>
          </w:r>
          <w:r>
            <w:rPr>
              <w:rFonts w:hint="eastAsia"/>
              <w:bCs/>
              <w:szCs w:val="21"/>
              <w:lang w:eastAsia="zh-CN"/>
            </w:rPr>
            <w:t>住房城乡建设下放</w:t>
          </w:r>
          <w:r>
            <w:rPr>
              <w:rFonts w:hint="eastAsia"/>
              <w:bCs/>
              <w:szCs w:val="21"/>
              <w:lang w:val="en-US" w:eastAsia="zh-CN"/>
            </w:rPr>
            <w:t>3项</w:t>
          </w:r>
          <w:r>
            <w:tab/>
          </w:r>
          <w:r>
            <w:fldChar w:fldCharType="begin"/>
          </w:r>
          <w:r>
            <w:instrText xml:space="preserve"> PAGEREF _Toc889625702 \h </w:instrText>
          </w:r>
          <w:r>
            <w:fldChar w:fldCharType="separate"/>
          </w:r>
          <w:r>
            <w:t>132</w:t>
          </w:r>
          <w:r>
            <w:fldChar w:fldCharType="end"/>
          </w:r>
          <w:r>
            <w:rPr>
              <w:color w:val="auto"/>
              <w:highlight w:val="none"/>
            </w:rPr>
            <w:fldChar w:fldCharType="end"/>
          </w:r>
        </w:p>
        <w:p>
          <w:pPr>
            <w:pStyle w:val="17"/>
            <w:tabs>
              <w:tab w:val="left" w:pos="1516"/>
            </w:tabs>
            <w:ind w:left="0" w:leftChars="0" w:firstLine="0" w:firstLineChars="0"/>
            <w:rPr>
              <w:color w:val="auto"/>
              <w:highlight w:val="none"/>
            </w:rPr>
          </w:pPr>
          <w:r>
            <w:rPr>
              <w:color w:val="auto"/>
              <w:highlight w:val="none"/>
            </w:rPr>
            <w:fldChar w:fldCharType="end"/>
          </w:r>
        </w:p>
      </w:sdtContent>
    </w:sdt>
    <w:p>
      <w:pPr>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pStyle w:val="17"/>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pPr>
        <w:pStyle w:val="17"/>
        <w:rPr>
          <w:rFonts w:hint="eastAsia"/>
          <w:color w:val="auto"/>
          <w:highlight w:val="none"/>
        </w:rPr>
      </w:pPr>
    </w:p>
    <w:tbl>
      <w:tblPr>
        <w:tblStyle w:val="29"/>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9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8"/>
                <w:szCs w:val="28"/>
                <w:highlight w:val="none"/>
              </w:rPr>
            </w:pPr>
            <w:bookmarkStart w:id="0" w:name="_Toc110851435"/>
            <w:bookmarkStart w:id="1" w:name="_Toc1748547838"/>
            <w:bookmarkStart w:id="2" w:name="_Toc526440799"/>
            <w:r>
              <w:rPr>
                <w:rFonts w:hint="eastAsia" w:ascii="黑体" w:hAnsi="黑体" w:eastAsia="黑体"/>
                <w:b w:val="0"/>
                <w:color w:val="auto"/>
                <w:sz w:val="28"/>
                <w:szCs w:val="28"/>
                <w:highlight w:val="none"/>
              </w:rPr>
              <w:t>市容环境卫生管理方面</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3"/>
              <w:widowControl w:val="0"/>
              <w:spacing w:line="232" w:lineRule="exact"/>
              <w:rPr>
                <w:rFonts w:asciiTheme="minorEastAsia" w:hAnsiTheme="minorEastAsia" w:eastAsiaTheme="minorEastAsia"/>
                <w:color w:val="auto"/>
                <w:sz w:val="15"/>
                <w:szCs w:val="15"/>
                <w:highlight w:val="none"/>
              </w:rPr>
            </w:pPr>
            <w:bookmarkStart w:id="3" w:name="_Toc1944272260"/>
            <w:bookmarkStart w:id="4" w:name="_Toc110851436"/>
            <w:bookmarkStart w:id="5" w:name="_Toc1144378001"/>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54" w:hRule="atLeast"/>
          <w:jc w:val="center"/>
        </w:trPr>
        <w:tc>
          <w:tcPr>
            <w:tcW w:w="9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pPr>
              <w:pStyle w:val="6"/>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88" w:hRule="atLeast"/>
          <w:jc w:val="center"/>
        </w:trPr>
        <w:tc>
          <w:tcPr>
            <w:tcW w:w="940" w:type="dxa"/>
            <w:shd w:val="clear" w:color="auto" w:fill="auto"/>
            <w:vAlign w:val="center"/>
          </w:tcPr>
          <w:p>
            <w:pPr>
              <w:pStyle w:val="6"/>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pStyle w:val="6"/>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pPr>
              <w:pStyle w:val="6"/>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pPr>
              <w:pStyle w:val="6"/>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pStyle w:val="6"/>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pStyle w:val="6"/>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pStyle w:val="6"/>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pStyle w:val="6"/>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pPr>
              <w:pStyle w:val="6"/>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pStyle w:val="6"/>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pPr>
              <w:pStyle w:val="17"/>
              <w:spacing w:after="0" w:line="230" w:lineRule="exact"/>
              <w:ind w:firstLine="300"/>
              <w:rPr>
                <w:rFonts w:cs="宋体" w:asciiTheme="minorEastAsia" w:hAnsiTheme="minorEastAsia" w:eastAsiaTheme="minorEastAsia"/>
                <w:color w:val="auto"/>
                <w:kern w:val="0"/>
                <w:sz w:val="15"/>
                <w:szCs w:val="15"/>
                <w:highlight w:val="none"/>
              </w:rPr>
            </w:pPr>
          </w:p>
          <w:p>
            <w:pPr>
              <w:pStyle w:val="17"/>
              <w:spacing w:after="0" w:line="230" w:lineRule="exact"/>
              <w:ind w:firstLine="300"/>
              <w:rPr>
                <w:rFonts w:cs="宋体" w:asciiTheme="minorEastAsia" w:hAnsiTheme="minorEastAsia" w:eastAsiaTheme="minorEastAsia"/>
                <w:color w:val="auto"/>
                <w:kern w:val="0"/>
                <w:sz w:val="15"/>
                <w:szCs w:val="15"/>
                <w:highlight w:val="none"/>
              </w:rPr>
            </w:pPr>
          </w:p>
          <w:p>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9"/>
              <w:rPr>
                <w:rFonts w:hint="eastAsia"/>
                <w:color w:val="auto"/>
                <w:highlight w:val="none"/>
              </w:rPr>
            </w:pP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17"/>
              <w:spacing w:after="0" w:line="232" w:lineRule="exact"/>
              <w:ind w:firstLine="300"/>
              <w:rPr>
                <w:rFonts w:asciiTheme="minorEastAsia" w:hAnsiTheme="minorEastAsia" w:eastAsiaTheme="minorEastAsia"/>
                <w:color w:val="auto"/>
                <w:sz w:val="15"/>
                <w:szCs w:val="15"/>
                <w:highlight w:val="none"/>
              </w:rPr>
            </w:pPr>
          </w:p>
          <w:p>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17"/>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17"/>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17"/>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17"/>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110851437"/>
            <w:bookmarkStart w:id="9" w:name="_Toc599974242"/>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pPr>
              <w:pStyle w:val="9"/>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3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10851438"/>
            <w:bookmarkStart w:id="12" w:name="_Toc1887098234"/>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pPr>
              <w:pStyle w:val="3"/>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1280965736"/>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pStyle w:val="17"/>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1752345302"/>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pPr>
              <w:pStyle w:val="9"/>
              <w:rPr>
                <w:rFonts w:hint="eastAsia" w:asciiTheme="minorEastAsia" w:hAnsiTheme="minorEastAsia" w:eastAsiaTheme="minorEastAsia"/>
                <w:color w:val="auto"/>
                <w:sz w:val="15"/>
                <w:szCs w:val="15"/>
                <w:highlight w:val="none"/>
                <w:lang w:eastAsia="zh-CN"/>
              </w:rPr>
            </w:pPr>
          </w:p>
          <w:p>
            <w:pPr>
              <w:pStyle w:val="10"/>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75" w:hRule="atLeast"/>
          <w:jc w:val="center"/>
        </w:trPr>
        <w:tc>
          <w:tcPr>
            <w:tcW w:w="940" w:type="dxa"/>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190"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0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12078872"/>
            <w:bookmarkStart w:id="21" w:name="_Toc1651336954"/>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172958056"/>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145735833"/>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8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4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1140185292"/>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31" w:name="_Toc2072230684"/>
            <w:bookmarkStart w:id="32" w:name="_Toc110851446"/>
            <w:bookmarkStart w:id="33" w:name="_Toc1213367316"/>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660874911"/>
            <w:bookmarkStart w:id="36" w:name="_Toc1597996495"/>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pPr>
              <w:pStyle w:val="9"/>
              <w:rPr>
                <w:rFonts w:hint="eastAsia"/>
                <w:color w:val="auto"/>
                <w:highlight w:val="none"/>
                <w:lang w:eastAsia="zh-CN"/>
              </w:rPr>
            </w:pPr>
          </w:p>
          <w:p>
            <w:pPr>
              <w:pStyle w:val="9"/>
              <w:rPr>
                <w:color w:val="auto"/>
                <w:highlight w:val="none"/>
              </w:rPr>
            </w:pPr>
          </w:p>
        </w:tc>
        <w:tc>
          <w:tcPr>
            <w:tcW w:w="824" w:type="dxa"/>
            <w:vMerge w:val="restart"/>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1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pPr>
              <w:pStyle w:val="9"/>
              <w:rPr>
                <w:rFonts w:hint="default"/>
                <w:color w:val="auto"/>
                <w:highlight w:val="none"/>
                <w:lang w:val="en-US" w:eastAsia="zh-CN"/>
              </w:rPr>
            </w:pPr>
          </w:p>
        </w:tc>
        <w:tc>
          <w:tcPr>
            <w:tcW w:w="1785"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2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1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3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2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9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3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55"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7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01"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10851448"/>
            <w:bookmarkStart w:id="38" w:name="_Toc495418307"/>
            <w:bookmarkStart w:id="39" w:name="_Toc1748480692"/>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986557284"/>
            <w:bookmarkStart w:id="42" w:name="_Toc1377620528"/>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39814009"/>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110851451"/>
            <w:bookmarkStart w:id="47" w:name="_Toc958675012"/>
            <w:bookmarkStart w:id="48" w:name="_Toc1498766390"/>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563678502"/>
            <w:bookmarkStart w:id="51" w:name="_Toc1839556778"/>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strike/>
                <w:dstrike w:val="0"/>
                <w:color w:val="auto"/>
                <w:sz w:val="15"/>
                <w:szCs w:val="15"/>
                <w:highlight w:val="none"/>
              </w:rPr>
            </w:pPr>
          </w:p>
        </w:tc>
        <w:tc>
          <w:tcPr>
            <w:tcW w:w="824"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3"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275604405"/>
            <w:bookmarkStart w:id="53" w:name="_Toc110851453"/>
            <w:bookmarkStart w:id="54" w:name="_Toc1866286370"/>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7" w:hRule="atLeast"/>
          <w:jc w:val="center"/>
        </w:trPr>
        <w:tc>
          <w:tcPr>
            <w:tcW w:w="9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2"/>
              <w:bidi w:val="0"/>
              <w:rPr>
                <w:rFonts w:ascii="黑体" w:hAnsi="黑体" w:eastAsia="黑体" w:cs="仿宋_GB2312"/>
                <w:color w:val="auto"/>
                <w:highlight w:val="none"/>
                <w:lang w:val="en"/>
              </w:rPr>
            </w:pPr>
            <w:bookmarkStart w:id="55" w:name="_Toc435705406"/>
            <w:bookmarkStart w:id="56" w:name="_Toc1709548156"/>
            <w:r>
              <w:rPr>
                <w:rFonts w:hint="eastAsia" w:ascii="黑体" w:hAnsi="黑体" w:eastAsia="黑体" w:cs="黑体"/>
                <w:b w:val="0"/>
                <w:bCs w:val="0"/>
                <w:color w:val="auto"/>
                <w:highlight w:val="none"/>
              </w:rPr>
              <w:t>市政管理方面</w:t>
            </w:r>
            <w:bookmarkEnd w:id="55"/>
            <w:bookmarkEnd w:id="5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57" w:name="_Toc1018838380"/>
            <w:bookmarkStart w:id="58" w:name="_Toc1607059839"/>
            <w:r>
              <w:rPr>
                <w:rFonts w:hint="eastAsia"/>
                <w:color w:val="auto"/>
                <w:sz w:val="21"/>
                <w:szCs w:val="21"/>
                <w:highlight w:val="none"/>
                <w:lang w:val="en-US" w:eastAsia="zh-CN"/>
              </w:rPr>
              <w:t>《北京市无障碍环境建设条例》案由6</w:t>
            </w:r>
            <w:bookmarkEnd w:id="57"/>
            <w:r>
              <w:rPr>
                <w:rFonts w:hint="eastAsia"/>
                <w:color w:val="auto"/>
                <w:sz w:val="21"/>
                <w:szCs w:val="21"/>
                <w:highlight w:val="none"/>
                <w:lang w:val="en-US" w:eastAsia="zh-CN"/>
              </w:rPr>
              <w:t>项</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0"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19"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1"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8"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2"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pPr>
              <w:pStyle w:val="3"/>
              <w:bidi w:val="0"/>
              <w:jc w:val="center"/>
              <w:rPr>
                <w:rFonts w:hint="default" w:ascii="宋体" w:hAnsi="宋体" w:eastAsia="宋体" w:cs="宋体"/>
                <w:color w:val="auto"/>
                <w:sz w:val="21"/>
                <w:szCs w:val="21"/>
                <w:highlight w:val="none"/>
                <w:lang w:val="en-US"/>
              </w:rPr>
            </w:pPr>
            <w:bookmarkStart w:id="59" w:name="_Toc175167693"/>
            <w:bookmarkStart w:id="60" w:name="_Toc1038902727"/>
            <w:r>
              <w:rPr>
                <w:rFonts w:hint="eastAsia" w:ascii="宋体" w:hAnsi="宋体" w:eastAsia="宋体" w:cs="宋体"/>
                <w:color w:val="auto"/>
                <w:sz w:val="21"/>
                <w:szCs w:val="21"/>
                <w:highlight w:val="none"/>
                <w:lang w:val="en-US" w:eastAsia="zh-CN"/>
              </w:rPr>
              <w:t>《中华人民共和国无障碍环境建设法》案由2项</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pPr>
              <w:pStyle w:val="3"/>
              <w:bidi w:val="0"/>
              <w:jc w:val="center"/>
              <w:rPr>
                <w:color w:val="auto"/>
                <w:highlight w:val="none"/>
              </w:rPr>
            </w:pPr>
            <w:bookmarkStart w:id="61" w:name="_Toc1724920233"/>
            <w:r>
              <w:rPr>
                <w:rFonts w:hint="eastAsia"/>
                <w:color w:val="auto"/>
                <w:sz w:val="21"/>
                <w:szCs w:val="21"/>
                <w:highlight w:val="none"/>
              </w:rPr>
              <w:t>《城市道路管理条例》《北京市城市道路管理办法》案由16项</w:t>
            </w:r>
            <w:bookmarkEnd w:id="60"/>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2" w:name="_Toc1973624040"/>
            <w:bookmarkStart w:id="63" w:name="_Toc110851455"/>
            <w:bookmarkStart w:id="64" w:name="_Toc884119906"/>
            <w:r>
              <w:rPr>
                <w:rFonts w:hint="eastAsia" w:asciiTheme="minorEastAsia" w:hAnsiTheme="minorEastAsia" w:eastAsiaTheme="minorEastAsia"/>
                <w:color w:val="auto"/>
                <w:sz w:val="21"/>
                <w:szCs w:val="21"/>
                <w:highlight w:val="none"/>
              </w:rPr>
              <w:t>《北京市地下设施检查井井盖管理规定》案由5项</w:t>
            </w:r>
            <w:bookmarkEnd w:id="62"/>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97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65" w:name="_Toc110851456"/>
            <w:bookmarkStart w:id="66" w:name="_Toc1693504403"/>
            <w:bookmarkStart w:id="67" w:name="_Toc782261727"/>
            <w:r>
              <w:rPr>
                <w:rFonts w:hint="eastAsia" w:ascii="黑体" w:hAnsi="黑体" w:eastAsia="黑体"/>
                <w:b w:val="0"/>
                <w:color w:val="auto"/>
                <w:sz w:val="36"/>
                <w:szCs w:val="36"/>
                <w:highlight w:val="none"/>
              </w:rPr>
              <w:t>公用事业管理方面</w:t>
            </w:r>
            <w:bookmarkEnd w:id="65"/>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8" w:name="_Toc1349825120"/>
            <w:bookmarkStart w:id="69" w:name="_Toc110851457"/>
            <w:bookmarkStart w:id="70" w:name="_Toc333158386"/>
            <w:r>
              <w:rPr>
                <w:rFonts w:hint="eastAsia" w:asciiTheme="minorEastAsia" w:hAnsiTheme="minorEastAsia" w:eastAsiaTheme="minorEastAsia"/>
                <w:color w:val="auto"/>
                <w:sz w:val="21"/>
                <w:szCs w:val="21"/>
                <w:highlight w:val="none"/>
              </w:rPr>
              <w:t>《城镇燃气管理条例》案由30项</w:t>
            </w:r>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8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5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7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6"/>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9"/>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pPr>
              <w:pStyle w:val="9"/>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pPr>
              <w:pStyle w:val="9"/>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pPr>
              <w:pStyle w:val="9"/>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pPr>
              <w:pStyle w:val="17"/>
              <w:ind w:left="0" w:leftChars="0" w:firstLine="0" w:firstLineChars="0"/>
              <w:rPr>
                <w:color w:val="auto"/>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9"/>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pPr>
              <w:pStyle w:val="9"/>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pPr>
              <w:pStyle w:val="9"/>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pPr>
              <w:pStyle w:val="9"/>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pStyle w:val="17"/>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1" w:name="_Toc110851458"/>
            <w:bookmarkStart w:id="72" w:name="_Toc1968530984"/>
            <w:bookmarkStart w:id="73" w:name="_Toc1483790773"/>
            <w:r>
              <w:rPr>
                <w:rFonts w:hint="eastAsia" w:asciiTheme="minorEastAsia" w:hAnsiTheme="minorEastAsia" w:eastAsiaTheme="minorEastAsia"/>
                <w:color w:val="auto"/>
                <w:sz w:val="21"/>
                <w:szCs w:val="21"/>
                <w:highlight w:val="none"/>
              </w:rPr>
              <w:t>《北京市燃气管理条例》案由26项</w:t>
            </w:r>
            <w:bookmarkEnd w:id="71"/>
            <w:bookmarkEnd w:id="72"/>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0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1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1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3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7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1"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9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8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8"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8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4" w:name="_Toc110851459"/>
            <w:bookmarkStart w:id="75" w:name="_Toc697937810"/>
            <w:bookmarkStart w:id="76" w:name="_Toc1517927781"/>
            <w:r>
              <w:rPr>
                <w:rFonts w:hint="eastAsia" w:asciiTheme="minorEastAsia" w:hAnsiTheme="minorEastAsia" w:eastAsiaTheme="minorEastAsia"/>
                <w:color w:val="auto"/>
                <w:sz w:val="21"/>
                <w:szCs w:val="21"/>
                <w:highlight w:val="none"/>
              </w:rPr>
              <w:t>《北京市消防条例》案由1项</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77" w:name="_Toc110851460"/>
            <w:bookmarkStart w:id="78" w:name="_Toc1826085962"/>
            <w:bookmarkStart w:id="79" w:name="_Toc2108634677"/>
            <w:r>
              <w:rPr>
                <w:rFonts w:hint="eastAsia" w:asciiTheme="minorEastAsia" w:hAnsiTheme="minorEastAsia" w:eastAsiaTheme="minorEastAsia"/>
                <w:color w:val="auto"/>
                <w:sz w:val="21"/>
                <w:szCs w:val="21"/>
                <w:highlight w:val="none"/>
              </w:rPr>
              <w:t>《北京市清洁燃料车辆加气站管理规定》案由7项</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5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8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6"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使用明火检查燃气泄露</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1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1"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473999580"/>
            <w:bookmarkStart w:id="81" w:name="_Toc110851461"/>
            <w:bookmarkStart w:id="82" w:name="_Toc1514974869"/>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0"/>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8"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7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5"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7"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4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984069521"/>
            <w:bookmarkStart w:id="84" w:name="_Toc110851462"/>
            <w:bookmarkStart w:id="85" w:name="_Toc819278804"/>
            <w:r>
              <w:rPr>
                <w:rFonts w:hint="eastAsia" w:asciiTheme="minorEastAsia" w:hAnsiTheme="minorEastAsia" w:eastAsiaTheme="minorEastAsia"/>
                <w:color w:val="auto"/>
                <w:sz w:val="21"/>
                <w:szCs w:val="21"/>
                <w:highlight w:val="none"/>
              </w:rPr>
              <w:t>《北京市民用建筑节能管理办法》案由2项</w:t>
            </w:r>
            <w:bookmarkEnd w:id="83"/>
            <w:bookmarkEnd w:id="84"/>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6" w:name="_Toc636329439"/>
            <w:bookmarkStart w:id="87" w:name="_Toc1311839352"/>
            <w:bookmarkStart w:id="88" w:name="_Toc110851463"/>
            <w:bookmarkStart w:id="89"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6"/>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pPr>
              <w:pStyle w:val="9"/>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0" w:name="_Toc2041415668"/>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88"/>
            <w:bookmarkEnd w:id="89"/>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0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6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18"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9"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1" w:name="_Toc110851464"/>
            <w:bookmarkStart w:id="92" w:name="_Toc1075063771"/>
            <w:bookmarkStart w:id="93" w:name="_Toc1963656805"/>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1"/>
            <w:bookmarkEnd w:id="92"/>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3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pPr>
              <w:pStyle w:val="6"/>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pPr>
              <w:pStyle w:val="6"/>
              <w:rPr>
                <w:rFonts w:hint="eastAsia" w:asciiTheme="minorEastAsia" w:hAnsiTheme="minorEastAsia" w:eastAsiaTheme="minorEastAsia" w:cstheme="minorEastAsia"/>
                <w:color w:val="auto"/>
                <w:spacing w:val="-4"/>
                <w:sz w:val="15"/>
                <w:szCs w:val="15"/>
                <w:highlight w:val="none"/>
                <w:lang w:val="en-US" w:eastAsia="zh-CN"/>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5"/>
            <w:bookmarkStart w:id="95" w:name="_Toc780858134"/>
            <w:bookmarkStart w:id="96" w:name="_Toc1911813594"/>
            <w:r>
              <w:rPr>
                <w:rFonts w:hint="eastAsia" w:asciiTheme="minorEastAsia" w:hAnsiTheme="minorEastAsia" w:eastAsiaTheme="minorEastAsia"/>
                <w:color w:val="auto"/>
                <w:sz w:val="21"/>
                <w:szCs w:val="21"/>
                <w:highlight w:val="none"/>
              </w:rPr>
              <w:t>《北京市单用途预付卡管理条例》案由7项</w:t>
            </w:r>
            <w:bookmarkEnd w:id="94"/>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9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97" w:name="_Toc1495699393"/>
            <w:bookmarkStart w:id="98" w:name="_Toc110851466"/>
            <w:bookmarkStart w:id="99" w:name="_Toc1781030255"/>
            <w:r>
              <w:rPr>
                <w:rFonts w:hint="eastAsia" w:ascii="黑体" w:hAnsi="黑体" w:eastAsia="黑体"/>
                <w:b w:val="0"/>
                <w:color w:val="auto"/>
                <w:sz w:val="36"/>
                <w:szCs w:val="36"/>
                <w:highlight w:val="none"/>
              </w:rPr>
              <w:t>园林绿化管理方面</w:t>
            </w:r>
            <w:bookmarkEnd w:id="97"/>
            <w:bookmarkEnd w:id="98"/>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0" w:name="_Toc110851467"/>
            <w:bookmarkStart w:id="101" w:name="_Toc1801139429"/>
            <w:bookmarkStart w:id="102" w:name="_Toc1097138893"/>
            <w:r>
              <w:rPr>
                <w:rFonts w:hint="eastAsia" w:asciiTheme="minorEastAsia" w:hAnsiTheme="minorEastAsia" w:eastAsiaTheme="minorEastAsia"/>
                <w:color w:val="auto"/>
                <w:sz w:val="21"/>
                <w:szCs w:val="21"/>
                <w:highlight w:val="none"/>
              </w:rPr>
              <w:t>《北京市绿化条例》案由16项</w:t>
            </w:r>
            <w:bookmarkEnd w:id="100"/>
            <w:bookmarkEnd w:id="101"/>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8"/>
            <w:bookmarkStart w:id="104" w:name="_Toc177791596"/>
            <w:bookmarkStart w:id="105" w:name="_Toc1516675248"/>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3"/>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446129084"/>
            <w:bookmarkStart w:id="107" w:name="_Toc110851469"/>
            <w:bookmarkStart w:id="108" w:name="_Toc1576301640"/>
            <w:bookmarkStart w:id="109" w:name="_Toc1284883561"/>
            <w:r>
              <w:rPr>
                <w:rFonts w:hint="eastAsia" w:cs="宋体" w:asciiTheme="minorEastAsia" w:hAnsiTheme="minorEastAsia" w:eastAsiaTheme="minorEastAsia"/>
                <w:color w:val="auto"/>
                <w:sz w:val="21"/>
                <w:szCs w:val="21"/>
                <w:highlight w:val="none"/>
              </w:rPr>
              <w:t>《古树名木保护条例》案由11项</w:t>
            </w:r>
            <w:bookmarkEnd w:id="106"/>
            <w:bookmarkEnd w:id="107"/>
            <w:bookmarkEnd w:id="108"/>
            <w:bookmarkEnd w:id="1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47" w:hRule="atLeast"/>
          <w:jc w:val="center"/>
        </w:trPr>
        <w:tc>
          <w:tcPr>
            <w:tcW w:w="940" w:type="dxa"/>
            <w:vMerge w:val="restart"/>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vMerge w:val="restart"/>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w:t>
            </w:r>
            <w:r>
              <w:rPr>
                <w:rFonts w:hint="eastAsia" w:ascii="宋体" w:hAnsi="宋体" w:eastAsia="宋体" w:cs="宋体"/>
                <w:color w:val="auto"/>
                <w:kern w:val="0"/>
                <w:sz w:val="15"/>
                <w:szCs w:val="15"/>
                <w:highlight w:val="none"/>
                <w:lang w:eastAsia="zh-CN"/>
              </w:rPr>
              <w:t>移植古树名木</w:t>
            </w:r>
          </w:p>
        </w:tc>
        <w:tc>
          <w:tcPr>
            <w:tcW w:w="2789"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eastAsia="宋体" w:cs="宋体"/>
                <w:color w:val="auto"/>
                <w:kern w:val="0"/>
                <w:sz w:val="15"/>
                <w:szCs w:val="15"/>
                <w:highlight w:val="none"/>
                <w:lang w:eastAsia="zh-CN"/>
              </w:rPr>
              <w:t>十五</w:t>
            </w:r>
            <w:r>
              <w:rPr>
                <w:rFonts w:hint="eastAsia"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vAlign w:val="center"/>
          </w:tcPr>
          <w:p>
            <w:pPr>
              <w:spacing w:line="232" w:lineRule="exact"/>
              <w:jc w:val="center"/>
              <w:rPr>
                <w:rFonts w:hint="default" w:ascii="宋体" w:hAnsi="宋体" w:eastAsia="宋体" w:cs="宋体"/>
                <w:color w:val="auto"/>
                <w:kern w:val="0"/>
                <w:sz w:val="15"/>
                <w:szCs w:val="15"/>
                <w:highlight w:val="none"/>
                <w:lang w:val="en-US"/>
              </w:rPr>
            </w:pPr>
            <w:r>
              <w:rPr>
                <w:rFonts w:hint="default" w:ascii="宋体" w:hAnsi="宋体" w:cs="宋体"/>
                <w:color w:val="auto"/>
                <w:kern w:val="0"/>
                <w:sz w:val="15"/>
                <w:szCs w:val="15"/>
                <w:highlight w:val="none"/>
                <w:lang w:val="en-US"/>
              </w:rPr>
              <w:t>500000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2.未制定移植和养护方案，或未按照方案执行的，变量系数0.6-1;</w:t>
            </w:r>
          </w:p>
          <w:p>
            <w:pPr>
              <w:numPr>
                <w:ilvl w:val="0"/>
                <w:numId w:val="0"/>
              </w:num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3.造成古树名木死亡的，变量系数1。</w:t>
            </w:r>
          </w:p>
        </w:tc>
        <w:tc>
          <w:tcPr>
            <w:tcW w:w="17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47" w:hRule="atLeast"/>
          <w:jc w:val="center"/>
        </w:trPr>
        <w:tc>
          <w:tcPr>
            <w:tcW w:w="940" w:type="dxa"/>
            <w:vMerge w:val="continue"/>
            <w:vAlign w:val="center"/>
          </w:tcPr>
          <w:p>
            <w:pPr>
              <w:spacing w:line="232" w:lineRule="exact"/>
              <w:jc w:val="center"/>
              <w:rPr>
                <w:rFonts w:hint="eastAsia" w:ascii="宋体" w:hAnsi="宋体" w:eastAsia="宋体" w:cs="宋体"/>
                <w:color w:val="auto"/>
                <w:kern w:val="0"/>
                <w:sz w:val="15"/>
                <w:szCs w:val="15"/>
                <w:highlight w:val="none"/>
              </w:rPr>
            </w:pPr>
          </w:p>
        </w:tc>
        <w:tc>
          <w:tcPr>
            <w:tcW w:w="1500" w:type="dxa"/>
            <w:vMerge w:val="continue"/>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vAlign w:val="center"/>
          </w:tcPr>
          <w:p>
            <w:pPr>
              <w:spacing w:line="232" w:lineRule="exact"/>
              <w:rPr>
                <w:rFonts w:hint="eastAsia" w:ascii="宋体" w:hAnsi="宋体" w:eastAsia="宋体" w:cs="宋体"/>
                <w:color w:val="auto"/>
                <w:kern w:val="0"/>
                <w:sz w:val="15"/>
                <w:szCs w:val="15"/>
                <w:highlight w:val="none"/>
              </w:rPr>
            </w:pPr>
          </w:p>
        </w:tc>
        <w:tc>
          <w:tcPr>
            <w:tcW w:w="851" w:type="dxa"/>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2.未制定移植和养护方案的，变量系数0.6-1;</w:t>
            </w:r>
          </w:p>
          <w:p>
            <w:pPr>
              <w:numPr>
                <w:ilvl w:val="0"/>
                <w:numId w:val="0"/>
              </w:numPr>
              <w:spacing w:line="232" w:lineRule="exact"/>
              <w:ind w:left="0" w:leftChars="0" w:firstLine="0" w:firstLineChars="0"/>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3.造成古树名木死亡的，变量系数1.5。</w:t>
            </w: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9" w:hRule="atLeast"/>
          <w:jc w:val="center"/>
        </w:trPr>
        <w:tc>
          <w:tcPr>
            <w:tcW w:w="940" w:type="dxa"/>
            <w:vMerge w:val="restart"/>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vMerge w:val="restart"/>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非法采伐古树名木</w:t>
            </w:r>
          </w:p>
        </w:tc>
        <w:tc>
          <w:tcPr>
            <w:tcW w:w="2789"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十四条</w:t>
            </w:r>
            <w:r>
              <w:rPr>
                <w:rFonts w:hint="eastAsia" w:ascii="宋体" w:hAnsi="宋体" w:cs="宋体"/>
                <w:color w:val="auto"/>
                <w:kern w:val="0"/>
                <w:sz w:val="15"/>
                <w:szCs w:val="15"/>
                <w:highlight w:val="none"/>
                <w:lang w:val="en-US" w:eastAsia="zh-CN"/>
              </w:rPr>
              <w:t>第一款</w:t>
            </w:r>
            <w:r>
              <w:rPr>
                <w:rFonts w:hint="eastAsia" w:ascii="宋体" w:hAnsi="宋体" w:eastAsia="宋体" w:cs="宋体"/>
                <w:color w:val="auto"/>
                <w:kern w:val="0"/>
                <w:sz w:val="15"/>
                <w:szCs w:val="15"/>
                <w:highlight w:val="none"/>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default" w:ascii="宋体" w:hAnsi="宋体" w:cs="宋体"/>
                <w:color w:val="auto"/>
                <w:kern w:val="0"/>
                <w:sz w:val="15"/>
                <w:szCs w:val="15"/>
                <w:highlight w:val="none"/>
                <w:lang w:val="en-US"/>
              </w:rPr>
              <w:t>500000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45" w:hRule="atLeast"/>
          <w:jc w:val="center"/>
        </w:trPr>
        <w:tc>
          <w:tcPr>
            <w:tcW w:w="940" w:type="dxa"/>
            <w:vMerge w:val="continue"/>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vAlign w:val="center"/>
          </w:tcPr>
          <w:p>
            <w:pPr>
              <w:spacing w:line="232" w:lineRule="exact"/>
              <w:jc w:val="center"/>
              <w:rPr>
                <w:rFonts w:ascii="宋体" w:hAnsi="宋体" w:eastAsia="宋体" w:cs="宋体"/>
                <w:color w:val="auto"/>
                <w:kern w:val="0"/>
                <w:sz w:val="15"/>
                <w:szCs w:val="15"/>
                <w:highlight w:val="none"/>
              </w:rPr>
            </w:pPr>
          </w:p>
        </w:tc>
        <w:tc>
          <w:tcPr>
            <w:tcW w:w="2789" w:type="dxa"/>
            <w:vMerge w:val="continue"/>
            <w:vAlign w:val="center"/>
          </w:tcPr>
          <w:p>
            <w:pPr>
              <w:spacing w:line="232" w:lineRule="exact"/>
              <w:rPr>
                <w:rFonts w:ascii="宋体" w:hAnsi="宋体" w:eastAsia="宋体" w:cs="宋体"/>
                <w:color w:val="auto"/>
                <w:kern w:val="0"/>
                <w:sz w:val="15"/>
                <w:szCs w:val="15"/>
                <w:highlight w:val="none"/>
              </w:rPr>
            </w:pPr>
          </w:p>
        </w:tc>
        <w:tc>
          <w:tcPr>
            <w:tcW w:w="851" w:type="dxa"/>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200000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2.造成古树名木死亡的，变量系数1.5。</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vAlign w:val="center"/>
          </w:tcPr>
          <w:p>
            <w:pPr>
              <w:spacing w:line="232" w:lineRule="exact"/>
              <w:rPr>
                <w:rFonts w:hint="eastAsia" w:ascii="宋体" w:hAnsi="宋体" w:eastAsia="宋体"/>
                <w:color w:val="auto"/>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2" w:hRule="atLeast"/>
          <w:jc w:val="center"/>
        </w:trPr>
        <w:tc>
          <w:tcPr>
            <w:tcW w:w="940" w:type="dxa"/>
            <w:vMerge w:val="restart"/>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3</w:t>
            </w:r>
          </w:p>
        </w:tc>
        <w:tc>
          <w:tcPr>
            <w:tcW w:w="1500" w:type="dxa"/>
            <w:vMerge w:val="restart"/>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买卖、运输、加工非法采伐、移植的古树名木（林木</w:t>
            </w:r>
            <w:r>
              <w:rPr>
                <w:rFonts w:hint="eastAsia" w:ascii="宋体" w:hAnsi="宋体" w:cs="宋体"/>
                <w:color w:val="auto"/>
                <w:kern w:val="0"/>
                <w:sz w:val="15"/>
                <w:szCs w:val="15"/>
                <w:highlight w:val="none"/>
                <w:lang w:val="en-US" w:eastAsia="zh-CN"/>
              </w:rPr>
              <w:t>除外</w:t>
            </w:r>
            <w:r>
              <w:rPr>
                <w:rFonts w:hint="eastAsia" w:ascii="宋体" w:hAnsi="宋体" w:cs="宋体"/>
                <w:color w:val="auto"/>
                <w:kern w:val="0"/>
                <w:sz w:val="15"/>
                <w:szCs w:val="15"/>
                <w:highlight w:val="none"/>
                <w:lang w:eastAsia="zh-CN"/>
              </w:rPr>
              <w:t>）</w:t>
            </w:r>
          </w:p>
        </w:tc>
        <w:tc>
          <w:tcPr>
            <w:tcW w:w="2789"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十七条第一</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5" w:hRule="atLeast"/>
          <w:jc w:val="center"/>
        </w:trPr>
        <w:tc>
          <w:tcPr>
            <w:tcW w:w="940" w:type="dxa"/>
            <w:vMerge w:val="continue"/>
            <w:vAlign w:val="center"/>
          </w:tcPr>
          <w:p>
            <w:pPr>
              <w:spacing w:line="232" w:lineRule="exact"/>
              <w:jc w:val="center"/>
              <w:rPr>
                <w:rFonts w:ascii="宋体" w:hAnsi="宋体" w:eastAsia="宋体"/>
                <w:color w:val="auto"/>
                <w:sz w:val="15"/>
                <w:szCs w:val="15"/>
                <w:highlight w:val="none"/>
              </w:rPr>
            </w:pPr>
          </w:p>
        </w:tc>
        <w:tc>
          <w:tcPr>
            <w:tcW w:w="1500" w:type="dxa"/>
            <w:vMerge w:val="continue"/>
            <w:vAlign w:val="center"/>
          </w:tcPr>
          <w:p>
            <w:pPr>
              <w:spacing w:line="232" w:lineRule="exact"/>
              <w:rPr>
                <w:rFonts w:ascii="宋体" w:hAnsi="宋体" w:eastAsia="宋体"/>
                <w:color w:val="auto"/>
                <w:sz w:val="15"/>
                <w:szCs w:val="15"/>
                <w:highlight w:val="none"/>
              </w:rPr>
            </w:pPr>
          </w:p>
        </w:tc>
        <w:tc>
          <w:tcPr>
            <w:tcW w:w="2789" w:type="dxa"/>
            <w:vMerge w:val="continue"/>
            <w:vAlign w:val="center"/>
          </w:tcPr>
          <w:p>
            <w:pPr>
              <w:spacing w:line="232" w:lineRule="exact"/>
              <w:rPr>
                <w:rFonts w:ascii="宋体" w:hAnsi="宋体" w:eastAsia="宋体" w:cs="宋体"/>
                <w:color w:val="auto"/>
                <w:kern w:val="0"/>
                <w:sz w:val="15"/>
                <w:szCs w:val="15"/>
                <w:highlight w:val="none"/>
              </w:rPr>
            </w:pPr>
          </w:p>
        </w:tc>
        <w:tc>
          <w:tcPr>
            <w:tcW w:w="851" w:type="dxa"/>
            <w:vAlign w:val="center"/>
          </w:tcPr>
          <w:p>
            <w:pPr>
              <w:spacing w:line="232" w:lineRule="exact"/>
              <w:jc w:val="center"/>
              <w:rPr>
                <w:rFonts w:hint="default" w:ascii="宋体" w:hAnsi="宋体" w:eastAsia="宋体"/>
                <w:color w:val="auto"/>
                <w:sz w:val="15"/>
                <w:szCs w:val="15"/>
                <w:highlight w:val="none"/>
                <w:lang w:val="en-US" w:eastAsia="zh-CN"/>
              </w:rPr>
            </w:pPr>
            <w:r>
              <w:rPr>
                <w:rFonts w:hint="eastAsia" w:ascii="宋体" w:hAnsi="宋体" w:cs="宋体"/>
                <w:color w:val="auto"/>
                <w:kern w:val="0"/>
                <w:sz w:val="15"/>
                <w:szCs w:val="15"/>
                <w:highlight w:val="none"/>
                <w:lang w:val="en-US" w:eastAsia="zh-CN"/>
              </w:rPr>
              <w:t>50000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8" w:hRule="atLeast"/>
          <w:jc w:val="center"/>
        </w:trPr>
        <w:tc>
          <w:tcPr>
            <w:tcW w:w="940" w:type="dxa"/>
            <w:vMerge w:val="restart"/>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对古树名木挖根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剥损树皮、过度修剪枝干</w:t>
            </w:r>
          </w:p>
        </w:tc>
        <w:tc>
          <w:tcPr>
            <w:tcW w:w="2789"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十七条第二</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76" w:hRule="atLeast"/>
          <w:jc w:val="center"/>
        </w:trPr>
        <w:tc>
          <w:tcPr>
            <w:tcW w:w="940" w:type="dxa"/>
            <w:vMerge w:val="continue"/>
            <w:vAlign w:val="center"/>
          </w:tcPr>
          <w:p>
            <w:pPr>
              <w:spacing w:line="232" w:lineRule="exact"/>
              <w:jc w:val="center"/>
              <w:rPr>
                <w:rFonts w:ascii="宋体" w:hAnsi="宋体" w:eastAsia="宋体"/>
                <w:color w:val="auto"/>
                <w:sz w:val="15"/>
                <w:szCs w:val="15"/>
                <w:highlight w:val="none"/>
              </w:rPr>
            </w:pPr>
          </w:p>
        </w:tc>
        <w:tc>
          <w:tcPr>
            <w:tcW w:w="1500" w:type="dxa"/>
            <w:vMerge w:val="continue"/>
            <w:vAlign w:val="center"/>
          </w:tcPr>
          <w:p>
            <w:pPr>
              <w:spacing w:line="232" w:lineRule="exact"/>
              <w:rPr>
                <w:rFonts w:ascii="宋体" w:hAnsi="宋体" w:eastAsia="宋体"/>
                <w:color w:val="auto"/>
                <w:sz w:val="15"/>
                <w:szCs w:val="15"/>
                <w:highlight w:val="none"/>
              </w:rPr>
            </w:pPr>
          </w:p>
        </w:tc>
        <w:tc>
          <w:tcPr>
            <w:tcW w:w="2789" w:type="dxa"/>
            <w:vMerge w:val="continue"/>
            <w:vAlign w:val="center"/>
          </w:tcPr>
          <w:p>
            <w:pPr>
              <w:spacing w:line="232" w:lineRule="exact"/>
              <w:rPr>
                <w:rFonts w:ascii="宋体" w:hAnsi="宋体" w:eastAsia="宋体"/>
                <w:color w:val="auto"/>
                <w:sz w:val="15"/>
                <w:szCs w:val="15"/>
                <w:highlight w:val="none"/>
              </w:rPr>
            </w:pPr>
          </w:p>
        </w:tc>
        <w:tc>
          <w:tcPr>
            <w:tcW w:w="851" w:type="dxa"/>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02" w:hRule="atLeast"/>
          <w:jc w:val="center"/>
        </w:trPr>
        <w:tc>
          <w:tcPr>
            <w:tcW w:w="940" w:type="dxa"/>
            <w:vMerge w:val="restart"/>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5</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向古树名木灌注有毒有害物质</w:t>
            </w:r>
          </w:p>
        </w:tc>
        <w:tc>
          <w:tcPr>
            <w:tcW w:w="2789"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十七条第三</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ascii="宋体" w:hAnsi="宋体" w:eastAsia="宋体"/>
                <w:color w:val="auto"/>
                <w:sz w:val="15"/>
                <w:szCs w:val="15"/>
                <w:highlight w:val="none"/>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26" w:hRule="atLeast"/>
          <w:jc w:val="center"/>
        </w:trPr>
        <w:tc>
          <w:tcPr>
            <w:tcW w:w="940" w:type="dxa"/>
            <w:vMerge w:val="continue"/>
            <w:vAlign w:val="center"/>
          </w:tcPr>
          <w:p>
            <w:pPr>
              <w:spacing w:line="232" w:lineRule="exact"/>
              <w:jc w:val="center"/>
              <w:rPr>
                <w:rFonts w:ascii="宋体" w:hAnsi="宋体" w:eastAsia="宋体"/>
                <w:color w:val="auto"/>
                <w:sz w:val="15"/>
                <w:szCs w:val="15"/>
                <w:highlight w:val="none"/>
              </w:rPr>
            </w:pPr>
          </w:p>
        </w:tc>
        <w:tc>
          <w:tcPr>
            <w:tcW w:w="1500" w:type="dxa"/>
            <w:vMerge w:val="continue"/>
            <w:vAlign w:val="center"/>
          </w:tcPr>
          <w:p>
            <w:pPr>
              <w:spacing w:line="232" w:lineRule="exact"/>
              <w:rPr>
                <w:rFonts w:ascii="宋体" w:hAnsi="宋体" w:eastAsia="宋体"/>
                <w:color w:val="auto"/>
                <w:sz w:val="15"/>
                <w:szCs w:val="15"/>
                <w:highlight w:val="none"/>
              </w:rPr>
            </w:pPr>
          </w:p>
        </w:tc>
        <w:tc>
          <w:tcPr>
            <w:tcW w:w="2789" w:type="dxa"/>
            <w:vMerge w:val="continue"/>
            <w:vAlign w:val="center"/>
          </w:tcPr>
          <w:p>
            <w:pPr>
              <w:spacing w:line="232" w:lineRule="exact"/>
              <w:rPr>
                <w:rFonts w:ascii="宋体" w:hAnsi="宋体" w:eastAsia="宋体"/>
                <w:color w:val="auto"/>
                <w:sz w:val="15"/>
                <w:szCs w:val="15"/>
                <w:highlight w:val="none"/>
              </w:rPr>
            </w:pPr>
          </w:p>
        </w:tc>
        <w:tc>
          <w:tcPr>
            <w:tcW w:w="851" w:type="dxa"/>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4" w:hRule="atLeast"/>
          <w:jc w:val="center"/>
        </w:trPr>
        <w:tc>
          <w:tcPr>
            <w:tcW w:w="940" w:type="dxa"/>
            <w:vMerge w:val="restart"/>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6</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在古树名木保护范围内铺设非通透性硬化地面、使用明火、堆放重物、倾倒易燃易爆物品或者有毒有害物质</w:t>
            </w:r>
          </w:p>
        </w:tc>
        <w:tc>
          <w:tcPr>
            <w:tcW w:w="2789"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十七条第四</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ascii="宋体" w:hAnsi="宋体" w:eastAsia="宋体" w:cs="宋体"/>
                <w:color w:val="auto"/>
                <w:kern w:val="0"/>
                <w:sz w:val="15"/>
                <w:szCs w:val="15"/>
                <w:highlight w:val="none"/>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56" w:hRule="atLeast"/>
          <w:jc w:val="center"/>
        </w:trPr>
        <w:tc>
          <w:tcPr>
            <w:tcW w:w="940" w:type="dxa"/>
            <w:vMerge w:val="continue"/>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vAlign w:val="center"/>
          </w:tcPr>
          <w:p>
            <w:pPr>
              <w:spacing w:line="232" w:lineRule="exact"/>
              <w:rPr>
                <w:rFonts w:ascii="宋体" w:hAnsi="宋体" w:eastAsia="宋体" w:cs="宋体"/>
                <w:color w:val="auto"/>
                <w:kern w:val="0"/>
                <w:sz w:val="15"/>
                <w:szCs w:val="15"/>
                <w:highlight w:val="none"/>
              </w:rPr>
            </w:pPr>
          </w:p>
        </w:tc>
        <w:tc>
          <w:tcPr>
            <w:tcW w:w="2789" w:type="dxa"/>
            <w:vMerge w:val="continue"/>
            <w:vAlign w:val="center"/>
          </w:tcPr>
          <w:p>
            <w:pPr>
              <w:spacing w:line="232" w:lineRule="exact"/>
              <w:rPr>
                <w:rFonts w:ascii="宋体" w:hAnsi="宋体" w:eastAsia="宋体" w:cs="宋体"/>
                <w:color w:val="auto"/>
                <w:kern w:val="0"/>
                <w:sz w:val="15"/>
                <w:szCs w:val="15"/>
                <w:highlight w:val="none"/>
              </w:rPr>
            </w:pP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50000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5" w:hRule="atLeast"/>
          <w:jc w:val="center"/>
        </w:trPr>
        <w:tc>
          <w:tcPr>
            <w:tcW w:w="940" w:type="dxa"/>
            <w:vMerge w:val="restart"/>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val="en-US" w:eastAsia="zh-CN"/>
              </w:rPr>
              <w:t>7</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在古树名木上刻划、架设线缆、缠绕或者悬挂物体等，攀爬古树名木</w:t>
            </w:r>
          </w:p>
        </w:tc>
        <w:tc>
          <w:tcPr>
            <w:tcW w:w="2789" w:type="dxa"/>
            <w:vMerge w:val="restart"/>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十七条第五</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vAlign w:val="center"/>
          </w:tcPr>
          <w:p>
            <w:pPr>
              <w:spacing w:line="232" w:lineRule="exact"/>
              <w:jc w:val="center"/>
              <w:rPr>
                <w:rFonts w:hint="default" w:ascii="宋体" w:hAnsi="宋体" w:eastAsia="宋体" w:cs="宋体"/>
                <w:color w:val="auto"/>
                <w:kern w:val="0"/>
                <w:sz w:val="15"/>
                <w:szCs w:val="15"/>
                <w:highlight w:val="none"/>
                <w:lang w:val="en-US"/>
              </w:rPr>
            </w:pPr>
          </w:p>
        </w:tc>
        <w:tc>
          <w:tcPr>
            <w:tcW w:w="840" w:type="dxa"/>
            <w:vAlign w:val="center"/>
          </w:tcPr>
          <w:p>
            <w:pPr>
              <w:spacing w:line="232" w:lineRule="exact"/>
              <w:jc w:val="center"/>
              <w:rPr>
                <w:rFonts w:ascii="宋体" w:hAnsi="宋体" w:eastAsia="宋体" w:cs="宋体"/>
                <w:color w:val="auto"/>
                <w:kern w:val="0"/>
                <w:sz w:val="15"/>
                <w:szCs w:val="15"/>
                <w:highlight w:val="none"/>
              </w:rPr>
            </w:pPr>
          </w:p>
        </w:tc>
        <w:tc>
          <w:tcPr>
            <w:tcW w:w="2304" w:type="dxa"/>
            <w:vAlign w:val="center"/>
          </w:tcPr>
          <w:p>
            <w:pPr>
              <w:spacing w:line="232" w:lineRule="exact"/>
              <w:rPr>
                <w:rFonts w:hint="default" w:ascii="宋体" w:hAnsi="宋体" w:cs="宋体"/>
                <w:color w:val="auto"/>
                <w:kern w:val="0"/>
                <w:sz w:val="15"/>
                <w:szCs w:val="15"/>
                <w:highlight w:val="none"/>
                <w:lang w:val="en-US" w:eastAsia="zh-CN"/>
              </w:rPr>
            </w:pPr>
          </w:p>
        </w:tc>
        <w:tc>
          <w:tcPr>
            <w:tcW w:w="1785" w:type="dxa"/>
            <w:vAlign w:val="center"/>
          </w:tcPr>
          <w:p>
            <w:pPr>
              <w:spacing w:line="232" w:lineRule="exact"/>
              <w:rPr>
                <w:rFonts w:ascii="宋体" w:hAnsi="宋体" w:eastAsia="宋体" w:cs="宋体"/>
                <w:color w:val="auto"/>
                <w:kern w:val="0"/>
                <w:sz w:val="15"/>
                <w:szCs w:val="15"/>
                <w:highlight w:val="none"/>
              </w:rPr>
            </w:pPr>
          </w:p>
        </w:tc>
        <w:tc>
          <w:tcPr>
            <w:tcW w:w="2385" w:type="dxa"/>
            <w:vAlign w:val="center"/>
          </w:tcPr>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5" w:hRule="atLeast"/>
          <w:jc w:val="center"/>
        </w:trPr>
        <w:tc>
          <w:tcPr>
            <w:tcW w:w="940" w:type="dxa"/>
            <w:vMerge w:val="continue"/>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vAlign w:val="center"/>
          </w:tcPr>
          <w:p>
            <w:pPr>
              <w:spacing w:line="232" w:lineRule="exact"/>
              <w:rPr>
                <w:rFonts w:hint="eastAsia" w:ascii="宋体" w:hAnsi="宋体" w:eastAsia="宋体" w:cs="宋体"/>
                <w:color w:val="auto"/>
                <w:kern w:val="0"/>
                <w:sz w:val="15"/>
                <w:szCs w:val="15"/>
                <w:highlight w:val="none"/>
              </w:rPr>
            </w:pPr>
          </w:p>
        </w:tc>
        <w:tc>
          <w:tcPr>
            <w:tcW w:w="851" w:type="dxa"/>
            <w:vAlign w:val="center"/>
          </w:tcPr>
          <w:p>
            <w:pPr>
              <w:spacing w:line="232" w:lineRule="exact"/>
              <w:jc w:val="center"/>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43" w:hRule="atLeast"/>
          <w:jc w:val="center"/>
        </w:trPr>
        <w:tc>
          <w:tcPr>
            <w:tcW w:w="940" w:type="dxa"/>
            <w:vMerge w:val="continue"/>
            <w:vAlign w:val="center"/>
          </w:tcPr>
          <w:p>
            <w:pPr>
              <w:spacing w:line="232" w:lineRule="exact"/>
              <w:jc w:val="center"/>
              <w:rPr>
                <w:rFonts w:ascii="宋体" w:hAnsi="宋体" w:eastAsia="宋体"/>
                <w:color w:val="auto"/>
                <w:sz w:val="15"/>
                <w:szCs w:val="15"/>
                <w:highlight w:val="none"/>
              </w:rPr>
            </w:pPr>
          </w:p>
        </w:tc>
        <w:tc>
          <w:tcPr>
            <w:tcW w:w="1500" w:type="dxa"/>
            <w:vMerge w:val="continue"/>
            <w:vAlign w:val="center"/>
          </w:tcPr>
          <w:p>
            <w:pPr>
              <w:spacing w:line="232" w:lineRule="exact"/>
              <w:rPr>
                <w:rFonts w:ascii="宋体" w:hAnsi="宋体" w:eastAsia="宋体"/>
                <w:color w:val="auto"/>
                <w:sz w:val="15"/>
                <w:szCs w:val="15"/>
                <w:highlight w:val="none"/>
              </w:rPr>
            </w:pPr>
          </w:p>
        </w:tc>
        <w:tc>
          <w:tcPr>
            <w:tcW w:w="2789" w:type="dxa"/>
            <w:vMerge w:val="continue"/>
            <w:vAlign w:val="center"/>
          </w:tcPr>
          <w:p>
            <w:pPr>
              <w:spacing w:line="232" w:lineRule="exact"/>
              <w:rPr>
                <w:rFonts w:ascii="宋体" w:hAnsi="宋体" w:eastAsia="宋体"/>
                <w:color w:val="auto"/>
                <w:sz w:val="15"/>
                <w:szCs w:val="15"/>
                <w:highlight w:val="none"/>
              </w:rPr>
            </w:pP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8" w:hRule="atLeast"/>
          <w:jc w:val="center"/>
        </w:trPr>
        <w:tc>
          <w:tcPr>
            <w:tcW w:w="940" w:type="dxa"/>
            <w:vMerge w:val="restart"/>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8</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破坏古树名木保护设施、保护标志</w:t>
            </w:r>
          </w:p>
        </w:tc>
        <w:tc>
          <w:tcPr>
            <w:tcW w:w="2789" w:type="dxa"/>
            <w:vMerge w:val="restart"/>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十七条第六</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vAlign w:val="center"/>
          </w:tcPr>
          <w:p>
            <w:pPr>
              <w:spacing w:line="232" w:lineRule="exact"/>
              <w:jc w:val="center"/>
              <w:rPr>
                <w:rFonts w:ascii="宋体" w:hAnsi="宋体" w:eastAsia="宋体" w:cs="宋体"/>
                <w:color w:val="auto"/>
                <w:kern w:val="0"/>
                <w:sz w:val="15"/>
                <w:szCs w:val="15"/>
                <w:highlight w:val="none"/>
              </w:rPr>
            </w:pPr>
          </w:p>
        </w:tc>
        <w:tc>
          <w:tcPr>
            <w:tcW w:w="840" w:type="dxa"/>
            <w:vAlign w:val="center"/>
          </w:tcPr>
          <w:p>
            <w:pPr>
              <w:spacing w:line="232" w:lineRule="exact"/>
              <w:jc w:val="center"/>
              <w:rPr>
                <w:rFonts w:ascii="宋体" w:hAnsi="宋体" w:eastAsia="宋体" w:cs="宋体"/>
                <w:color w:val="auto"/>
                <w:kern w:val="0"/>
                <w:sz w:val="15"/>
                <w:szCs w:val="15"/>
                <w:highlight w:val="none"/>
              </w:rPr>
            </w:pPr>
          </w:p>
        </w:tc>
        <w:tc>
          <w:tcPr>
            <w:tcW w:w="2304" w:type="dxa"/>
            <w:vAlign w:val="center"/>
          </w:tcPr>
          <w:p>
            <w:pPr>
              <w:spacing w:line="232" w:lineRule="exact"/>
              <w:rPr>
                <w:rFonts w:hint="default" w:ascii="宋体" w:hAnsi="宋体" w:cs="宋体"/>
                <w:color w:val="auto"/>
                <w:kern w:val="0"/>
                <w:sz w:val="15"/>
                <w:szCs w:val="15"/>
                <w:highlight w:val="none"/>
                <w:lang w:val="en-US" w:eastAsia="zh-CN"/>
              </w:rPr>
            </w:pPr>
          </w:p>
        </w:tc>
        <w:tc>
          <w:tcPr>
            <w:tcW w:w="1785" w:type="dxa"/>
            <w:vAlign w:val="center"/>
          </w:tcPr>
          <w:p>
            <w:pPr>
              <w:spacing w:line="232" w:lineRule="exact"/>
              <w:rPr>
                <w:rFonts w:ascii="宋体" w:hAnsi="宋体" w:eastAsia="宋体" w:cs="宋体"/>
                <w:color w:val="auto"/>
                <w:kern w:val="0"/>
                <w:sz w:val="15"/>
                <w:szCs w:val="15"/>
                <w:highlight w:val="none"/>
              </w:rPr>
            </w:pPr>
          </w:p>
        </w:tc>
        <w:tc>
          <w:tcPr>
            <w:tcW w:w="23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8" w:hRule="atLeast"/>
          <w:jc w:val="center"/>
        </w:trPr>
        <w:tc>
          <w:tcPr>
            <w:tcW w:w="940" w:type="dxa"/>
            <w:vMerge w:val="continue"/>
            <w:vAlign w:val="center"/>
          </w:tcPr>
          <w:p>
            <w:pPr>
              <w:spacing w:line="232" w:lineRule="exact"/>
              <w:jc w:val="center"/>
              <w:rPr>
                <w:rFonts w:hint="eastAsia" w:ascii="宋体" w:hAnsi="宋体" w:eastAsia="宋体" w:cs="宋体"/>
                <w:color w:val="auto"/>
                <w:kern w:val="0"/>
                <w:sz w:val="15"/>
                <w:szCs w:val="15"/>
                <w:highlight w:val="none"/>
                <w:lang w:val="en-US" w:eastAsia="zh-CN"/>
              </w:rPr>
            </w:pPr>
          </w:p>
        </w:tc>
        <w:tc>
          <w:tcPr>
            <w:tcW w:w="1500" w:type="dxa"/>
            <w:vMerge w:val="continue"/>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vAlign w:val="center"/>
          </w:tcPr>
          <w:p>
            <w:pPr>
              <w:spacing w:line="232" w:lineRule="exact"/>
              <w:rPr>
                <w:rFonts w:hint="eastAsia" w:ascii="宋体" w:hAnsi="宋体" w:eastAsia="宋体" w:cs="宋体"/>
                <w:color w:val="auto"/>
                <w:kern w:val="0"/>
                <w:sz w:val="15"/>
                <w:szCs w:val="15"/>
                <w:highlight w:val="none"/>
              </w:rPr>
            </w:pPr>
          </w:p>
        </w:tc>
        <w:tc>
          <w:tcPr>
            <w:tcW w:w="851" w:type="dxa"/>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3.涉及保护设施或保护标志3处及以上的，系数1。</w:t>
            </w: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continue"/>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vAlign w:val="center"/>
          </w:tcPr>
          <w:p>
            <w:pPr>
              <w:spacing w:line="232" w:lineRule="exact"/>
              <w:rPr>
                <w:rFonts w:ascii="宋体" w:hAnsi="宋体" w:eastAsia="宋体" w:cs="宋体"/>
                <w:color w:val="auto"/>
                <w:kern w:val="0"/>
                <w:sz w:val="15"/>
                <w:szCs w:val="15"/>
                <w:highlight w:val="none"/>
              </w:rPr>
            </w:pPr>
          </w:p>
        </w:tc>
        <w:tc>
          <w:tcPr>
            <w:tcW w:w="2789" w:type="dxa"/>
            <w:vMerge w:val="continue"/>
            <w:vAlign w:val="center"/>
          </w:tcPr>
          <w:p>
            <w:pPr>
              <w:spacing w:line="232" w:lineRule="exact"/>
              <w:rPr>
                <w:rFonts w:ascii="宋体" w:hAnsi="宋体" w:eastAsia="宋体" w:cs="宋体"/>
                <w:color w:val="auto"/>
                <w:kern w:val="0"/>
                <w:sz w:val="15"/>
                <w:szCs w:val="15"/>
                <w:highlight w:val="none"/>
              </w:rPr>
            </w:pP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lang w:eastAsia="zh-CN"/>
              </w:rPr>
              <w:t>涉及古树名木</w:t>
            </w:r>
            <w:r>
              <w:rPr>
                <w:rFonts w:hint="eastAsia" w:ascii="宋体" w:hAnsi="宋体" w:eastAsia="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3.涉及保护设施或保护标志3处及以上的，系数1。</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 w:hRule="atLeast"/>
          <w:jc w:val="center"/>
        </w:trPr>
        <w:tc>
          <w:tcPr>
            <w:tcW w:w="940" w:type="dxa"/>
            <w:vMerge w:val="restart"/>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9</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其他损害古树名木及其生长环境的行为</w:t>
            </w:r>
          </w:p>
        </w:tc>
        <w:tc>
          <w:tcPr>
            <w:tcW w:w="2789" w:type="dxa"/>
            <w:vMerge w:val="restart"/>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十七条第七</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p>
        </w:tc>
        <w:tc>
          <w:tcPr>
            <w:tcW w:w="1785" w:type="dxa"/>
            <w:vAlign w:val="center"/>
          </w:tcPr>
          <w:p>
            <w:pPr>
              <w:spacing w:line="232" w:lineRule="exact"/>
              <w:rPr>
                <w:rFonts w:hint="eastAsia" w:ascii="宋体" w:hAnsi="宋体" w:eastAsia="宋体" w:cs="宋体"/>
                <w:color w:val="auto"/>
                <w:kern w:val="0"/>
                <w:sz w:val="15"/>
                <w:szCs w:val="15"/>
                <w:highlight w:val="none"/>
              </w:rPr>
            </w:pPr>
          </w:p>
        </w:tc>
        <w:tc>
          <w:tcPr>
            <w:tcW w:w="23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 w:hRule="atLeast"/>
          <w:jc w:val="center"/>
        </w:trPr>
        <w:tc>
          <w:tcPr>
            <w:tcW w:w="940" w:type="dxa"/>
            <w:vMerge w:val="continue"/>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vAlign w:val="center"/>
          </w:tcPr>
          <w:p>
            <w:pPr>
              <w:spacing w:line="232" w:lineRule="exact"/>
              <w:rPr>
                <w:rFonts w:hint="eastAsia" w:ascii="宋体" w:hAnsi="宋体" w:eastAsia="宋体" w:cs="宋体"/>
                <w:color w:val="auto"/>
                <w:kern w:val="0"/>
                <w:sz w:val="15"/>
                <w:szCs w:val="15"/>
                <w:highlight w:val="none"/>
              </w:rPr>
            </w:pPr>
          </w:p>
        </w:tc>
        <w:tc>
          <w:tcPr>
            <w:tcW w:w="851" w:type="dxa"/>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rPr>
            </w:pPr>
          </w:p>
        </w:tc>
        <w:tc>
          <w:tcPr>
            <w:tcW w:w="824" w:type="dxa"/>
            <w:vAlign w:val="center"/>
          </w:tcPr>
          <w:p>
            <w:pPr>
              <w:spacing w:line="232" w:lineRule="exact"/>
              <w:jc w:val="center"/>
              <w:rPr>
                <w:rFonts w:hint="eastAsia" w:ascii="宋体" w:hAnsi="宋体" w:eastAsia="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continue"/>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vAlign w:val="center"/>
          </w:tcPr>
          <w:p>
            <w:pPr>
              <w:spacing w:line="232" w:lineRule="exact"/>
              <w:rPr>
                <w:rFonts w:ascii="宋体" w:hAnsi="宋体" w:eastAsia="宋体" w:cs="宋体"/>
                <w:color w:val="auto"/>
                <w:kern w:val="0"/>
                <w:sz w:val="15"/>
                <w:szCs w:val="15"/>
                <w:highlight w:val="none"/>
              </w:rPr>
            </w:pPr>
          </w:p>
        </w:tc>
        <w:tc>
          <w:tcPr>
            <w:tcW w:w="2789" w:type="dxa"/>
            <w:vMerge w:val="continue"/>
            <w:vAlign w:val="center"/>
          </w:tcPr>
          <w:p>
            <w:pPr>
              <w:spacing w:line="232" w:lineRule="exact"/>
              <w:rPr>
                <w:rFonts w:ascii="宋体" w:hAnsi="宋体" w:eastAsia="宋体" w:cs="宋体"/>
                <w:color w:val="auto"/>
                <w:kern w:val="0"/>
                <w:sz w:val="15"/>
                <w:szCs w:val="15"/>
                <w:highlight w:val="none"/>
              </w:rPr>
            </w:pPr>
          </w:p>
        </w:tc>
        <w:tc>
          <w:tcPr>
            <w:tcW w:w="851" w:type="dxa"/>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restart"/>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损害古树名木及其生长环境，造成古树名木死亡</w:t>
            </w:r>
          </w:p>
        </w:tc>
        <w:tc>
          <w:tcPr>
            <w:tcW w:w="2789" w:type="dxa"/>
            <w:vMerge w:val="restart"/>
            <w:vAlign w:val="center"/>
          </w:tcPr>
          <w:p>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违反条款：第十七条第一项、第二项、第三项、第四项、第五项、第六项、第七项</w:t>
            </w:r>
            <w:r>
              <w:rPr>
                <w:rFonts w:hint="eastAsia" w:ascii="宋体" w:hAnsi="宋体" w:cs="宋体"/>
                <w:color w:val="auto"/>
                <w:kern w:val="0"/>
                <w:sz w:val="15"/>
                <w:szCs w:val="15"/>
                <w:highlight w:val="none"/>
                <w:lang w:eastAsia="zh-CN"/>
              </w:rPr>
              <w:t>；第十八条第一款；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vAlign w:val="center"/>
          </w:tcPr>
          <w:p>
            <w:pPr>
              <w:spacing w:line="232" w:lineRule="exact"/>
              <w:jc w:val="center"/>
              <w:rPr>
                <w:rFonts w:hint="eastAsia" w:ascii="宋体" w:hAnsi="宋体" w:cs="宋体"/>
                <w:color w:val="auto"/>
                <w:kern w:val="0"/>
                <w:sz w:val="15"/>
                <w:szCs w:val="15"/>
                <w:highlight w:val="none"/>
                <w:lang w:val="en-US" w:eastAsia="zh-CN"/>
              </w:rPr>
            </w:pPr>
            <w:r>
              <w:rPr>
                <w:rFonts w:hint="default" w:ascii="宋体" w:hAnsi="宋体" w:cs="宋体"/>
                <w:color w:val="auto"/>
                <w:kern w:val="0"/>
                <w:sz w:val="15"/>
                <w:szCs w:val="15"/>
                <w:highlight w:val="none"/>
                <w:lang w:val="en-US"/>
              </w:rPr>
              <w:t>500000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w:t>
            </w:r>
            <w:r>
              <w:rPr>
                <w:rFonts w:hint="eastAsia" w:ascii="宋体" w:hAnsi="宋体" w:cs="宋体"/>
                <w:color w:val="auto"/>
                <w:kern w:val="0"/>
                <w:sz w:val="15"/>
                <w:szCs w:val="15"/>
                <w:highlight w:val="none"/>
                <w:lang w:val="en-US" w:eastAsia="zh-CN"/>
              </w:rPr>
              <w:t>一</w:t>
            </w:r>
            <w:r>
              <w:rPr>
                <w:rFonts w:hint="eastAsia" w:ascii="宋体" w:hAnsi="宋体" w:cs="宋体"/>
                <w:color w:val="auto"/>
                <w:kern w:val="0"/>
                <w:sz w:val="15"/>
                <w:szCs w:val="15"/>
                <w:highlight w:val="none"/>
                <w:lang w:eastAsia="zh-CN"/>
              </w:rPr>
              <w:t>级保护的古树和名木死亡情形</w:t>
            </w:r>
            <w:r>
              <w:rPr>
                <w:rFonts w:hint="eastAsia" w:ascii="宋体" w:hAnsi="宋体" w:eastAsia="宋体" w:cs="宋体"/>
                <w:color w:val="auto"/>
                <w:kern w:val="0"/>
                <w:sz w:val="15"/>
                <w:szCs w:val="15"/>
                <w:highlight w:val="none"/>
                <w:lang w:eastAsia="zh-CN"/>
              </w:rPr>
              <w:t>。</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continue"/>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vAlign w:val="center"/>
          </w:tcPr>
          <w:p>
            <w:pPr>
              <w:spacing w:line="232" w:lineRule="exact"/>
              <w:rPr>
                <w:rFonts w:ascii="宋体" w:hAnsi="宋体" w:eastAsia="宋体" w:cs="宋体"/>
                <w:color w:val="auto"/>
                <w:kern w:val="0"/>
                <w:sz w:val="15"/>
                <w:szCs w:val="15"/>
                <w:highlight w:val="none"/>
              </w:rPr>
            </w:pPr>
          </w:p>
        </w:tc>
        <w:tc>
          <w:tcPr>
            <w:tcW w:w="2789" w:type="dxa"/>
            <w:vMerge w:val="continue"/>
            <w:vAlign w:val="center"/>
          </w:tcPr>
          <w:p>
            <w:pPr>
              <w:spacing w:line="232" w:lineRule="exact"/>
              <w:rPr>
                <w:rFonts w:ascii="宋体" w:hAnsi="宋体" w:eastAsia="宋体" w:cs="宋体"/>
                <w:color w:val="auto"/>
                <w:kern w:val="0"/>
                <w:sz w:val="15"/>
                <w:szCs w:val="15"/>
                <w:highlight w:val="none"/>
              </w:rPr>
            </w:pPr>
          </w:p>
        </w:tc>
        <w:tc>
          <w:tcPr>
            <w:tcW w:w="851" w:type="dxa"/>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造成二</w:t>
            </w:r>
            <w:r>
              <w:rPr>
                <w:rFonts w:hint="eastAsia" w:ascii="宋体" w:hAnsi="宋体" w:cs="宋体"/>
                <w:color w:val="auto"/>
                <w:kern w:val="0"/>
                <w:sz w:val="15"/>
                <w:szCs w:val="15"/>
                <w:highlight w:val="none"/>
                <w:lang w:eastAsia="zh-CN"/>
              </w:rPr>
              <w:t>级保护的古树死亡情形</w:t>
            </w:r>
            <w:r>
              <w:rPr>
                <w:rFonts w:hint="eastAsia" w:ascii="宋体" w:hAnsi="宋体" w:eastAsia="宋体" w:cs="宋体"/>
                <w:color w:val="auto"/>
                <w:kern w:val="0"/>
                <w:sz w:val="15"/>
                <w:szCs w:val="15"/>
                <w:highlight w:val="none"/>
                <w:lang w:eastAsia="zh-CN"/>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restart"/>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11</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建设施工未按规定避开古树名木保护范围或者未采取必要工程措施</w:t>
            </w:r>
          </w:p>
        </w:tc>
        <w:tc>
          <w:tcPr>
            <w:tcW w:w="2789" w:type="dxa"/>
            <w:vMerge w:val="restart"/>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w:t>
            </w:r>
            <w:r>
              <w:rPr>
                <w:rFonts w:hint="eastAsia" w:ascii="宋体" w:hAnsi="宋体" w:eastAsia="宋体" w:cs="宋体"/>
                <w:color w:val="auto"/>
                <w:kern w:val="0"/>
                <w:sz w:val="15"/>
                <w:szCs w:val="15"/>
                <w:highlight w:val="none"/>
                <w:lang w:eastAsia="zh-CN"/>
              </w:rPr>
              <w:t>八</w:t>
            </w:r>
            <w:r>
              <w:rPr>
                <w:rFonts w:hint="eastAsia" w:ascii="宋体" w:hAnsi="宋体" w:eastAsia="宋体" w:cs="宋体"/>
                <w:color w:val="auto"/>
                <w:kern w:val="0"/>
                <w:sz w:val="15"/>
                <w:szCs w:val="15"/>
                <w:highlight w:val="none"/>
              </w:rPr>
              <w:t>条第</w:t>
            </w:r>
            <w:r>
              <w:rPr>
                <w:rFonts w:hint="eastAsia" w:ascii="宋体" w:hAnsi="宋体" w:eastAsia="宋体" w:cs="宋体"/>
                <w:color w:val="auto"/>
                <w:kern w:val="0"/>
                <w:sz w:val="15"/>
                <w:szCs w:val="15"/>
                <w:highlight w:val="none"/>
                <w:lang w:eastAsia="zh-CN"/>
              </w:rPr>
              <w:t>一款；</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eastAsia="zh-CN"/>
              </w:rPr>
              <w:t>处罚条款：第二十八条</w:t>
            </w:r>
            <w:r>
              <w:rPr>
                <w:rFonts w:hint="eastAsia" w:ascii="宋体" w:hAnsi="宋体" w:cs="宋体"/>
                <w:color w:val="auto"/>
                <w:kern w:val="0"/>
                <w:sz w:val="15"/>
                <w:szCs w:val="15"/>
                <w:highlight w:val="none"/>
                <w:lang w:val="en-US" w:eastAsia="zh-CN"/>
              </w:rPr>
              <w:t xml:space="preserve">第一项、第二项 </w:t>
            </w:r>
            <w:r>
              <w:rPr>
                <w:rFonts w:hint="eastAsia" w:ascii="宋体" w:hAnsi="宋体" w:eastAsia="宋体" w:cs="宋体"/>
                <w:color w:val="auto"/>
                <w:kern w:val="0"/>
                <w:sz w:val="15"/>
                <w:szCs w:val="15"/>
                <w:highlight w:val="none"/>
                <w:lang w:val="en-US" w:eastAsia="zh-CN"/>
              </w:rPr>
              <w:t xml:space="preserve"> 责令停止违法行为、限期恢复原状或者采取其他补救措施，没收违法所得；拒不停止违法行为、逾期不恢复原状、不采取其他补救措施或者造成严重后果的，依照下列规定处以罚款：</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（一）涉及实行一级保护的古树和名木的，处每株20万元以上50万元以下的罚款；</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（二）涉及实行二级保护的古树的，处每株10万元以上20万元以下的罚款；</w:t>
            </w:r>
          </w:p>
        </w:tc>
        <w:tc>
          <w:tcPr>
            <w:tcW w:w="851" w:type="dxa"/>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一</w:t>
            </w:r>
            <w:r>
              <w:rPr>
                <w:rFonts w:hint="eastAsia" w:ascii="宋体" w:hAnsi="宋体" w:cs="宋体"/>
                <w:color w:val="auto"/>
                <w:kern w:val="0"/>
                <w:sz w:val="15"/>
                <w:szCs w:val="15"/>
                <w:highlight w:val="none"/>
                <w:lang w:eastAsia="zh-CN"/>
              </w:rPr>
              <w:t>级保护的古树和名木</w:t>
            </w:r>
            <w:r>
              <w:rPr>
                <w:rFonts w:hint="eastAsia" w:ascii="宋体" w:hAnsi="宋体" w:eastAsia="宋体" w:cs="宋体"/>
                <w:color w:val="auto"/>
                <w:kern w:val="0"/>
                <w:sz w:val="15"/>
                <w:szCs w:val="15"/>
                <w:highlight w:val="none"/>
                <w:lang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continue"/>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vAlign w:val="center"/>
          </w:tcPr>
          <w:p>
            <w:pPr>
              <w:spacing w:line="232" w:lineRule="exact"/>
              <w:rPr>
                <w:rFonts w:ascii="宋体" w:hAnsi="宋体" w:eastAsia="宋体" w:cs="宋体"/>
                <w:color w:val="auto"/>
                <w:kern w:val="0"/>
                <w:sz w:val="15"/>
                <w:szCs w:val="15"/>
                <w:highlight w:val="none"/>
              </w:rPr>
            </w:pPr>
          </w:p>
        </w:tc>
        <w:tc>
          <w:tcPr>
            <w:tcW w:w="2789" w:type="dxa"/>
            <w:vMerge w:val="continue"/>
            <w:vAlign w:val="center"/>
          </w:tcPr>
          <w:p>
            <w:pPr>
              <w:spacing w:line="232" w:lineRule="exact"/>
              <w:rPr>
                <w:rFonts w:ascii="宋体" w:hAnsi="宋体" w:eastAsia="宋体" w:cs="宋体"/>
                <w:color w:val="auto"/>
                <w:kern w:val="0"/>
                <w:sz w:val="15"/>
                <w:szCs w:val="15"/>
                <w:highlight w:val="none"/>
              </w:rPr>
            </w:pPr>
          </w:p>
        </w:tc>
        <w:tc>
          <w:tcPr>
            <w:tcW w:w="851" w:type="dxa"/>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default" w:ascii="宋体" w:hAnsi="宋体" w:cs="宋体"/>
                <w:color w:val="auto"/>
                <w:kern w:val="0"/>
                <w:sz w:val="15"/>
                <w:szCs w:val="15"/>
                <w:highlight w:val="none"/>
                <w:lang w:val="en-US"/>
              </w:rPr>
              <w:t>00000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numPr>
                <w:ilvl w:val="0"/>
                <w:numId w:val="0"/>
              </w:numPr>
              <w:spacing w:line="232" w:lineRule="exact"/>
              <w:ind w:left="0" w:leftChars="0" w:firstLine="0" w:firstLineChars="0"/>
              <w:rPr>
                <w:rFonts w:hint="eastAsia" w:ascii="宋体" w:hAnsi="宋体" w:cs="宋体"/>
                <w:color w:val="auto"/>
                <w:kern w:val="0"/>
                <w:sz w:val="15"/>
                <w:szCs w:val="15"/>
                <w:highlight w:val="none"/>
                <w:lang w:val="en-US" w:eastAsia="zh-CN"/>
              </w:rPr>
            </w:pP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vAlign w:val="center"/>
          </w:tcPr>
          <w:p>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14218" w:type="dxa"/>
            <w:gridSpan w:val="9"/>
            <w:vAlign w:val="center"/>
          </w:tcPr>
          <w:p>
            <w:pPr>
              <w:pStyle w:val="3"/>
              <w:bidi w:val="0"/>
              <w:jc w:val="center"/>
              <w:rPr>
                <w:rFonts w:hint="eastAsia"/>
                <w:lang w:val="en-US" w:eastAsia="zh-CN"/>
              </w:rPr>
            </w:pPr>
            <w:bookmarkStart w:id="110" w:name="_Toc1270096950"/>
            <w:r>
              <w:rPr>
                <w:rFonts w:hint="eastAsia"/>
              </w:rPr>
              <w:t>《北京市古树名木保护管理条例》案由</w:t>
            </w:r>
            <w:r>
              <w:rPr>
                <w:rFonts w:hint="eastAsia"/>
                <w:lang w:val="en-US" w:eastAsia="zh-CN"/>
              </w:rPr>
              <w:t>3项</w:t>
            </w:r>
            <w:bookmarkEnd w:id="1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33" w:hRule="atLeast"/>
          <w:jc w:val="center"/>
        </w:trPr>
        <w:tc>
          <w:tcPr>
            <w:tcW w:w="940" w:type="dxa"/>
            <w:vMerge w:val="restart"/>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1</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未按规定养护管理古树名木</w:t>
            </w:r>
          </w:p>
        </w:tc>
        <w:tc>
          <w:tcPr>
            <w:tcW w:w="2789"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违反条款：第十一条第一款；处罚条款：第十八条第一款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vAlign w:val="center"/>
          </w:tcPr>
          <w:p>
            <w:pPr>
              <w:spacing w:line="232" w:lineRule="exact"/>
              <w:rPr>
                <w:rFonts w:ascii="宋体" w:hAnsi="宋体" w:eastAsia="宋体" w:cs="宋体"/>
                <w:color w:val="auto"/>
                <w:kern w:val="0"/>
                <w:sz w:val="15"/>
                <w:szCs w:val="15"/>
                <w:highlight w:val="none"/>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0" w:hRule="atLeast"/>
          <w:jc w:val="center"/>
        </w:trPr>
        <w:tc>
          <w:tcPr>
            <w:tcW w:w="940" w:type="dxa"/>
            <w:vMerge w:val="continue"/>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vAlign w:val="center"/>
          </w:tcPr>
          <w:p>
            <w:pPr>
              <w:spacing w:line="232" w:lineRule="exact"/>
              <w:rPr>
                <w:rFonts w:ascii="宋体" w:hAnsi="宋体" w:eastAsia="宋体" w:cs="宋体"/>
                <w:color w:val="auto"/>
                <w:kern w:val="0"/>
                <w:sz w:val="15"/>
                <w:szCs w:val="15"/>
                <w:highlight w:val="none"/>
              </w:rPr>
            </w:pPr>
          </w:p>
        </w:tc>
        <w:tc>
          <w:tcPr>
            <w:tcW w:w="2789" w:type="dxa"/>
            <w:vMerge w:val="continue"/>
            <w:vAlign w:val="center"/>
          </w:tcPr>
          <w:p>
            <w:pPr>
              <w:spacing w:line="232" w:lineRule="exact"/>
              <w:rPr>
                <w:rFonts w:ascii="宋体" w:hAnsi="宋体" w:eastAsia="宋体" w:cs="宋体"/>
                <w:color w:val="auto"/>
                <w:kern w:val="0"/>
                <w:sz w:val="15"/>
                <w:szCs w:val="15"/>
                <w:highlight w:val="none"/>
              </w:rPr>
            </w:pP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5" w:hRule="atLeast"/>
          <w:jc w:val="center"/>
        </w:trPr>
        <w:tc>
          <w:tcPr>
            <w:tcW w:w="940" w:type="dxa"/>
            <w:vMerge w:val="restart"/>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2</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未按要求对古树名木治理、复壮</w:t>
            </w:r>
          </w:p>
        </w:tc>
        <w:tc>
          <w:tcPr>
            <w:tcW w:w="2789"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违反条款：第十一条第二款；处罚条款：第十八条第一款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vAlign w:val="center"/>
          </w:tcPr>
          <w:p>
            <w:pPr>
              <w:spacing w:line="232" w:lineRule="exact"/>
              <w:rPr>
                <w:rFonts w:ascii="宋体" w:hAnsi="宋体" w:eastAsia="宋体" w:cs="宋体"/>
                <w:color w:val="auto"/>
                <w:kern w:val="0"/>
                <w:sz w:val="15"/>
                <w:szCs w:val="15"/>
                <w:highlight w:val="none"/>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43" w:hRule="atLeast"/>
          <w:jc w:val="center"/>
        </w:trPr>
        <w:tc>
          <w:tcPr>
            <w:tcW w:w="940" w:type="dxa"/>
            <w:vMerge w:val="continue"/>
            <w:vAlign w:val="center"/>
          </w:tcPr>
          <w:p>
            <w:pPr>
              <w:spacing w:line="232" w:lineRule="exact"/>
              <w:jc w:val="center"/>
              <w:rPr>
                <w:rFonts w:ascii="宋体" w:hAnsi="宋体" w:eastAsia="宋体"/>
                <w:color w:val="auto"/>
                <w:sz w:val="15"/>
                <w:szCs w:val="15"/>
                <w:highlight w:val="none"/>
              </w:rPr>
            </w:pPr>
          </w:p>
        </w:tc>
        <w:tc>
          <w:tcPr>
            <w:tcW w:w="1500" w:type="dxa"/>
            <w:vMerge w:val="continue"/>
            <w:vAlign w:val="center"/>
          </w:tcPr>
          <w:p>
            <w:pPr>
              <w:spacing w:line="232" w:lineRule="exact"/>
              <w:rPr>
                <w:rFonts w:ascii="宋体" w:hAnsi="宋体" w:eastAsia="宋体"/>
                <w:color w:val="auto"/>
                <w:sz w:val="15"/>
                <w:szCs w:val="15"/>
                <w:highlight w:val="none"/>
              </w:rPr>
            </w:pPr>
          </w:p>
        </w:tc>
        <w:tc>
          <w:tcPr>
            <w:tcW w:w="2789" w:type="dxa"/>
            <w:vMerge w:val="continue"/>
            <w:vAlign w:val="center"/>
          </w:tcPr>
          <w:p>
            <w:pPr>
              <w:spacing w:line="232" w:lineRule="exact"/>
              <w:rPr>
                <w:rFonts w:ascii="宋体" w:hAnsi="宋体" w:eastAsia="宋体"/>
                <w:color w:val="auto"/>
                <w:sz w:val="15"/>
                <w:szCs w:val="15"/>
                <w:highlight w:val="none"/>
              </w:rPr>
            </w:pP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8" w:hRule="atLeast"/>
          <w:jc w:val="center"/>
        </w:trPr>
        <w:tc>
          <w:tcPr>
            <w:tcW w:w="940" w:type="dxa"/>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3</w:t>
            </w:r>
          </w:p>
        </w:tc>
        <w:tc>
          <w:tcPr>
            <w:tcW w:w="1500"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擅自处理死亡古树名木</w:t>
            </w:r>
          </w:p>
        </w:tc>
        <w:tc>
          <w:tcPr>
            <w:tcW w:w="2789" w:type="dxa"/>
            <w:vAlign w:val="center"/>
          </w:tcPr>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违反条款：第十一条第三款；</w:t>
            </w:r>
          </w:p>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处罚条款：第十八条第二款 每株处以2000元至1万元罚款。</w:t>
            </w: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pStyle w:val="6"/>
              <w:spacing w:line="212" w:lineRule="exact"/>
              <w:jc w:val="both"/>
              <w:rPr>
                <w:rFonts w:hint="default" w:ascii="宋体" w:hAnsi="宋体" w:eastAsia="宋体"/>
                <w:color w:val="auto"/>
                <w:sz w:val="15"/>
                <w:szCs w:val="15"/>
                <w:highlight w:val="none"/>
                <w:lang w:val="en-US" w:eastAsia="zh-CN"/>
              </w:rPr>
            </w:pPr>
            <w:r>
              <w:rPr>
                <w:rFonts w:hint="eastAsia" w:ascii="宋体" w:hAnsi="宋体" w:eastAsia="宋体" w:cs="宋体"/>
                <w:color w:val="auto"/>
                <w:kern w:val="0"/>
                <w:sz w:val="15"/>
                <w:szCs w:val="15"/>
                <w:highlight w:val="none"/>
              </w:rPr>
              <w:t>擅自处理死亡一级古树的，变量系数4；二级古树的，变量系数3</w:t>
            </w:r>
            <w:r>
              <w:rPr>
                <w:rFonts w:hint="eastAsia" w:ascii="宋体" w:hAnsi="宋体" w:eastAsia="宋体" w:cs="宋体"/>
                <w:color w:val="auto"/>
                <w:kern w:val="0"/>
                <w:sz w:val="15"/>
                <w:szCs w:val="15"/>
                <w:highlight w:val="none"/>
                <w:lang w:eastAsia="zh-CN"/>
              </w:rPr>
              <w:t>。</w:t>
            </w:r>
          </w:p>
        </w:tc>
        <w:tc>
          <w:tcPr>
            <w:tcW w:w="1785" w:type="dxa"/>
            <w:vAlign w:val="center"/>
          </w:tcPr>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＋变量系数）×N。N为株数。</w:t>
            </w:r>
          </w:p>
        </w:tc>
        <w:tc>
          <w:tcPr>
            <w:tcW w:w="2385" w:type="dxa"/>
            <w:vAlign w:val="center"/>
          </w:tcPr>
          <w:p>
            <w:pPr>
              <w:spacing w:line="232" w:lineRule="exact"/>
              <w:rPr>
                <w:rFonts w:ascii="宋体" w:hAnsi="宋体" w:eastAsia="宋体" w:cs="宋体"/>
                <w:color w:val="auto"/>
                <w:kern w:val="0"/>
                <w:sz w:val="15"/>
                <w:szCs w:val="15"/>
                <w:highlight w:val="none"/>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1" w:name="_Toc110851470"/>
            <w:bookmarkStart w:id="112" w:name="_Toc465734653"/>
            <w:bookmarkStart w:id="113" w:name="_Toc1662411082"/>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1"/>
            <w:bookmarkEnd w:id="112"/>
            <w:bookmarkEnd w:id="1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9"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61"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pPr>
              <w:spacing w:line="240" w:lineRule="exact"/>
              <w:rPr>
                <w:rFonts w:cs="宋体" w:asciiTheme="minorEastAsia" w:hAnsiTheme="minorEastAsia" w:eastAsiaTheme="minorEastAsia"/>
                <w:color w:val="auto"/>
                <w:kern w:val="0"/>
                <w:sz w:val="15"/>
                <w:szCs w:val="15"/>
                <w:highlight w:val="none"/>
              </w:rPr>
            </w:pP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pPr>
              <w:pStyle w:val="2"/>
              <w:bidi w:val="0"/>
              <w:rPr>
                <w:rFonts w:ascii="黑体" w:hAnsi="黑体" w:eastAsia="黑体" w:cs="宋体"/>
                <w:color w:val="auto"/>
                <w:kern w:val="0"/>
                <w:highlight w:val="none"/>
              </w:rPr>
            </w:pPr>
            <w:bookmarkStart w:id="114" w:name="_Toc277585206"/>
            <w:r>
              <w:rPr>
                <w:rFonts w:hint="eastAsia" w:ascii="黑体" w:hAnsi="黑体" w:eastAsia="黑体" w:cs="黑体"/>
                <w:b w:val="0"/>
                <w:bCs w:val="0"/>
                <w:color w:val="auto"/>
                <w:highlight w:val="none"/>
              </w:rPr>
              <w:t>环境保护管理方面</w:t>
            </w:r>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5" w:name="_Toc335980618"/>
            <w:r>
              <w:rPr>
                <w:rFonts w:hint="eastAsia"/>
                <w:color w:val="auto"/>
                <w:sz w:val="21"/>
                <w:szCs w:val="21"/>
                <w:highlight w:val="none"/>
              </w:rPr>
              <w:t>《中华人民共和国大气污染防治法》案由18项</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w:t>
            </w:r>
            <w:r>
              <w:rPr>
                <w:rFonts w:hint="eastAsia" w:asciiTheme="minorEastAsia" w:hAnsiTheme="minorEastAsia" w:eastAsiaTheme="minorEastAsia"/>
                <w:color w:val="auto"/>
                <w:sz w:val="15"/>
                <w:szCs w:val="15"/>
                <w:highlight w:val="none"/>
                <w:shd w:val="clear"/>
              </w:rPr>
              <w:t>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措施防</w:t>
            </w:r>
            <w:r>
              <w:rPr>
                <w:rFonts w:hint="eastAsia" w:asciiTheme="minorEastAsia" w:hAnsiTheme="minorEastAsia" w:eastAsiaTheme="minorEastAsia"/>
                <w:color w:val="auto"/>
                <w:sz w:val="15"/>
                <w:szCs w:val="15"/>
                <w:highlight w:val="none"/>
              </w:rPr>
              <w:t>止物料遗撒</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6" w:name="_Toc1112923929"/>
            <w:r>
              <w:rPr>
                <w:rFonts w:hint="eastAsia"/>
                <w:color w:val="auto"/>
                <w:sz w:val="21"/>
                <w:szCs w:val="21"/>
                <w:highlight w:val="none"/>
              </w:rPr>
              <w:t>《北京市大气污染防治条例》案由8项</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1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5"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rPr>
              <w:t>在政府划定的禁止范围内露天烧烤食品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07"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67"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7" w:name="_Toc110851471"/>
            <w:bookmarkStart w:id="118" w:name="_Toc1745180410"/>
            <w:bookmarkStart w:id="119" w:name="_Toc2026065898"/>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7"/>
            <w:bookmarkEnd w:id="118"/>
            <w:bookmarkEnd w:id="1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2" w:hRule="atLeast"/>
          <w:jc w:val="center"/>
        </w:trPr>
        <w:tc>
          <w:tcPr>
            <w:tcW w:w="940"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0" w:name="_Toc110851472"/>
            <w:bookmarkStart w:id="121" w:name="_Toc193344115"/>
            <w:bookmarkStart w:id="122" w:name="_Toc1713601146"/>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20"/>
            <w:bookmarkEnd w:id="121"/>
            <w:bookmarkEnd w:id="1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3" w:name="_Toc110851473"/>
            <w:bookmarkStart w:id="124" w:name="_Toc760985315"/>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25" w:name="_Toc1152737938"/>
            <w:r>
              <w:rPr>
                <w:rFonts w:hint="eastAsia" w:ascii="黑体" w:hAnsi="黑体" w:eastAsia="黑体"/>
                <w:b w:val="0"/>
                <w:color w:val="auto"/>
                <w:sz w:val="36"/>
                <w:szCs w:val="36"/>
                <w:highlight w:val="none"/>
              </w:rPr>
              <w:t>施工现场管理方面</w:t>
            </w:r>
            <w:bookmarkEnd w:id="123"/>
            <w:bookmarkEnd w:id="124"/>
            <w:bookmarkEnd w:id="1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6" w:name="_Toc110851474"/>
            <w:bookmarkStart w:id="127" w:name="_Toc1669927446"/>
            <w:bookmarkStart w:id="128" w:name="_Toc1377348640"/>
            <w:r>
              <w:rPr>
                <w:rFonts w:hint="eastAsia" w:asciiTheme="minorEastAsia" w:hAnsiTheme="minorEastAsia" w:eastAsiaTheme="minorEastAsia"/>
                <w:color w:val="auto"/>
                <w:sz w:val="21"/>
                <w:szCs w:val="21"/>
                <w:highlight w:val="none"/>
              </w:rPr>
              <w:t>《北京市大气污染防治条例》施工现场执法案由16项</w:t>
            </w:r>
            <w:bookmarkEnd w:id="126"/>
            <w:bookmarkEnd w:id="127"/>
            <w:bookmarkEnd w:id="1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9" w:name="_Toc854219027"/>
            <w:bookmarkStart w:id="130" w:name="_Toc110851475"/>
            <w:bookmarkStart w:id="131" w:name="_Toc1405674276"/>
            <w:r>
              <w:rPr>
                <w:rFonts w:hint="eastAsia" w:asciiTheme="minorEastAsia" w:hAnsiTheme="minorEastAsia" w:eastAsiaTheme="minorEastAsia"/>
                <w:color w:val="auto"/>
                <w:sz w:val="21"/>
                <w:szCs w:val="21"/>
                <w:highlight w:val="none"/>
              </w:rPr>
              <w:t>《北京市建设工程施工现场管理办法》案由13项</w:t>
            </w:r>
            <w:bookmarkEnd w:id="129"/>
            <w:bookmarkEnd w:id="130"/>
            <w:bookmarkEnd w:id="1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5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1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32" w:name="_Toc1256403622"/>
            <w:bookmarkStart w:id="133" w:name="_Toc110851476"/>
            <w:bookmarkStart w:id="134" w:name="_Toc871540661"/>
            <w:r>
              <w:rPr>
                <w:rFonts w:hint="eastAsia" w:ascii="黑体" w:hAnsi="黑体" w:eastAsia="黑体"/>
                <w:b w:val="0"/>
                <w:color w:val="auto"/>
                <w:sz w:val="36"/>
                <w:szCs w:val="36"/>
                <w:highlight w:val="none"/>
              </w:rPr>
              <w:t>停车场管理方面</w:t>
            </w:r>
            <w:bookmarkEnd w:id="132"/>
            <w:bookmarkEnd w:id="133"/>
            <w:bookmarkEnd w:id="1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5" w:name="_Toc509001082"/>
            <w:bookmarkStart w:id="136" w:name="_Toc110851477"/>
            <w:bookmarkStart w:id="137" w:name="_Toc939413149"/>
            <w:r>
              <w:rPr>
                <w:rFonts w:hint="eastAsia" w:asciiTheme="minorEastAsia" w:hAnsiTheme="minorEastAsia" w:eastAsiaTheme="minorEastAsia"/>
                <w:color w:val="auto"/>
                <w:sz w:val="21"/>
                <w:szCs w:val="21"/>
                <w:highlight w:val="none"/>
              </w:rPr>
              <w:t>《北京市机动车停车管理办法》案由13项</w:t>
            </w:r>
            <w:bookmarkEnd w:id="135"/>
            <w:bookmarkEnd w:id="136"/>
            <w:bookmarkEnd w:id="1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w:t>
            </w:r>
            <w:r>
              <w:rPr>
                <w:rFonts w:hint="eastAsia" w:asciiTheme="minorEastAsia" w:hAnsiTheme="minorEastAsia" w:eastAsiaTheme="minorEastAsia"/>
                <w:color w:val="auto"/>
                <w:sz w:val="15"/>
                <w:szCs w:val="15"/>
                <w:highlight w:val="none"/>
                <w:shd w:val="clear"/>
              </w:rPr>
              <w:t>本市其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相关停车管理服务规范和标准</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8" w:name="_Toc1557995543"/>
            <w:bookmarkStart w:id="139" w:name="_Toc110851478"/>
            <w:bookmarkStart w:id="140" w:name="_Toc865250467"/>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8"/>
            <w:bookmarkEnd w:id="139"/>
            <w:bookmarkEnd w:id="1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4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1" w:name="_Toc110851479"/>
            <w:bookmarkStart w:id="142" w:name="_Toc67594986"/>
            <w:bookmarkStart w:id="143" w:name="_Toc1046708354"/>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1"/>
            <w:bookmarkEnd w:id="142"/>
            <w:bookmarkEnd w:id="1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44" w:name="_Toc110851480"/>
            <w:bookmarkStart w:id="145" w:name="_Toc2072679585"/>
            <w:bookmarkStart w:id="146" w:name="_Toc516849734"/>
            <w:r>
              <w:rPr>
                <w:rFonts w:hint="eastAsia" w:ascii="黑体" w:hAnsi="黑体" w:eastAsia="黑体"/>
                <w:b w:val="0"/>
                <w:color w:val="auto"/>
                <w:sz w:val="36"/>
                <w:szCs w:val="36"/>
                <w:highlight w:val="none"/>
              </w:rPr>
              <w:t>交通运输管理方面</w:t>
            </w:r>
            <w:bookmarkEnd w:id="144"/>
            <w:bookmarkEnd w:id="145"/>
            <w:bookmarkEnd w:id="1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7" w:name="_Toc110851481"/>
            <w:bookmarkStart w:id="148" w:name="_Toc1833599949"/>
            <w:bookmarkStart w:id="149" w:name="_Toc1749370373"/>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7"/>
            <w:bookmarkEnd w:id="148"/>
            <w:bookmarkEnd w:id="1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0" w:name="_Toc121789162"/>
            <w:bookmarkStart w:id="151" w:name="_Toc110851482"/>
            <w:bookmarkStart w:id="152" w:name="_Toc1828970082"/>
            <w:r>
              <w:rPr>
                <w:rFonts w:hint="eastAsia" w:asciiTheme="minorEastAsia" w:hAnsiTheme="minorEastAsia" w:eastAsiaTheme="minorEastAsia"/>
                <w:color w:val="auto"/>
                <w:sz w:val="21"/>
                <w:szCs w:val="21"/>
                <w:highlight w:val="none"/>
              </w:rPr>
              <w:t>《北京市查处非法客运若干规定》案由2项</w:t>
            </w:r>
            <w:bookmarkEnd w:id="150"/>
            <w:bookmarkEnd w:id="151"/>
            <w:bookmarkEnd w:id="1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53" w:name="_Toc110851483"/>
            <w:bookmarkStart w:id="154" w:name="_Toc360901343"/>
            <w:bookmarkStart w:id="155" w:name="_Toc850008120"/>
            <w:r>
              <w:rPr>
                <w:rFonts w:hint="eastAsia" w:ascii="黑体" w:hAnsi="黑体" w:eastAsia="黑体"/>
                <w:b w:val="0"/>
                <w:color w:val="auto"/>
                <w:sz w:val="36"/>
                <w:szCs w:val="36"/>
                <w:highlight w:val="none"/>
              </w:rPr>
              <w:t>市场监督管理（流动无照经营）方面</w:t>
            </w:r>
            <w:bookmarkEnd w:id="153"/>
            <w:bookmarkEnd w:id="154"/>
            <w:bookmarkEnd w:id="1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6" w:name="_Toc704954681"/>
            <w:bookmarkStart w:id="157" w:name="_Toc110851484"/>
            <w:bookmarkStart w:id="158" w:name="_Toc1085677499"/>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6"/>
            <w:bookmarkEnd w:id="157"/>
            <w:bookmarkEnd w:id="1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75"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72"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04"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59" w:name="_Toc1160691890"/>
            <w:bookmarkStart w:id="160" w:name="_Toc110851485"/>
            <w:bookmarkStart w:id="161" w:name="_Toc1199414215"/>
            <w:r>
              <w:rPr>
                <w:rFonts w:hint="eastAsia" w:ascii="黑体" w:hAnsi="黑体" w:eastAsia="黑体"/>
                <w:b w:val="0"/>
                <w:color w:val="auto"/>
                <w:sz w:val="36"/>
                <w:szCs w:val="36"/>
                <w:highlight w:val="none"/>
              </w:rPr>
              <w:t>城</w:t>
            </w:r>
            <w:r>
              <w:rPr>
                <w:rFonts w:hint="eastAsia" w:ascii="黑体" w:hAnsi="黑体" w:eastAsia="黑体"/>
                <w:b w:val="0"/>
                <w:color w:val="auto"/>
                <w:sz w:val="36"/>
                <w:szCs w:val="36"/>
                <w:highlight w:val="none"/>
                <w:lang w:eastAsia="zh-CN"/>
              </w:rPr>
              <w:t>乡</w:t>
            </w:r>
            <w:r>
              <w:rPr>
                <w:rFonts w:hint="eastAsia" w:ascii="黑体" w:hAnsi="黑体" w:eastAsia="黑体"/>
                <w:b w:val="0"/>
                <w:color w:val="auto"/>
                <w:sz w:val="36"/>
                <w:szCs w:val="36"/>
                <w:highlight w:val="none"/>
              </w:rPr>
              <w:t>规划管理方面</w:t>
            </w:r>
            <w:bookmarkEnd w:id="159"/>
            <w:bookmarkEnd w:id="160"/>
            <w:bookmarkEnd w:id="1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2" w:name="_Toc110851486"/>
            <w:bookmarkStart w:id="163" w:name="_Toc187041735"/>
            <w:bookmarkStart w:id="164" w:name="_Toc811159149"/>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2"/>
            <w:bookmarkEnd w:id="163"/>
            <w:bookmarkEnd w:id="1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65" w:name="_Toc250975437"/>
            <w:bookmarkStart w:id="166" w:name="_Toc110851487"/>
            <w:bookmarkStart w:id="167" w:name="_Toc453168720"/>
            <w:r>
              <w:rPr>
                <w:rFonts w:hint="eastAsia" w:ascii="黑体" w:hAnsi="黑体" w:eastAsia="黑体"/>
                <w:b w:val="0"/>
                <w:color w:val="auto"/>
                <w:sz w:val="36"/>
                <w:szCs w:val="36"/>
                <w:highlight w:val="none"/>
              </w:rPr>
              <w:t>旅游管理（黑导游）方面</w:t>
            </w:r>
            <w:bookmarkEnd w:id="165"/>
            <w:bookmarkEnd w:id="166"/>
            <w:bookmarkEnd w:id="1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8" w:name="_Toc110851488"/>
            <w:bookmarkStart w:id="169" w:name="_Toc363033362"/>
            <w:bookmarkStart w:id="170" w:name="_Toc2018693019"/>
            <w:r>
              <w:rPr>
                <w:rFonts w:hint="eastAsia" w:asciiTheme="minorEastAsia" w:hAnsiTheme="minorEastAsia" w:eastAsiaTheme="minorEastAsia"/>
                <w:color w:val="auto"/>
                <w:sz w:val="21"/>
                <w:szCs w:val="21"/>
                <w:highlight w:val="none"/>
              </w:rPr>
              <w:t>《中华人民共和国旅游法》案由1项</w:t>
            </w:r>
            <w:bookmarkEnd w:id="168"/>
            <w:bookmarkEnd w:id="169"/>
            <w:bookmarkEnd w:id="1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36"/>
                <w:szCs w:val="36"/>
                <w:highlight w:val="none"/>
              </w:rPr>
            </w:pPr>
            <w:bookmarkStart w:id="171" w:name="_Toc8089072"/>
            <w:bookmarkStart w:id="172" w:name="_Toc110851489"/>
            <w:bookmarkStart w:id="173" w:name="_Toc2122998501"/>
            <w:r>
              <w:rPr>
                <w:rFonts w:hint="eastAsia" w:ascii="黑体" w:hAnsi="黑体" w:eastAsia="黑体"/>
                <w:b w:val="0"/>
                <w:color w:val="auto"/>
                <w:sz w:val="36"/>
                <w:szCs w:val="36"/>
                <w:highlight w:val="none"/>
              </w:rPr>
              <w:t>食品安全管理方面</w:t>
            </w:r>
            <w:bookmarkEnd w:id="171"/>
            <w:bookmarkEnd w:id="172"/>
            <w:bookmarkEnd w:id="1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4" w:name="_Toc110851490"/>
            <w:bookmarkStart w:id="175" w:name="_Toc948913247"/>
            <w:bookmarkStart w:id="176" w:name="_Toc347100741"/>
            <w:r>
              <w:rPr>
                <w:rFonts w:hint="eastAsia" w:asciiTheme="minorEastAsia" w:hAnsiTheme="minorEastAsia" w:eastAsiaTheme="minorEastAsia"/>
                <w:color w:val="auto"/>
                <w:sz w:val="21"/>
                <w:szCs w:val="21"/>
                <w:highlight w:val="none"/>
              </w:rPr>
              <w:t>《北京市小规模食品生产经营管理规定》案由23项</w:t>
            </w:r>
            <w:bookmarkEnd w:id="174"/>
            <w:bookmarkEnd w:id="175"/>
            <w:bookmarkEnd w:id="1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7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77" w:name="_Toc110851491"/>
            <w:bookmarkStart w:id="178" w:name="_Toc41635676"/>
            <w:bookmarkStart w:id="179" w:name="_Toc1834866177"/>
            <w:r>
              <w:rPr>
                <w:rFonts w:hint="eastAsia" w:ascii="黑体" w:hAnsi="黑体" w:eastAsia="黑体"/>
                <w:b w:val="0"/>
                <w:color w:val="auto"/>
                <w:sz w:val="36"/>
                <w:szCs w:val="36"/>
                <w:highlight w:val="none"/>
              </w:rPr>
              <w:t>能源运行管理方面</w:t>
            </w:r>
            <w:bookmarkEnd w:id="177"/>
            <w:bookmarkEnd w:id="178"/>
            <w:bookmarkEnd w:id="1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0" w:name="_Toc110851492"/>
            <w:bookmarkStart w:id="181" w:name="_Toc1482088652"/>
            <w:bookmarkStart w:id="182" w:name="_Toc1887328448"/>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0"/>
            <w:bookmarkEnd w:id="181"/>
            <w:bookmarkEnd w:id="1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966"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065"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3" w:name="_Toc1932982768"/>
            <w:bookmarkStart w:id="184" w:name="_Toc110851493"/>
            <w:bookmarkStart w:id="185" w:name="_Toc2128130996"/>
            <w:r>
              <w:rPr>
                <w:rFonts w:hint="eastAsia" w:asciiTheme="minorEastAsia" w:hAnsiTheme="minorEastAsia" w:eastAsiaTheme="minorEastAsia"/>
                <w:color w:val="auto"/>
                <w:sz w:val="21"/>
                <w:szCs w:val="21"/>
                <w:highlight w:val="none"/>
              </w:rPr>
              <w:t>《中华人民共和国可再生能源法》案由2项</w:t>
            </w:r>
            <w:bookmarkEnd w:id="183"/>
            <w:bookmarkEnd w:id="184"/>
            <w:bookmarkEnd w:id="1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92"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993"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6" w:name="_Toc2142516953"/>
            <w:bookmarkStart w:id="187" w:name="_Toc110851494"/>
            <w:bookmarkStart w:id="188" w:name="_Toc784521422"/>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6"/>
            <w:bookmarkEnd w:id="187"/>
            <w:bookmarkEnd w:id="1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79"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3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89" w:name="_Toc110851495"/>
            <w:bookmarkStart w:id="190" w:name="_Toc409668775"/>
            <w:bookmarkStart w:id="191" w:name="_Toc1256520048"/>
            <w:r>
              <w:rPr>
                <w:rFonts w:hint="eastAsia" w:asciiTheme="minorEastAsia" w:hAnsiTheme="minorEastAsia" w:eastAsiaTheme="minorEastAsia"/>
                <w:color w:val="auto"/>
                <w:sz w:val="21"/>
                <w:szCs w:val="21"/>
                <w:highlight w:val="none"/>
              </w:rPr>
              <w:t>《电力设施保护条例》《电力设施保护条例实施细则》案由5项</w:t>
            </w:r>
            <w:bookmarkEnd w:id="189"/>
            <w:bookmarkEnd w:id="190"/>
            <w:bookmarkEnd w:id="1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pStyle w:val="17"/>
              <w:ind w:left="0" w:leftChars="0" w:firstLine="0" w:firstLineChars="0"/>
              <w:rPr>
                <w:color w:val="auto"/>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pPr>
              <w:pStyle w:val="3"/>
              <w:bidi w:val="0"/>
              <w:jc w:val="center"/>
              <w:rPr>
                <w:rFonts w:hint="default"/>
                <w:lang w:val="en-US" w:eastAsia="zh-CN"/>
              </w:rPr>
            </w:pPr>
            <w:bookmarkStart w:id="192" w:name="_Toc1265530909"/>
            <w:r>
              <w:rPr>
                <w:rFonts w:hint="eastAsia"/>
                <w:sz w:val="21"/>
                <w:szCs w:val="21"/>
                <w:lang w:val="en-US" w:eastAsia="zh-CN"/>
              </w:rPr>
              <w:t>《北京市优化营商环境条例》案由1项</w:t>
            </w:r>
            <w:bookmarkEnd w:id="1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pStyle w:val="9"/>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color w:val="auto"/>
                <w:sz w:val="15"/>
                <w:szCs w:val="15"/>
                <w:highlight w:val="none"/>
              </w:rPr>
              <w:t>供电企业年供电可靠率低于国家有关规定</w:t>
            </w:r>
          </w:p>
        </w:tc>
        <w:tc>
          <w:tcPr>
            <w:tcW w:w="2789"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2"/>
                <w:rFonts w:hint="eastAsia" w:asciiTheme="minorEastAsia" w:hAnsiTheme="minorEastAsia" w:eastAsiaTheme="minorEastAsia" w:cstheme="minorEastAsia"/>
                <w:sz w:val="15"/>
                <w:szCs w:val="15"/>
                <w:lang w:val="en-US" w:eastAsia="zh-CN" w:bidi="ar"/>
              </w:rPr>
              <w:t>条款、处罚条款：第四十七条 供电企业应当保障供电设施的正常、稳定运行，确保供电质量符合国家规定。市城市管理部门应当加强对供电企业年供电可靠率的监督，对年供电可靠率低于国家规定的，责令改正；拒不改正的，处五万元以上五十万元以下罚款。</w:t>
            </w:r>
          </w:p>
        </w:tc>
        <w:tc>
          <w:tcPr>
            <w:tcW w:w="5780" w:type="dxa"/>
            <w:gridSpan w:val="4"/>
            <w:tcBorders>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5229" w:type="dxa"/>
            <w:gridSpan w:val="3"/>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3" w:name="_Toc110851497"/>
            <w:bookmarkStart w:id="194" w:name="_Toc1490732698"/>
            <w:bookmarkStart w:id="195" w:name="_Toc2054618372"/>
            <w:r>
              <w:rPr>
                <w:rFonts w:hint="eastAsia" w:asciiTheme="minorEastAsia" w:hAnsiTheme="minorEastAsia" w:eastAsiaTheme="minorEastAsia"/>
                <w:color w:val="auto"/>
                <w:sz w:val="21"/>
                <w:szCs w:val="21"/>
                <w:highlight w:val="none"/>
              </w:rPr>
              <w:t>《中华人民共和国石油天然气管道保护法》</w:t>
            </w:r>
            <w:bookmarkEnd w:id="193"/>
            <w:bookmarkEnd w:id="194"/>
            <w:bookmarkStart w:id="196" w:name="_Toc63324556"/>
            <w:bookmarkStart w:id="197" w:name="_Toc110851498"/>
            <w:r>
              <w:rPr>
                <w:rFonts w:hint="eastAsia" w:asciiTheme="minorEastAsia" w:hAnsiTheme="minorEastAsia" w:eastAsiaTheme="minorEastAsia"/>
                <w:color w:val="auto"/>
                <w:sz w:val="21"/>
                <w:szCs w:val="21"/>
                <w:highlight w:val="none"/>
              </w:rPr>
              <w:t>案由22项</w:t>
            </w:r>
            <w:bookmarkEnd w:id="195"/>
            <w:bookmarkEnd w:id="196"/>
            <w:bookmarkEnd w:id="197"/>
          </w:p>
        </w:tc>
        <w:tc>
          <w:tcPr>
            <w:tcW w:w="8989"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618"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2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3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35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4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05"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9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2"/>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2"/>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2"/>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16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7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882"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3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66"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5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780" w:hRule="atLeast"/>
          <w:jc w:val="center"/>
        </w:trPr>
        <w:tc>
          <w:tcPr>
            <w:tcW w:w="14218" w:type="dxa"/>
            <w:gridSpan w:val="9"/>
            <w:shd w:val="clear" w:color="auto" w:fill="FFFFFF"/>
            <w:vAlign w:val="center"/>
          </w:tcPr>
          <w:p>
            <w:pPr>
              <w:pStyle w:val="2"/>
              <w:bidi w:val="0"/>
              <w:rPr>
                <w:rFonts w:hint="eastAsia" w:asciiTheme="minorEastAsia" w:hAnsiTheme="minorEastAsia" w:eastAsiaTheme="minorEastAsia"/>
                <w:color w:val="auto"/>
                <w:szCs w:val="15"/>
                <w:highlight w:val="none"/>
              </w:rPr>
            </w:pPr>
            <w:bookmarkStart w:id="198" w:name="_Toc771447482"/>
            <w:r>
              <w:rPr>
                <w:rFonts w:hint="eastAsia"/>
              </w:rPr>
              <w:t>国际交往语言环境建设方面</w:t>
            </w:r>
            <w:bookmarkEnd w:id="1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3"/>
              <w:bidi w:val="0"/>
              <w:jc w:val="center"/>
              <w:rPr>
                <w:rFonts w:hint="eastAsia" w:asciiTheme="minorEastAsia" w:hAnsiTheme="minorEastAsia" w:eastAsiaTheme="minorEastAsia"/>
                <w:color w:val="auto"/>
                <w:szCs w:val="15"/>
                <w:highlight w:val="none"/>
              </w:rPr>
            </w:pPr>
            <w:bookmarkStart w:id="199" w:name="_Toc1543116115"/>
            <w:r>
              <w:rPr>
                <w:rFonts w:hint="eastAsia"/>
              </w:rPr>
              <w:t>《</w:t>
            </w:r>
            <w:r>
              <w:rPr>
                <w:rFonts w:hint="eastAsia"/>
                <w:lang w:val="zh-CN"/>
              </w:rPr>
              <w:t>北京市国际交往语言环境建设条例</w:t>
            </w:r>
            <w:r>
              <w:rPr>
                <w:rFonts w:hint="eastAsia"/>
              </w:rPr>
              <w:t>》案由4项</w:t>
            </w:r>
            <w:bookmarkEnd w:id="1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pPr>
              <w:spacing w:line="232" w:lineRule="exact"/>
              <w:ind w:firstLine="333" w:firstLineChars="0"/>
              <w:jc w:val="center"/>
              <w:rPr>
                <w:rFonts w:hint="eastAsia" w:cs="Times New Roman" w:asciiTheme="minorEastAsia" w:hAnsiTheme="minorEastAsia" w:eastAsiaTheme="minorEastAsia"/>
                <w:color w:val="auto"/>
                <w:kern w:val="2"/>
                <w:sz w:val="15"/>
                <w:szCs w:val="15"/>
                <w:highlight w:val="none"/>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spacing w:val="-4"/>
                <w:kern w:val="2"/>
                <w:sz w:val="15"/>
                <w:szCs w:val="15"/>
                <w:highlight w:val="none"/>
                <w:lang w:val="en-US" w:eastAsia="zh-CN" w:bidi="ar-SA"/>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vMerge w:val="continue"/>
            <w:shd w:val="clear" w:color="auto" w:fill="FFFFFF"/>
            <w:vAlign w:val="center"/>
          </w:tcPr>
          <w:p>
            <w:pPr>
              <w:autoSpaceDE w:val="0"/>
              <w:spacing w:line="232" w:lineRule="exact"/>
              <w:jc w:val="center"/>
              <w:rPr>
                <w:rFonts w:hint="eastAsia"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190" w:lineRule="exact"/>
              <w:rPr>
                <w:rFonts w:hint="eastAsia"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190" w:lineRule="exact"/>
              <w:rPr>
                <w:rFonts w:hint="eastAsia"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pPr>
              <w:pStyle w:val="17"/>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shd w:val="clear" w:color="auto" w:fill="auto"/>
            <w:vAlign w:val="center"/>
          </w:tcPr>
          <w:p>
            <w:pPr>
              <w:autoSpaceDE w:val="0"/>
              <w:spacing w:line="190" w:lineRule="exact"/>
              <w:jc w:val="center"/>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bl>
    <w:p/>
    <w:tbl>
      <w:tblPr>
        <w:tblStyle w:val="29"/>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2" w:hRule="atLeast"/>
        </w:trPr>
        <w:tc>
          <w:tcPr>
            <w:tcW w:w="14329" w:type="dxa"/>
            <w:gridSpan w:val="15"/>
            <w:vAlign w:val="center"/>
          </w:tcPr>
          <w:p>
            <w:pPr>
              <w:pStyle w:val="2"/>
              <w:bidi w:val="0"/>
              <w:rPr>
                <w:rFonts w:hint="eastAsia"/>
                <w:sz w:val="21"/>
                <w:szCs w:val="21"/>
              </w:rPr>
            </w:pPr>
            <w:bookmarkStart w:id="200" w:name="_Toc1437339030"/>
            <w:bookmarkStart w:id="201" w:name="_Toc341845612"/>
            <w:bookmarkStart w:id="202" w:name="_Toc110851502"/>
            <w:bookmarkStart w:id="203" w:name="_Toc1953583257"/>
            <w:bookmarkStart w:id="204" w:name="_Toc243115343"/>
            <w:r>
              <w:rPr>
                <w:rFonts w:hint="eastAsia"/>
                <w:sz w:val="21"/>
                <w:szCs w:val="21"/>
              </w:rPr>
              <w:t>生态环境</w:t>
            </w:r>
            <w:bookmarkEnd w:id="200"/>
            <w:r>
              <w:rPr>
                <w:rFonts w:hint="eastAsia"/>
                <w:sz w:val="21"/>
                <w:szCs w:val="21"/>
                <w:lang w:eastAsia="zh-CN"/>
              </w:rPr>
              <w:t>下放</w:t>
            </w:r>
            <w:r>
              <w:rPr>
                <w:rFonts w:hint="eastAsia"/>
                <w:sz w:val="21"/>
                <w:szCs w:val="21"/>
                <w:lang w:val="en-US" w:eastAsia="zh-CN"/>
              </w:rPr>
              <w:t>2</w:t>
            </w:r>
            <w:r>
              <w:rPr>
                <w:rFonts w:hint="eastAsia"/>
                <w:sz w:val="21"/>
                <w:szCs w:val="21"/>
              </w:rPr>
              <w:t>项</w:t>
            </w:r>
            <w:bookmarkEnd w:id="201"/>
            <w:bookmarkEnd w:id="202"/>
            <w:bookmarkEnd w:id="203"/>
            <w:bookmarkEnd w:id="204"/>
          </w:p>
          <w:p>
            <w:pPr>
              <w:jc w:val="center"/>
              <w:rPr>
                <w:rFonts w:hint="eastAsia" w:asciiTheme="minorEastAsia" w:hAnsiTheme="minorEastAsia" w:eastAsiaTheme="minorEastAsia" w:cstheme="minorEastAsia"/>
                <w:b/>
                <w:bCs/>
                <w:sz w:val="21"/>
                <w:szCs w:val="21"/>
              </w:rPr>
            </w:pPr>
          </w:p>
          <w:p>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4" w:hRule="atLeast"/>
        </w:trPr>
        <w:tc>
          <w:tcPr>
            <w:tcW w:w="940" w:type="dxa"/>
            <w:gridSpan w:val="2"/>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1</w:t>
            </w:r>
          </w:p>
        </w:tc>
        <w:tc>
          <w:tcPr>
            <w:tcW w:w="1500" w:type="dxa"/>
            <w:gridSpan w:val="2"/>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vAlign w:val="center"/>
          </w:tcPr>
          <w:p>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30" w:hRule="atLeast"/>
        </w:trPr>
        <w:tc>
          <w:tcPr>
            <w:tcW w:w="940" w:type="dxa"/>
            <w:gridSpan w:val="2"/>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2</w:t>
            </w:r>
          </w:p>
        </w:tc>
        <w:tc>
          <w:tcPr>
            <w:tcW w:w="1500" w:type="dxa"/>
            <w:gridSpan w:val="2"/>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17"/>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17"/>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3" w:hRule="atLeast"/>
        </w:trPr>
        <w:tc>
          <w:tcPr>
            <w:tcW w:w="14329" w:type="dxa"/>
            <w:gridSpan w:val="15"/>
            <w:vAlign w:val="center"/>
          </w:tcPr>
          <w:p>
            <w:pPr>
              <w:pStyle w:val="2"/>
              <w:bidi w:val="0"/>
              <w:rPr>
                <w:rFonts w:hint="eastAsia"/>
                <w:sz w:val="21"/>
                <w:szCs w:val="21"/>
              </w:rPr>
            </w:pPr>
            <w:bookmarkStart w:id="205" w:name="_Toc1112894806"/>
            <w:bookmarkStart w:id="206" w:name="_Toc110851503"/>
            <w:bookmarkStart w:id="207" w:name="_Toc1642327804"/>
            <w:bookmarkStart w:id="208" w:name="_Toc1884371412"/>
            <w:r>
              <w:rPr>
                <w:rFonts w:hint="eastAsia"/>
                <w:sz w:val="21"/>
                <w:szCs w:val="21"/>
              </w:rPr>
              <w:t>水务管理方面</w:t>
            </w:r>
            <w:r>
              <w:rPr>
                <w:rFonts w:hint="eastAsia"/>
                <w:sz w:val="21"/>
                <w:szCs w:val="21"/>
                <w:lang w:val="en-US" w:eastAsia="zh-CN"/>
              </w:rPr>
              <w:t>20</w:t>
            </w:r>
            <w:r>
              <w:rPr>
                <w:rFonts w:hint="eastAsia"/>
                <w:sz w:val="21"/>
                <w:szCs w:val="21"/>
              </w:rPr>
              <w:t>项</w:t>
            </w:r>
            <w:bookmarkEnd w:id="205"/>
            <w:bookmarkEnd w:id="206"/>
            <w:bookmarkEnd w:id="207"/>
            <w:bookmarkEnd w:id="208"/>
          </w:p>
          <w:p>
            <w:pPr>
              <w:rPr>
                <w:rFonts w:hint="eastAsia"/>
              </w:rPr>
            </w:pPr>
          </w:p>
          <w:p>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28" w:hRule="atLeast"/>
        </w:trPr>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vAlign w:val="center"/>
          </w:tcPr>
          <w:p>
            <w:pPr>
              <w:pStyle w:val="17"/>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对单位：倾倒少量生活污水的，1万≤罚款额≤3万；排放或者倾倒污水污物和垃圾等废弃物，3万＜罚款额≤6万；排放或者倾倒污水污物和垃圾等废弃物，情节严重的，6万＜罚款额≤10万。</w:t>
            </w:r>
          </w:p>
          <w:p>
            <w:pPr>
              <w:pStyle w:val="17"/>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40" w:hRule="atLeast"/>
        </w:trPr>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vAlign w:val="center"/>
          </w:tcPr>
          <w:p>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vAlign w:val="center"/>
          </w:tcPr>
          <w:p>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vAlign w:val="center"/>
          </w:tcPr>
          <w:p>
            <w:pPr>
              <w:pStyle w:val="17"/>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24" w:hRule="atLeast"/>
        </w:trPr>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vAlign w:val="center"/>
          </w:tcPr>
          <w:p>
            <w:pPr>
              <w:pStyle w:val="17"/>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pPr>
              <w:pStyle w:val="17"/>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pPr>
              <w:pStyle w:val="17"/>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vAlign w:val="center"/>
          </w:tcPr>
          <w:p>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pPr>
              <w:pStyle w:val="17"/>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pPr>
              <w:pStyle w:val="17"/>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vAlign w:val="center"/>
          </w:tcPr>
          <w:p>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vAlign w:val="center"/>
          </w:tcPr>
          <w:p>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trPr>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4" w:hRule="atLeast"/>
        </w:trPr>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vAlign w:val="center"/>
          </w:tcPr>
          <w:p>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vAlign w:val="center"/>
          </w:tcPr>
          <w:p>
            <w:pPr>
              <w:pStyle w:val="17"/>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vAlign w:val="center"/>
          </w:tcPr>
          <w:p>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vAlign w:val="center"/>
          </w:tcPr>
          <w:p>
            <w:pPr>
              <w:pStyle w:val="17"/>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vAlign w:val="center"/>
          </w:tcPr>
          <w:p>
            <w:pPr>
              <w:pStyle w:val="17"/>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08" w:hRule="atLeast"/>
        </w:trPr>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vAlign w:val="center"/>
          </w:tcPr>
          <w:p>
            <w:pPr>
              <w:pStyle w:val="17"/>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26" w:hRule="atLeast"/>
        </w:trPr>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vAlign w:val="center"/>
          </w:tcPr>
          <w:p>
            <w:pPr>
              <w:pStyle w:val="17"/>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2" w:hRule="atLeast"/>
        </w:trPr>
        <w:tc>
          <w:tcPr>
            <w:tcW w:w="940" w:type="dxa"/>
            <w:gridSpan w:val="2"/>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6</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96" w:hRule="atLeast"/>
        </w:trPr>
        <w:tc>
          <w:tcPr>
            <w:tcW w:w="940" w:type="dxa"/>
            <w:gridSpan w:val="2"/>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7</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71" w:hRule="atLeast"/>
        </w:trPr>
        <w:tc>
          <w:tcPr>
            <w:tcW w:w="940" w:type="dxa"/>
            <w:gridSpan w:val="2"/>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8</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19</w:t>
            </w:r>
          </w:p>
        </w:tc>
        <w:tc>
          <w:tcPr>
            <w:tcW w:w="1500" w:type="dxa"/>
            <w:gridSpan w:val="2"/>
            <w:vAlign w:val="center"/>
          </w:tcPr>
          <w:p>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vAlign w:val="center"/>
          </w:tcPr>
          <w:p>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vAlign w:val="center"/>
          </w:tcPr>
          <w:p>
            <w:pPr>
              <w:pStyle w:val="17"/>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10" w:lineRule="exact"/>
              <w:rPr>
                <w:rFonts w:ascii="宋体" w:hAnsi="宋体" w:eastAsia="宋体" w:cs="仿宋_GB2312"/>
                <w:sz w:val="15"/>
                <w:szCs w:val="15"/>
              </w:rPr>
            </w:pPr>
          </w:p>
        </w:tc>
        <w:tc>
          <w:tcPr>
            <w:tcW w:w="1208" w:type="dxa"/>
            <w:gridSpan w:val="2"/>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shd w:val="clear" w:color="auto" w:fill="auto"/>
            <w:vAlign w:val="center"/>
          </w:tcPr>
          <w:p>
            <w:pPr>
              <w:spacing w:line="232" w:lineRule="exact"/>
              <w:jc w:val="center"/>
              <w:rPr>
                <w:rFonts w:hint="default" w:ascii="宋体" w:hAnsi="宋体" w:eastAsia="宋体" w:cs="仿宋_GB2312"/>
                <w:kern w:val="0"/>
                <w:sz w:val="15"/>
                <w:szCs w:val="15"/>
                <w:lang w:val="en-US" w:eastAsia="zh-CN" w:bidi="ar-SA"/>
              </w:rPr>
            </w:pPr>
            <w:bookmarkStart w:id="209" w:name="_Toc1290044525"/>
            <w:bookmarkStart w:id="210" w:name="_Toc110851504"/>
            <w:bookmarkStart w:id="211" w:name="_Toc473764242"/>
            <w:r>
              <w:rPr>
                <w:rFonts w:hint="default" w:ascii="宋体" w:hAnsi="宋体" w:eastAsia="宋体" w:cs="仿宋_GB2312"/>
                <w:kern w:val="0"/>
                <w:sz w:val="15"/>
                <w:szCs w:val="15"/>
                <w:lang w:val="en-US"/>
              </w:rPr>
              <w:t>20</w:t>
            </w:r>
          </w:p>
        </w:tc>
        <w:tc>
          <w:tcPr>
            <w:tcW w:w="1500" w:type="dxa"/>
            <w:gridSpan w:val="2"/>
            <w:shd w:val="clear" w:color="auto" w:fill="auto"/>
            <w:vAlign w:val="center"/>
          </w:tcPr>
          <w:p>
            <w:pPr>
              <w:spacing w:line="232"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shd w:val="clear" w:color="auto" w:fill="auto"/>
            <w:vAlign w:val="center"/>
          </w:tcPr>
          <w:p>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pPr>
              <w:spacing w:line="204"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shd w:val="clear" w:color="auto" w:fill="auto"/>
            <w:vAlign w:val="center"/>
          </w:tcPr>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pPr>
              <w:pStyle w:val="17"/>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pPr>
              <w:pStyle w:val="17"/>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pPr>
              <w:pStyle w:val="17"/>
              <w:spacing w:after="0" w:line="232" w:lineRule="exact"/>
              <w:ind w:left="0" w:leftChars="0" w:firstLine="0" w:firstLineChars="0"/>
              <w:rPr>
                <w:rFonts w:hint="eastAsia" w:ascii="宋体" w:hAnsi="宋体" w:eastAsia="宋体" w:cs="Batang"/>
                <w:color w:val="000000"/>
                <w:kern w:val="0"/>
                <w:sz w:val="15"/>
                <w:szCs w:val="15"/>
                <w:lang w:val="en-US" w:eastAsia="zh-CN"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shd w:val="clear" w:color="auto" w:fill="auto"/>
            <w:vAlign w:val="center"/>
          </w:tcPr>
          <w:p>
            <w:pPr>
              <w:spacing w:line="232" w:lineRule="exact"/>
              <w:rPr>
                <w:rFonts w:ascii="宋体" w:hAnsi="宋体" w:eastAsia="宋体" w:cs="仿宋_GB2312"/>
                <w:kern w:val="2"/>
                <w:sz w:val="15"/>
                <w:szCs w:val="15"/>
                <w:lang w:val="en-US" w:eastAsia="zh-CN" w:bidi="ar-SA"/>
              </w:rPr>
            </w:pPr>
          </w:p>
        </w:tc>
        <w:tc>
          <w:tcPr>
            <w:tcW w:w="1208" w:type="dxa"/>
            <w:gridSpan w:val="2"/>
            <w:shd w:val="clear" w:color="auto" w:fill="auto"/>
            <w:vAlign w:val="center"/>
          </w:tcPr>
          <w:p>
            <w:pPr>
              <w:spacing w:line="232" w:lineRule="exact"/>
              <w:jc w:val="both"/>
              <w:rPr>
                <w:rFonts w:hint="default" w:ascii="宋体" w:hAnsi="宋体" w:eastAsia="宋体" w:cs="仿宋_GB2312"/>
                <w:kern w:val="2"/>
                <w:sz w:val="15"/>
                <w:szCs w:val="15"/>
                <w:lang w:val="en-US" w:eastAsia="zh-CN" w:bidi="ar-SA"/>
              </w:rPr>
            </w:pPr>
            <w:r>
              <w:rPr>
                <w:rFonts w:hint="eastAsia" w:ascii="宋体" w:hAnsi="宋体" w:eastAsia="宋体" w:cs="仿宋_GB2312"/>
                <w:kern w:val="2"/>
                <w:sz w:val="15"/>
                <w:szCs w:val="15"/>
                <w:lang w:val="en-US" w:eastAsia="zh-CN" w:bidi="ar-SA"/>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5" w:hRule="atLeast"/>
        </w:trPr>
        <w:tc>
          <w:tcPr>
            <w:tcW w:w="14329" w:type="dxa"/>
            <w:gridSpan w:val="15"/>
            <w:vAlign w:val="center"/>
          </w:tcPr>
          <w:p>
            <w:pPr>
              <w:pStyle w:val="2"/>
              <w:bidi w:val="0"/>
              <w:rPr>
                <w:rFonts w:ascii="宋体" w:hAnsi="宋体" w:eastAsia="宋体"/>
                <w:szCs w:val="15"/>
              </w:rPr>
            </w:pPr>
            <w:bookmarkStart w:id="212" w:name="_Toc1421698366"/>
            <w:r>
              <w:rPr>
                <w:rFonts w:hint="eastAsia"/>
                <w:sz w:val="21"/>
                <w:szCs w:val="21"/>
              </w:rPr>
              <w:t>农业农村</w:t>
            </w:r>
            <w:r>
              <w:rPr>
                <w:rFonts w:hint="eastAsia"/>
                <w:sz w:val="21"/>
                <w:szCs w:val="21"/>
                <w:lang w:eastAsia="zh-CN"/>
              </w:rPr>
              <w:t>下放</w:t>
            </w:r>
            <w:r>
              <w:rPr>
                <w:rFonts w:hint="eastAsia"/>
                <w:sz w:val="21"/>
                <w:szCs w:val="21"/>
              </w:rPr>
              <w:t>1项</w:t>
            </w:r>
            <w:bookmarkEnd w:id="209"/>
            <w:bookmarkEnd w:id="210"/>
            <w:bookmarkEnd w:id="211"/>
            <w:bookmarkEnd w:id="2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vAlign w:val="center"/>
          </w:tcPr>
          <w:p>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vAlign w:val="center"/>
          </w:tcPr>
          <w:p>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vAlign w:val="center"/>
          </w:tcPr>
          <w:p>
            <w:pPr>
              <w:pStyle w:val="17"/>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vAlign w:val="center"/>
          </w:tcPr>
          <w:p>
            <w:pPr>
              <w:spacing w:line="210" w:lineRule="exact"/>
              <w:rPr>
                <w:rFonts w:ascii="宋体" w:hAnsi="宋体" w:eastAsia="宋体" w:cs="仿宋_GB2312"/>
                <w:sz w:val="15"/>
                <w:szCs w:val="15"/>
              </w:rPr>
            </w:pPr>
          </w:p>
        </w:tc>
        <w:tc>
          <w:tcPr>
            <w:tcW w:w="1208" w:type="dxa"/>
            <w:gridSpan w:val="2"/>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7" w:hRule="atLeast"/>
        </w:trPr>
        <w:tc>
          <w:tcPr>
            <w:tcW w:w="14329" w:type="dxa"/>
            <w:gridSpan w:val="15"/>
            <w:vAlign w:val="center"/>
          </w:tcPr>
          <w:p>
            <w:pPr>
              <w:pStyle w:val="2"/>
              <w:bidi w:val="0"/>
              <w:rPr>
                <w:rFonts w:hint="eastAsia"/>
                <w:sz w:val="21"/>
                <w:szCs w:val="21"/>
              </w:rPr>
            </w:pPr>
            <w:bookmarkStart w:id="213" w:name="_Toc589852508"/>
            <w:bookmarkStart w:id="214" w:name="_Toc110851505"/>
            <w:bookmarkStart w:id="215" w:name="_Toc2011773058"/>
            <w:bookmarkStart w:id="216" w:name="_Toc1956716489"/>
            <w:r>
              <w:rPr>
                <w:rFonts w:hint="eastAsia"/>
                <w:sz w:val="21"/>
                <w:szCs w:val="21"/>
              </w:rPr>
              <w:t>卫生健康</w:t>
            </w:r>
            <w:r>
              <w:rPr>
                <w:rFonts w:hint="eastAsia"/>
                <w:sz w:val="21"/>
                <w:szCs w:val="21"/>
                <w:lang w:eastAsia="zh-CN"/>
              </w:rPr>
              <w:t>下放</w:t>
            </w:r>
            <w:r>
              <w:rPr>
                <w:rFonts w:hint="eastAsia"/>
                <w:sz w:val="21"/>
                <w:szCs w:val="21"/>
                <w:lang w:val="en-US" w:eastAsia="zh-CN"/>
              </w:rPr>
              <w:t>5</w:t>
            </w:r>
            <w:r>
              <w:rPr>
                <w:rFonts w:hint="eastAsia"/>
                <w:sz w:val="21"/>
                <w:szCs w:val="21"/>
              </w:rPr>
              <w:t>项</w:t>
            </w:r>
            <w:bookmarkEnd w:id="213"/>
            <w:bookmarkEnd w:id="214"/>
            <w:bookmarkEnd w:id="215"/>
            <w:bookmarkEnd w:id="216"/>
          </w:p>
          <w:p>
            <w:pPr>
              <w:rPr>
                <w:rFonts w:hint="eastAsia"/>
              </w:rPr>
            </w:pPr>
          </w:p>
          <w:p>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vAlign w:val="center"/>
          </w:tcPr>
          <w:p>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vAlign w:val="center"/>
          </w:tcPr>
          <w:p>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vAlign w:val="center"/>
          </w:tcPr>
          <w:p>
            <w:pPr>
              <w:pStyle w:val="17"/>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17"/>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17"/>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vAlign w:val="center"/>
          </w:tcPr>
          <w:p>
            <w:pPr>
              <w:spacing w:line="210" w:lineRule="exact"/>
              <w:rPr>
                <w:rFonts w:ascii="宋体" w:hAnsi="宋体" w:eastAsia="宋体" w:cs="仿宋_GB2312"/>
                <w:sz w:val="15"/>
                <w:szCs w:val="15"/>
              </w:rPr>
            </w:pPr>
          </w:p>
        </w:tc>
        <w:tc>
          <w:tcPr>
            <w:tcW w:w="1208" w:type="dxa"/>
            <w:gridSpan w:val="2"/>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vAlign w:val="center"/>
          </w:tcPr>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vAlign w:val="center"/>
          </w:tcPr>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vAlign w:val="center"/>
          </w:tcPr>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2" w:hRule="atLeast"/>
        </w:trPr>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vAlign w:val="center"/>
          </w:tcPr>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9" w:hRule="atLeast"/>
        </w:trPr>
        <w:tc>
          <w:tcPr>
            <w:tcW w:w="14329" w:type="dxa"/>
            <w:gridSpan w:val="15"/>
            <w:vAlign w:val="center"/>
          </w:tcPr>
          <w:p>
            <w:pPr>
              <w:pStyle w:val="2"/>
              <w:bidi w:val="0"/>
              <w:rPr>
                <w:rFonts w:hint="default" w:ascii="宋体" w:hAnsi="宋体" w:eastAsia="宋体" w:cs="Times New Roman"/>
                <w:b/>
                <w:bCs/>
                <w:color w:val="000000"/>
                <w:kern w:val="44"/>
                <w:szCs w:val="15"/>
                <w:lang w:val="en-US" w:eastAsia="zh-CN" w:bidi="ar-SA"/>
              </w:rPr>
            </w:pPr>
            <w:bookmarkStart w:id="217" w:name="_Toc889625702"/>
            <w:bookmarkStart w:id="218" w:name="_Toc979026322"/>
            <w:r>
              <w:rPr>
                <w:rFonts w:hint="eastAsia"/>
                <w:b/>
                <w:bCs/>
                <w:sz w:val="21"/>
                <w:szCs w:val="21"/>
                <w:lang w:eastAsia="zh-CN"/>
              </w:rPr>
              <w:t>住房城乡建设下放</w:t>
            </w:r>
            <w:r>
              <w:rPr>
                <w:rFonts w:hint="eastAsia"/>
                <w:b/>
                <w:bCs/>
                <w:sz w:val="21"/>
                <w:szCs w:val="21"/>
                <w:lang w:val="en-US" w:eastAsia="zh-CN"/>
              </w:rPr>
              <w:t>3项</w:t>
            </w:r>
            <w:bookmarkEnd w:id="2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0" w:hRule="atLeast"/>
        </w:trPr>
        <w:tc>
          <w:tcPr>
            <w:tcW w:w="14329" w:type="dxa"/>
            <w:gridSpan w:val="15"/>
            <w:vAlign w:val="center"/>
          </w:tcPr>
          <w:p>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pPr>
              <w:autoSpaceDE w:val="0"/>
              <w:autoSpaceDN w:val="0"/>
              <w:adjustRightInd w:val="0"/>
              <w:spacing w:line="520" w:lineRule="exact"/>
              <w:jc w:val="center"/>
              <w:rPr>
                <w:rFonts w:hint="eastAsia"/>
                <w:sz w:val="21"/>
                <w:szCs w:val="21"/>
                <w:lang w:val="en-US"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tc>
      </w:tr>
      <w:bookmarkEnd w:id="21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9"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9"/>
    </w:tbl>
    <w:p>
      <w:pPr>
        <w:pStyle w:val="9"/>
      </w:pPr>
    </w:p>
    <w:p>
      <w:pPr>
        <w:pStyle w:val="17"/>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auto"/>
    <w:pitch w:val="default"/>
    <w:sig w:usb0="00000000" w:usb1="00000000" w:usb2="0A246029" w:usb3="0400200C" w:csb0="600001FF" w:csb1="DFFF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Microsoft JhengHei">
    <w:panose1 w:val="020B0604030504040204"/>
    <w:charset w:val="88"/>
    <w:family w:val="swiss"/>
    <w:pitch w:val="default"/>
    <w:sig w:usb0="00000087" w:usb1="28AF40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Noto Sans CJK JP Bold">
    <w:altName w:val="宋体"/>
    <w:panose1 w:val="020B0800000000000000"/>
    <w:charset w:val="86"/>
    <w:family w:val="auto"/>
    <w:pitch w:val="default"/>
    <w:sig w:usb0="00000000" w:usb1="00000000" w:usb2="00000016" w:usb3="00000000" w:csb0="602E0107"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98E3708"/>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DF2FBB"/>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BB99B1"/>
    <w:rsid w:val="3DEFACC2"/>
    <w:rsid w:val="3DFC7DDF"/>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0CAE"/>
    <w:rsid w:val="4DEFFB07"/>
    <w:rsid w:val="4E7FD645"/>
    <w:rsid w:val="4E9D1594"/>
    <w:rsid w:val="4EBF4AED"/>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CD2524"/>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9D7187"/>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EB71E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D8961"/>
    <w:rsid w:val="67DE850A"/>
    <w:rsid w:val="67EAE887"/>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A7572A"/>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AD4284"/>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B924A"/>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6F11"/>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0A8D"/>
    <w:rsid w:val="7FF7841C"/>
    <w:rsid w:val="7FF79A2F"/>
    <w:rsid w:val="7FF7AD73"/>
    <w:rsid w:val="7FF7AE27"/>
    <w:rsid w:val="7FF95C95"/>
    <w:rsid w:val="7FFB0B36"/>
    <w:rsid w:val="7FFBB955"/>
    <w:rsid w:val="7FFBC8F2"/>
    <w:rsid w:val="7FFBE6EF"/>
    <w:rsid w:val="7FFD647B"/>
    <w:rsid w:val="7FFE2D43"/>
    <w:rsid w:val="7FFE6059"/>
    <w:rsid w:val="7FFE6B32"/>
    <w:rsid w:val="7FFEABF9"/>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9FFB879"/>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5F8B2D"/>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52A8DB"/>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6E9065"/>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7C4"/>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3">
    <w:name w:val="Default Paragraph Font"/>
    <w:unhideWhenUsed/>
    <w:qFormat/>
    <w:uiPriority w:val="1"/>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40"/>
    <w:qFormat/>
    <w:uiPriority w:val="0"/>
    <w:rPr>
      <w:b/>
      <w:bCs/>
    </w:rPr>
  </w:style>
  <w:style w:type="paragraph" w:styleId="6">
    <w:name w:val="annotation text"/>
    <w:basedOn w:val="1"/>
    <w:link w:val="33"/>
    <w:qFormat/>
    <w:uiPriority w:val="0"/>
    <w:pPr>
      <w:jc w:val="left"/>
    </w:pPr>
  </w:style>
  <w:style w:type="paragraph" w:styleId="7">
    <w:name w:val="Normal Indent"/>
    <w:basedOn w:val="1"/>
    <w:qFormat/>
    <w:uiPriority w:val="0"/>
    <w:pPr>
      <w:spacing w:line="240" w:lineRule="atLeast"/>
      <w:ind w:firstLine="420" w:firstLineChars="200"/>
    </w:pPr>
    <w:rPr>
      <w:rFonts w:eastAsia="仿宋_GB2312"/>
      <w:spacing w:val="-6"/>
      <w:sz w:val="32"/>
      <w:szCs w:val="20"/>
    </w:rPr>
  </w:style>
  <w:style w:type="paragraph" w:styleId="8">
    <w:name w:val="Document Map"/>
    <w:basedOn w:val="1"/>
    <w:link w:val="58"/>
    <w:qFormat/>
    <w:uiPriority w:val="0"/>
    <w:pPr>
      <w:shd w:val="clear" w:color="auto" w:fill="000080"/>
    </w:pPr>
  </w:style>
  <w:style w:type="paragraph" w:styleId="9">
    <w:name w:val="Body Text"/>
    <w:basedOn w:val="1"/>
    <w:next w:val="10"/>
    <w:qFormat/>
    <w:uiPriority w:val="0"/>
    <w:rPr>
      <w:rFonts w:ascii="仿宋_GB2312" w:eastAsia="仿宋_GB2312"/>
      <w:sz w:val="30"/>
      <w:szCs w:val="20"/>
    </w:rPr>
  </w:style>
  <w:style w:type="paragraph" w:customStyle="1" w:styleId="10">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1">
    <w:name w:val="Body Text Indent"/>
    <w:basedOn w:val="1"/>
    <w:unhideWhenUsed/>
    <w:qFormat/>
    <w:uiPriority w:val="99"/>
    <w:pPr>
      <w:spacing w:after="120"/>
      <w:ind w:left="420" w:leftChars="200"/>
    </w:pPr>
  </w:style>
  <w:style w:type="paragraph" w:styleId="12">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3">
    <w:name w:val="Plain Text"/>
    <w:basedOn w:val="1"/>
    <w:qFormat/>
    <w:uiPriority w:val="0"/>
    <w:rPr>
      <w:rFonts w:ascii="宋体" w:hAnsi="Courier New" w:cs="Courier New"/>
      <w:szCs w:val="21"/>
    </w:rPr>
  </w:style>
  <w:style w:type="paragraph" w:styleId="14">
    <w:name w:val="Date"/>
    <w:basedOn w:val="1"/>
    <w:next w:val="1"/>
    <w:qFormat/>
    <w:uiPriority w:val="0"/>
    <w:rPr>
      <w:rFonts w:ascii="黑体" w:eastAsia="仿宋_GB2312"/>
      <w:sz w:val="32"/>
      <w:szCs w:val="20"/>
    </w:rPr>
  </w:style>
  <w:style w:type="paragraph" w:styleId="15">
    <w:name w:val="Balloon Text"/>
    <w:basedOn w:val="1"/>
    <w:link w:val="59"/>
    <w:qFormat/>
    <w:uiPriority w:val="0"/>
    <w:rPr>
      <w:sz w:val="18"/>
      <w:szCs w:val="18"/>
    </w:rPr>
  </w:style>
  <w:style w:type="paragraph" w:styleId="16">
    <w:name w:val="footer"/>
    <w:basedOn w:val="1"/>
    <w:link w:val="30"/>
    <w:qFormat/>
    <w:uiPriority w:val="0"/>
    <w:pPr>
      <w:tabs>
        <w:tab w:val="center" w:pos="4153"/>
        <w:tab w:val="right" w:pos="8306"/>
      </w:tabs>
      <w:snapToGrid w:val="0"/>
      <w:jc w:val="left"/>
    </w:pPr>
    <w:rPr>
      <w:sz w:val="18"/>
      <w:szCs w:val="18"/>
    </w:rPr>
  </w:style>
  <w:style w:type="paragraph" w:styleId="17">
    <w:name w:val="Body Text First Indent 2"/>
    <w:basedOn w:val="11"/>
    <w:unhideWhenUsed/>
    <w:qFormat/>
    <w:uiPriority w:val="99"/>
    <w:pPr>
      <w:ind w:firstLine="420" w:firstLineChars="200"/>
    </w:pPr>
  </w:style>
  <w:style w:type="paragraph" w:styleId="18">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widowControl/>
      <w:spacing w:after="100" w:line="259" w:lineRule="auto"/>
      <w:jc w:val="left"/>
    </w:pPr>
    <w:rPr>
      <w:rFonts w:ascii="Calibri" w:hAnsi="Calibri"/>
      <w:kern w:val="0"/>
      <w:sz w:val="22"/>
      <w:szCs w:val="22"/>
    </w:rPr>
  </w:style>
  <w:style w:type="paragraph" w:styleId="20">
    <w:name w:val="Body Text Indent 3"/>
    <w:basedOn w:val="1"/>
    <w:qFormat/>
    <w:uiPriority w:val="0"/>
    <w:pPr>
      <w:spacing w:after="120"/>
      <w:ind w:left="420" w:leftChars="200"/>
    </w:pPr>
    <w:rPr>
      <w:sz w:val="16"/>
      <w:szCs w:val="16"/>
    </w:rPr>
  </w:style>
  <w:style w:type="paragraph" w:styleId="21">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2">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character" w:styleId="24">
    <w:name w:val="page number"/>
    <w:qFormat/>
    <w:uiPriority w:val="0"/>
    <w:rPr>
      <w:rFonts w:ascii="Times New Roman" w:hAnsi="Times New Roman" w:eastAsia="宋体" w:cs="Times New Roman"/>
    </w:rPr>
  </w:style>
  <w:style w:type="character" w:styleId="25">
    <w:name w:val="FollowedHyperlink"/>
    <w:qFormat/>
    <w:uiPriority w:val="0"/>
    <w:rPr>
      <w:rFonts w:ascii="Times New Roman" w:hAnsi="Times New Roman" w:eastAsia="宋体" w:cs="Times New Roman"/>
      <w:color w:val="954F72"/>
      <w:u w:val="single"/>
    </w:rPr>
  </w:style>
  <w:style w:type="character" w:styleId="26">
    <w:name w:val="Emphasis"/>
    <w:qFormat/>
    <w:uiPriority w:val="0"/>
    <w:rPr>
      <w:rFonts w:ascii="Times New Roman" w:hAnsi="Times New Roman" w:eastAsia="宋体" w:cs="Times New Roman"/>
      <w:i/>
      <w:iCs/>
    </w:rPr>
  </w:style>
  <w:style w:type="character" w:styleId="27">
    <w:name w:val="Hyperlink"/>
    <w:qFormat/>
    <w:uiPriority w:val="99"/>
    <w:rPr>
      <w:rFonts w:ascii="Times New Roman" w:hAnsi="Times New Roman" w:eastAsia="宋体" w:cs="Times New Roman"/>
      <w:color w:val="0563C1"/>
      <w:u w:val="single"/>
    </w:rPr>
  </w:style>
  <w:style w:type="character" w:styleId="28">
    <w:name w:val="annotation reference"/>
    <w:qFormat/>
    <w:uiPriority w:val="0"/>
    <w:rPr>
      <w:sz w:val="21"/>
    </w:rPr>
  </w:style>
  <w:style w:type="character" w:customStyle="1" w:styleId="30">
    <w:name w:val="页脚 字符"/>
    <w:link w:val="16"/>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6"/>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8"/>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5"/>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3"/>
    <w:link w:val="18"/>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3"/>
    <w:link w:val="8"/>
    <w:qFormat/>
    <w:uiPriority w:val="0"/>
    <w:rPr>
      <w:kern w:val="2"/>
      <w:sz w:val="21"/>
      <w:szCs w:val="24"/>
      <w:shd w:val="clear" w:color="auto" w:fill="000080"/>
    </w:rPr>
  </w:style>
  <w:style w:type="character" w:customStyle="1" w:styleId="59">
    <w:name w:val="批注框文本 字符"/>
    <w:basedOn w:val="23"/>
    <w:link w:val="15"/>
    <w:qFormat/>
    <w:uiPriority w:val="0"/>
    <w:rPr>
      <w:kern w:val="2"/>
      <w:sz w:val="18"/>
      <w:szCs w:val="18"/>
    </w:rPr>
  </w:style>
  <w:style w:type="paragraph" w:customStyle="1" w:styleId="60">
    <w:name w:val="列出段落1"/>
    <w:basedOn w:val="1"/>
    <w:qFormat/>
    <w:uiPriority w:val="0"/>
    <w:pPr>
      <w:ind w:firstLine="420" w:firstLineChars="200"/>
    </w:pPr>
  </w:style>
  <w:style w:type="paragraph" w:customStyle="1" w:styleId="61">
    <w:name w:val="List Paragraph"/>
    <w:basedOn w:val="1"/>
    <w:qFormat/>
    <w:uiPriority w:val="99"/>
    <w:pPr>
      <w:ind w:firstLine="420" w:firstLineChars="200"/>
    </w:pPr>
  </w:style>
  <w:style w:type="character" w:customStyle="1" w:styleId="62">
    <w:name w:val="font0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136</Pages>
  <Words>124895</Words>
  <Characters>131914</Characters>
  <Lines>1186</Lines>
  <Paragraphs>334</Paragraphs>
  <ScaleCrop>false</ScaleCrop>
  <LinksUpToDate>false</LinksUpToDate>
  <CharactersWithSpaces>134862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2022-09-05T02:35:00Z</dcterms:created>
  <dc:creator>张通</dc:creator>
  <cp:lastModifiedBy>Administrator</cp:lastModifiedBy>
  <cp:lastPrinted>2024-09-07T23:37:00Z</cp:lastPrinted>
  <dcterms:modified xsi:type="dcterms:W3CDTF">2025-04-15T07:28:34Z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124BE05945A608BAC113EA6786105068_43</vt:lpwstr>
  </property>
</Properties>
</file>