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部门整体绩效评价报告</w:t>
      </w:r>
    </w:p>
    <w:p>
      <w:pPr>
        <w:jc w:val="center"/>
        <w:rPr>
          <w:rFonts w:ascii="仿宋_GB2312"/>
          <w:szCs w:val="30"/>
        </w:rPr>
      </w:pPr>
    </w:p>
    <w:p>
      <w:pPr>
        <w:spacing w:line="60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一、部门概况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（一）机构设置及职责工作任务情况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1、机构设置及职责工作任务情况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根据中共中央、国务院批准的北京市人民政府机构改革方案和《北京市人民政府关于机构设置的通知》(京政发[2009]2号)，设置下列内设机构：综合办公室、党群工作办公室、平安建设办公室(司法所)、城市管理办公室、社区建设办公室、民生保障办公室、综合行政执法队、纪工委监察组。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下设全额拨款事业单位3个,包括北京市朝阳区香河园街道便民服务中心，挂北京市朝阳区香河园街道退役军人服务站牌子。北京市朝阳区香河园街道市民活动中心，挂北京市朝阳区香河园街道党群活动中心牌子。北京市朝阳区香河园街道市民诉求处置中心，挂北京市朝阳区香河园街道综治中心牌子。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本部门机构职责主要如下：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（1）贯彻执行法律、法规、规章和市、区政府的决定、命令，依法管理基层公共事务。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（2）承担辖区市容环境卫生、绿化美化的管理工作，推进河长制、空气重污染预警工作，组织、协调城市管理综合执法和环境秩序综合治理工作，推进城市精细化管理。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（3）协助依法履行安全生产、消防安全、食品安全、环境保护、劳动保障、流动人口及出租房屋监督管理工作，承担辖区应急、防汛和防灾减灾工作。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（4）参与制定并组织实施社区建设规划和公共服务设施规划，组织辖区单位、居民和志愿者队伍为社区发展服务。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（5）负责社区居民委员会建设，指导社区居民委员会工作，培育、发展社区社会组织，指导、监督社区业主委员会。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（6）推进居民自治，及时处理并向上级政府反映居民的意见和要求。动员社会力量参与社区治理，推动形成社区共治合力。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（7）组织开展群众性文化、体育、科普活动，开展法治宣传和社会公德教育，推动社区公益事业发展。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（8）组织开展公共服务，落实人力社保、民政、卫生健康、教育、住房保障、便民服务等政策，维护老年人、妇女、未成年人、残疾人等合法权益。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（9）承办区政府交办的其他事项。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（二）部门整体绩效目标设立情况。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全年各项目绩效目标设立情况良好，各项目均按照市、区及本单位相关规章制度设立，项目目标与任务职责匹配良好、目标均较为合理。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当年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预算执行情况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全年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预算数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9719.02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万元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其中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，基本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支出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预算数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3923.01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项目支出预算数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5796.01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万元，其他支出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预算数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资金总体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15532.59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万元，其中，基本支出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4259.20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万元，项目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11273.39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万元，其他支出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预算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执行率为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159.82%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left="105" w:leftChars="50" w:firstLine="480" w:firstLineChars="15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、整体绩效目标实现情况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1、产出完成情况分析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（1）产出数量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本单位在职人员及离退休人员正常办公及生活秩序运行情况良好，同时9个社区各项服务保障工作维持情况良好。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（2）产出质量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基本满足机关人员的正常办公、生活要求；工程质量标准全部为合格；对民生改善和社会和谐发挥了重要的作用。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（3）产出进度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在202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4</w:t>
      </w:r>
      <w:r>
        <w:rPr>
          <w:rFonts w:hint="eastAsia" w:ascii="楷体_GB2312" w:eastAsia="楷体_GB2312"/>
          <w:sz w:val="32"/>
          <w:szCs w:val="32"/>
        </w:rPr>
        <w:t>年度完成各项资金支出进度要求，各项工作顺利开展、工资薪金按时发放。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（4）产出成本  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各预算项目经费成本合理，充分发挥各项目经费作用。                                  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2、效果实现情况分析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（1）社会效益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提升地区党建工作水平；保障社区工作正常运转；长期保障工作平稳进行；为地区发展提供良好的辖区环境，促进地区良性健康发展。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（2）服务对象满意度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居民等服务对象对城市建设等各项工作满意度良好。</w:t>
      </w:r>
    </w:p>
    <w:p>
      <w:pPr>
        <w:spacing w:line="600" w:lineRule="exact"/>
        <w:ind w:left="105" w:leftChars="50" w:firstLine="480" w:firstLineChars="15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、预算管理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情况分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析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1、财务管理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（1）财务管理制度健全性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本部门各项财务管理制度健全，财务申请、报销、审批等相关制度按要求执行。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（2）资金使用合规性和安全性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本部门所有项目资金适用范围、用途君合理合规，符合项目资金使用要求。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（3）会计基础信息完善性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会计基础信息完善，各会计科目、功能科目、经济科目、预算项目等基础信息在年初均已完成更新。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2、资产管理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本部门资产管理各环节不相容，均按照资产管理相关制度要求执行。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3、绩效管理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本部门制定了绩效管理实施细则，并针对重点项目例如民生家园项目制定了专门的使用规范，提升绩效管理效率。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4、结转结余率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202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4</w:t>
      </w:r>
      <w:r>
        <w:rPr>
          <w:rFonts w:hint="eastAsia" w:ascii="楷体_GB2312" w:eastAsia="楷体_GB2312"/>
          <w:sz w:val="32"/>
          <w:szCs w:val="32"/>
        </w:rPr>
        <w:t>年度部门结转结余率为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0.12</w:t>
      </w:r>
      <w:r>
        <w:rPr>
          <w:rFonts w:hint="eastAsia" w:ascii="楷体_GB2312" w:eastAsia="楷体_GB2312"/>
          <w:sz w:val="32"/>
          <w:szCs w:val="32"/>
        </w:rPr>
        <w:t>%。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5、部门预决算差异率（决算-预算/预算）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202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4</w:t>
      </w:r>
      <w:r>
        <w:rPr>
          <w:rFonts w:hint="eastAsia" w:ascii="楷体_GB2312" w:eastAsia="楷体_GB2312"/>
          <w:sz w:val="32"/>
          <w:szCs w:val="32"/>
        </w:rPr>
        <w:t>年度部门预决算差异率为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59.82</w:t>
      </w:r>
      <w:r>
        <w:rPr>
          <w:rFonts w:hint="eastAsia" w:ascii="楷体_GB2312" w:eastAsia="楷体_GB2312"/>
          <w:sz w:val="32"/>
          <w:szCs w:val="32"/>
        </w:rPr>
        <w:t>%。</w:t>
      </w:r>
    </w:p>
    <w:p>
      <w:pPr>
        <w:spacing w:line="600" w:lineRule="exact"/>
        <w:ind w:left="105" w:leftChars="50"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五、总体</w:t>
      </w:r>
      <w:r>
        <w:rPr>
          <w:rFonts w:ascii="黑体" w:hAnsi="黑体" w:eastAsia="黑体"/>
          <w:sz w:val="32"/>
          <w:szCs w:val="32"/>
        </w:rPr>
        <w:t>评价结论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（一）评价</w:t>
      </w:r>
      <w:r>
        <w:rPr>
          <w:rFonts w:ascii="楷体_GB2312" w:eastAsia="楷体_GB2312"/>
          <w:sz w:val="32"/>
          <w:szCs w:val="32"/>
        </w:rPr>
        <w:t>得分</w:t>
      </w:r>
      <w:r>
        <w:rPr>
          <w:rFonts w:hint="eastAsia" w:ascii="楷体_GB2312" w:eastAsia="楷体_GB2312"/>
          <w:sz w:val="32"/>
          <w:szCs w:val="32"/>
        </w:rPr>
        <w:t>情况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本单位按照规定对项目支出进行绩效管理，对项目支出进行有效控制，确保项目资金的使用效益。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我单位202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楷体_GB2312" w:eastAsia="楷体_GB2312"/>
          <w:sz w:val="32"/>
          <w:szCs w:val="32"/>
        </w:rPr>
        <w:t>年度部门整体支出绩效完成年初既定目标，各项工作基本按照预期目标进行开展并完成，实现了良好的社会效益。在项目进行过程中，我街道一直通过现场沟通、舆情关注等方式了解附近居民对于各个项目开展的满意度，辖区内居民的幸福感也得到了相应的提升。</w:t>
      </w:r>
    </w:p>
    <w:p>
      <w:pPr>
        <w:numPr>
          <w:ilvl w:val="0"/>
          <w:numId w:val="1"/>
        </w:num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存在的问题及原因分析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绩效目标划分不够具体，主要是由于年初预算时指按照要求设置了相关指标，并未进行延伸探讨。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六、措施建议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下一步，我单位将继续按照规定对项目支出进行绩效管理，对项目支出进行有效控制，确保项目资金的使用效益。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AD950"/>
    <w:multiLevelType w:val="singleLevel"/>
    <w:tmpl w:val="66BAD950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D39DF"/>
    <w:rsid w:val="001C7834"/>
    <w:rsid w:val="0023434C"/>
    <w:rsid w:val="00465181"/>
    <w:rsid w:val="0057202C"/>
    <w:rsid w:val="005E3946"/>
    <w:rsid w:val="0060746B"/>
    <w:rsid w:val="00826643"/>
    <w:rsid w:val="00954F6E"/>
    <w:rsid w:val="00B03B70"/>
    <w:rsid w:val="00CF07EE"/>
    <w:rsid w:val="00E617B2"/>
    <w:rsid w:val="00F42C33"/>
    <w:rsid w:val="22B2667C"/>
    <w:rsid w:val="24336DEF"/>
    <w:rsid w:val="423B4033"/>
    <w:rsid w:val="5B1D39DF"/>
    <w:rsid w:val="6E0E5CF7"/>
    <w:rsid w:val="71E4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批注框文本 字符"/>
    <w:basedOn w:val="5"/>
    <w:link w:val="2"/>
    <w:semiHidden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448</Characters>
  <Lines>3</Lines>
  <Paragraphs>1</Paragraphs>
  <ScaleCrop>false</ScaleCrop>
  <LinksUpToDate>false</LinksUpToDate>
  <CharactersWithSpaces>525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2024-01-18T03:00:00Z</dcterms:created>
  <dc:creator>Administrator</dc:creator>
  <cp:lastModifiedBy>Administrator</cp:lastModifiedBy>
  <cp:lastPrinted>2024-02-27T01:50:00Z</cp:lastPrinted>
  <dcterms:modified xsi:type="dcterms:W3CDTF">2025-08-28T08:04:56Z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