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4"/>
        <w:keepNext w:val="0"/>
        <w:keepLines w:val="0"/>
        <w:widowControl/>
        <w:suppressLineNumbers w:val="0"/>
        <w:spacing w:before="0" w:beforeAutospacing="0" w:after="0" w:afterAutospacing="1"/>
        <w:ind w:right="0" w:rightChars="0"/>
        <w:jc w:val="both"/>
        <w:rPr>
          <w:rFonts w:hint="eastAsia" w:ascii="宋体" w:hAnsi="宋体" w:eastAsia="宋体" w:cs="宋体"/>
          <w:b/>
          <w:bCs/>
          <w:kern w:val="0"/>
          <w:sz w:val="21"/>
          <w:szCs w:val="21"/>
          <w:shd w:val="clear" w:fill="FFFFFF"/>
        </w:rPr>
      </w:pPr>
      <w:r>
        <w:rPr>
          <w:rStyle w:val="19"/>
          <w:rFonts w:hint="eastAsia" w:ascii="宋体" w:hAnsi="宋体" w:eastAsia="宋体" w:cs="宋体"/>
          <w:b/>
          <w:bCs/>
          <w:sz w:val="21"/>
          <w:szCs w:val="21"/>
          <w:shd w:val="clear" w:fill="FFFFFF"/>
        </w:rPr>
        <w:t xml:space="preserve"> </w:t>
      </w:r>
    </w:p>
    <w:tbl>
      <w:tblPr>
        <w:tblStyle w:val="12"/>
        <w:tblW w:w="97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108"/>
        <w:gridCol w:w="1092"/>
        <w:gridCol w:w="718"/>
        <w:gridCol w:w="1114"/>
        <w:gridCol w:w="141"/>
        <w:gridCol w:w="1461"/>
        <w:gridCol w:w="900"/>
        <w:gridCol w:w="83"/>
        <w:gridCol w:w="467"/>
        <w:gridCol w:w="483"/>
        <w:gridCol w:w="433"/>
        <w:gridCol w:w="9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7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32"/>
                <w:szCs w:val="32"/>
                <w:bdr w:val="none" w:color="auto" w:sz="0" w:space="0"/>
              </w:rPr>
              <w:t>朝阳区项目支出绩效自评表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97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</w:rPr>
              <w:t>（2021年度）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项目名称</w:t>
            </w:r>
          </w:p>
        </w:tc>
        <w:tc>
          <w:tcPr>
            <w:tcW w:w="781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公共事务协管经费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主管部门</w:t>
            </w:r>
          </w:p>
        </w:tc>
        <w:tc>
          <w:tcPr>
            <w:tcW w:w="45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北京市朝阳区城市管理监督指挥中心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实施单位</w:t>
            </w:r>
          </w:p>
        </w:tc>
        <w:tc>
          <w:tcPr>
            <w:tcW w:w="23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北京市朝阳区城市管理监督指挥中心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项目负责人</w:t>
            </w:r>
          </w:p>
        </w:tc>
        <w:tc>
          <w:tcPr>
            <w:tcW w:w="45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穆艳艳、郑彬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联系电话</w:t>
            </w:r>
          </w:p>
        </w:tc>
        <w:tc>
          <w:tcPr>
            <w:tcW w:w="23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65099882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1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年初预算数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全年预算数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全年执行数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分值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执行率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9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9234.4314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9234.4314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8216.7841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88.97%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9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9234.4314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9234.4314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8216.7841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—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88.97%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9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 xml:space="preserve">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—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9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—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年度总体目标</w:t>
            </w:r>
          </w:p>
        </w:tc>
        <w:tc>
          <w:tcPr>
            <w:tcW w:w="56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预期目标</w:t>
            </w:r>
          </w:p>
        </w:tc>
        <w:tc>
          <w:tcPr>
            <w:tcW w:w="32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正常支付1205名监督员、133名座席员各项费用（工资、保险、公积金、管理服务费、绩效奖金）</w:t>
            </w:r>
          </w:p>
        </w:tc>
        <w:tc>
          <w:tcPr>
            <w:tcW w:w="32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已完成预期目标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1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标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二级指标</w:t>
            </w: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三级指标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指标值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实际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完成值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分值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得分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产出指标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数量指标</w:t>
            </w: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  <w:t>：支付监督员、座席员工资、保险、公积金、管理服务费、绩效奖金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1205名监督员、133名座席员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监督员月均911人；座席员月均128人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监督员改革下沉街乡人员减少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质量指标</w:t>
            </w: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  <w:t>：足额发放工资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 xml:space="preserve">1205人*6.2434万元/人=7523.297万元                            133人*8.0368万元/人=1068.8944万元                           1338人*0.48万元/人=642.24万元    合计9234.4314万元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已完成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时效指标</w:t>
            </w: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  <w:t>：按月支付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  <w:t>按月支付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已完成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成本指标</w:t>
            </w: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  <w:t>：按统一工资标准发放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监督员67234元/人/年；座席员85168元/人/年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已完成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社会效益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指标</w:t>
            </w: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  <w:t>：为监督中心网格化监督工作的顺利开展提供保障、为区政府热线呼叫中心、监控中心及城管执法局指挥中心工作的正常运转提供保障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为监督中心网格化监督工作的顺利开展提供保障、为区政府热线呼叫中心、监控中心及城管执法局指挥中心工作的正常运转提供保障。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已完成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满意度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指标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服务对象满意度指标</w:t>
            </w: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  <w:t>：受益群众满意度达到80%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受益群众满意度达到80%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已完成</w:t>
            </w:r>
          </w:p>
        </w:tc>
        <w:tc>
          <w:tcPr>
            <w:tcW w:w="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3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总分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100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  <w:t>99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</w:tr>
    </w:tbl>
    <w:p>
      <w:pPr>
        <w:pStyle w:val="24"/>
        <w:keepNext w:val="0"/>
        <w:keepLines w:val="0"/>
        <w:widowControl/>
        <w:suppressLineNumbers w:val="0"/>
        <w:spacing w:before="0" w:beforeAutospacing="0"/>
        <w:ind w:right="0" w:rightChars="0"/>
        <w:jc w:val="both"/>
        <w:rPr>
          <w:rFonts w:hint="eastAsia" w:ascii="宋体" w:hAnsi="宋体" w:eastAsia="宋体" w:cs="宋体"/>
          <w:b/>
          <w:bCs/>
          <w:kern w:val="0"/>
          <w:sz w:val="21"/>
          <w:szCs w:val="21"/>
          <w:shd w:val="clear" w:fill="FFFFFF"/>
        </w:rPr>
      </w:pPr>
      <w:r>
        <w:rPr>
          <w:rStyle w:val="19"/>
          <w:rFonts w:hint="eastAsia" w:ascii="宋体" w:hAnsi="宋体" w:eastAsia="宋体" w:cs="宋体"/>
          <w:b/>
          <w:bCs/>
          <w:sz w:val="21"/>
          <w:szCs w:val="21"/>
          <w:shd w:val="clear" w:fill="FFFFFF"/>
        </w:rPr>
        <w:t xml:space="preserve"> </w:t>
      </w:r>
    </w:p>
    <w:p>
      <w:pPr>
        <w:pStyle w:val="24"/>
        <w:keepNext w:val="0"/>
        <w:keepLines w:val="0"/>
        <w:widowControl/>
        <w:suppressLineNumbers w:val="0"/>
        <w:spacing w:before="0" w:beforeAutospacing="0"/>
        <w:ind w:left="0"/>
        <w:jc w:val="left"/>
        <w:rPr>
          <w:rFonts w:hint="eastAsia" w:ascii="宋体" w:hAnsi="宋体" w:eastAsia="宋体" w:cs="宋体"/>
          <w:kern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fill="FFFFFF"/>
        </w:rPr>
        <w:t xml:space="preserve"> </w:t>
      </w:r>
    </w:p>
    <w:tbl>
      <w:tblPr>
        <w:tblStyle w:val="12"/>
        <w:tblW w:w="98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963"/>
        <w:gridCol w:w="1092"/>
        <w:gridCol w:w="718"/>
        <w:gridCol w:w="1114"/>
        <w:gridCol w:w="155"/>
        <w:gridCol w:w="963"/>
        <w:gridCol w:w="837"/>
        <w:gridCol w:w="277"/>
        <w:gridCol w:w="280"/>
        <w:gridCol w:w="416"/>
        <w:gridCol w:w="227"/>
        <w:gridCol w:w="609"/>
        <w:gridCol w:w="1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8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32"/>
                <w:szCs w:val="32"/>
                <w:bdr w:val="none" w:color="auto" w:sz="0" w:space="0"/>
              </w:rPr>
              <w:t>朝阳区项目支出绩效自评表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98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</w:rPr>
              <w:t>（2021年度）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项目名称</w:t>
            </w:r>
          </w:p>
        </w:tc>
        <w:tc>
          <w:tcPr>
            <w:tcW w:w="805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bdr w:val="none" w:color="auto" w:sz="0" w:space="0"/>
              </w:rPr>
              <w:t>2021年度市民热线“接诉即办”工作专项资金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北京市朝阳区城市管理监督指挥中心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实施单位</w:t>
            </w:r>
          </w:p>
        </w:tc>
        <w:tc>
          <w:tcPr>
            <w:tcW w:w="2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北京市朝阳区城市管理监督指挥中心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杜新普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联系电话</w:t>
            </w:r>
          </w:p>
        </w:tc>
        <w:tc>
          <w:tcPr>
            <w:tcW w:w="2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59724594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7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执行率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77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100%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77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100%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77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 xml:space="preserve">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77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8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预期目标</w:t>
            </w:r>
          </w:p>
        </w:tc>
        <w:tc>
          <w:tcPr>
            <w:tcW w:w="40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建立激励竞争机制，诉求解决率明显提高</w:t>
            </w:r>
          </w:p>
        </w:tc>
        <w:tc>
          <w:tcPr>
            <w:tcW w:w="40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已完成逾期目标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0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二级指标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三级指标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实际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分值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得分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产出指标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数量指标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  <w:t>：用于重点领域诉求的办理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1个街道办事处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1个街道办事处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质量指标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  <w:t>：按照专项资金管理办法明确的使用满额使用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按照合同或协议约定支付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时效指标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  <w:t>：及时支付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2021年底完成支付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成本指标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  <w:t>：按照合同或协议约定支付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100万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100万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社会效益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指标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  <w:t>：促进重点领域诉求办理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进一步提高诉求的解决率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可持续影响指标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  <w:t>：重点领域诉求办理质量提高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为全区接诉即办成绩得到进一步提升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满意度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指标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服务对象满意度指标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  <w:t>：受益群众满意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全区诉求满意率高于上一年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6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6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100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  <w:t>100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</w:tr>
    </w:tbl>
    <w:p>
      <w:pPr>
        <w:pStyle w:val="24"/>
        <w:keepNext w:val="0"/>
        <w:keepLines w:val="0"/>
        <w:widowControl/>
        <w:suppressLineNumbers w:val="0"/>
        <w:spacing w:before="0" w:beforeAutospacing="0"/>
        <w:ind w:left="0"/>
        <w:jc w:val="left"/>
        <w:rPr>
          <w:rFonts w:hint="eastAsia" w:ascii="宋体" w:hAnsi="宋体" w:eastAsia="宋体" w:cs="宋体"/>
          <w:kern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fill="FFFFFF"/>
        </w:rPr>
        <w:t xml:space="preserve"> </w:t>
      </w:r>
    </w:p>
    <w:p>
      <w:pPr>
        <w:pStyle w:val="24"/>
        <w:keepNext w:val="0"/>
        <w:keepLines w:val="0"/>
        <w:widowControl/>
        <w:suppressLineNumbers w:val="0"/>
        <w:spacing w:before="0" w:beforeAutospacing="0"/>
        <w:ind w:left="0"/>
        <w:jc w:val="left"/>
        <w:rPr>
          <w:rFonts w:hint="eastAsia" w:ascii="宋体" w:hAnsi="宋体" w:eastAsia="宋体" w:cs="宋体"/>
          <w:kern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fill="FFFFFF"/>
        </w:rPr>
        <w:t xml:space="preserve"> </w:t>
      </w:r>
    </w:p>
    <w:tbl>
      <w:tblPr>
        <w:tblStyle w:val="12"/>
        <w:tblW w:w="89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32"/>
                <w:szCs w:val="32"/>
                <w:bdr w:val="none" w:color="auto" w:sz="0" w:space="0"/>
              </w:rPr>
              <w:t>朝阳区项目支出绩效自评表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</w:rPr>
              <w:t>（2021年度）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bdr w:val="none" w:color="auto" w:sz="0" w:space="0"/>
              </w:rPr>
              <w:t>2021年度市民热线“接诉即办”工作专项资金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北京市朝阳区城市管理监督指挥中心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北京市朝阳区城市管理监督指挥中心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杜新普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59724594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4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2200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2200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2200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2200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2200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2200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 xml:space="preserve">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bdr w:val="none" w:color="auto" w:sz="0" w:space="0"/>
              </w:rPr>
              <w:t>促进重点领域诉求（消费纠纷类诉求）的解决，诉求解决率明显提高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已完成预期目标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实际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产出指标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  <w:t>：用于重点领域诉求的办理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10个委办局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10个委办局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  <w:t>：按照专项资金管理办法明确的的使用满额使用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按照合同或协议约定支付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  <w:t>：及时支付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2021年底支付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  <w:t>：按照合同或协议约定支付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2200万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2200万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社会效益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  <w:t>：促进重点领域诉求办理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提高重点领域诉求的解决率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  <w:t>：重点领域诉求办理质量提高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为全区接诉即办成绩得到进一步提升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满意度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指标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  <w:t>：受益群众满意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重点领域诉求解决率达到70%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line="360" w:lineRule="auto"/>
        <w:ind w:left="0" w:firstLine="240" w:firstLineChars="1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>
      <w:pPr>
        <w:keepNext w:val="0"/>
        <w:keepLines w:val="0"/>
        <w:widowControl/>
        <w:suppressLineNumbers w:val="0"/>
        <w:spacing w:line="360" w:lineRule="auto"/>
        <w:ind w:left="0" w:firstLine="240" w:firstLineChars="1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tbl>
      <w:tblPr>
        <w:tblStyle w:val="12"/>
        <w:tblW w:w="89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32"/>
                <w:szCs w:val="32"/>
                <w:bdr w:val="none" w:color="auto" w:sz="0" w:space="0"/>
              </w:rPr>
              <w:t>朝阳区项目支出绩效自评表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</w:rPr>
              <w:t>（2021年度）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bdr w:val="none" w:color="auto" w:sz="0" w:space="0"/>
              </w:rPr>
              <w:t>朝阳区市民热线“接诉即办”系统服务器购置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北京市朝阳区城市管理监督指挥中心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北京市朝阳区城市管理监督指挥中心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杨效东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50981531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4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49.75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49.75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 xml:space="preserve">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朝阳区市民热线“接诉即办”系统部署运行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已完成预期目标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实际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产出指标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  <w:t>：支付服务器购置款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6台服务器、1套磁盘阵列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6台服务器、1套磁盘阵列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  <w:t>：服务器性能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按照合同约定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  <w:t>：及时支付服务器购置款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9月前完成支付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  <w:t>：根据合同规定支付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50万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49.75万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政府采购供应商调整价格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社会效益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  <w:t>：朝阳区“接诉即办你”系统部署运行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为朝阳区接诉即办工作的顺利开展提供保障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  <w:t>：朝阳区“接诉即办”系统部署运行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为朝阳区接诉即办工作的顺利开展提供持续保障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满意度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指标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  <w:t>：受益单位满意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受益单位满意度达到80%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</w:tr>
    </w:tbl>
    <w:p>
      <w:pPr>
        <w:pStyle w:val="24"/>
        <w:keepNext w:val="0"/>
        <w:keepLines w:val="0"/>
        <w:widowControl/>
        <w:suppressLineNumbers w:val="0"/>
        <w:spacing w:before="0" w:beforeAutospacing="0"/>
        <w:ind w:left="0"/>
        <w:jc w:val="left"/>
        <w:rPr>
          <w:rFonts w:hint="eastAsia" w:ascii="宋体" w:hAnsi="宋体" w:eastAsia="宋体" w:cs="宋体"/>
          <w:kern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fill="FFFFFF"/>
        </w:rPr>
        <w:t xml:space="preserve"> </w:t>
      </w:r>
    </w:p>
    <w:p>
      <w:pPr>
        <w:pStyle w:val="24"/>
        <w:keepNext w:val="0"/>
        <w:keepLines w:val="0"/>
        <w:widowControl/>
        <w:suppressLineNumbers w:val="0"/>
        <w:spacing w:before="0" w:beforeAutospacing="0"/>
        <w:ind w:left="0"/>
        <w:jc w:val="left"/>
        <w:rPr>
          <w:rFonts w:hint="eastAsia" w:ascii="宋体" w:hAnsi="宋体" w:eastAsia="宋体" w:cs="宋体"/>
          <w:kern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fill="FFFFFF"/>
        </w:rPr>
        <w:t xml:space="preserve"> </w:t>
      </w:r>
    </w:p>
    <w:tbl>
      <w:tblPr>
        <w:tblStyle w:val="12"/>
        <w:tblW w:w="89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32"/>
                <w:szCs w:val="32"/>
                <w:bdr w:val="none" w:color="auto" w:sz="0" w:space="0"/>
              </w:rPr>
              <w:t>朝阳区项目支出绩效自评表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</w:rPr>
              <w:t>（2021年度）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bdr w:val="none" w:color="auto" w:sz="0" w:space="0"/>
              </w:rPr>
              <w:t>朝阳区市民热线“接诉即办”系统建设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北京市朝阳区城市管理监督指挥中心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北京市朝阳区城市管理监督指挥中心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杨效东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50981531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4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507.758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507.758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507.758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507.758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507.758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507.758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 xml:space="preserve">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建设朝阳区市民热线“接诉即办”系统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已完成预期目标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实际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产出指标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  <w:t>：建设市民热线“接诉即办”系统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1套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1套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  <w:t>：功能满足合同约定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满足合同约定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  <w:t>：按合同约定时间支付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按合同约定时间支付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  <w:t>：合同约定的支付金额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507.758万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507.758万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社会效益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  <w:t>：满足朝阳区接诉即办工作开展需要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满足朝阳区接诉即办工作开展需要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  <w:t>：为朝阳区接诉即办工作的顺利开展提供持续保障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  <w:t>为朝阳区接诉即办工作的顺利开展提供持续保障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满意度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指标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  <w:t>：各用户单位满意程度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用户单位满意度达到80%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line="360" w:lineRule="auto"/>
        <w:ind w:left="0" w:firstLine="240" w:firstLineChars="1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tbl>
      <w:tblPr>
        <w:tblStyle w:val="12"/>
        <w:tblW w:w="8928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32"/>
                <w:szCs w:val="32"/>
                <w:bdr w:val="none" w:color="auto" w:sz="0" w:space="0"/>
              </w:rPr>
              <w:t>朝阳区项目支出绩效自评表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</w:rPr>
              <w:t>（2021年度）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bdr w:val="none" w:color="auto" w:sz="0" w:space="0"/>
              </w:rPr>
              <w:t>朝阳区市民热线“接诉即办”系统建设项目监理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北京市朝阳区城市管理监督指挥中心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北京市朝阳区城市管理监督指挥中心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杨效东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50981534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4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24.6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24.6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24.6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24.6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24.6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24.6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 xml:space="preserve">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为建设朝阳区市民热线“接诉即办”系统提供监理与相关服务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已完成预期目标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实际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产出指标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  <w:t>：监理服务对象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1套市民热线接诉即办系统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1套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  <w:t>：监理服务过程按照合同履行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按照合同履行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  <w:t>：按合同约定时间支付监理服务费用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按合同约定时间支付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  <w:t>：合同约定的支付金额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24.6万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社会效益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  <w:t>：监理服务对象满足朝阳区接诉即办工作开展需要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满足朝阳区接诉即办工作开展需要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  <w:t>：为朝阳区接诉即办工作的顺利开展提供持续保障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  <w:t>为朝阳区接诉即办工作的顺利开展提供持续保障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满意度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指标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  <w:t>：各用户单位满意程度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用户单位满意度达到80%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</w:tr>
    </w:tbl>
    <w:p>
      <w:pPr>
        <w:pStyle w:val="24"/>
        <w:keepNext w:val="0"/>
        <w:keepLines w:val="0"/>
        <w:widowControl/>
        <w:suppressLineNumbers w:val="0"/>
        <w:spacing w:before="0" w:beforeAutospacing="0"/>
        <w:ind w:left="0"/>
        <w:jc w:val="left"/>
        <w:rPr>
          <w:rFonts w:hint="eastAsia" w:ascii="宋体" w:hAnsi="宋体" w:eastAsia="宋体" w:cs="宋体"/>
          <w:kern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fill="FFFFFF"/>
        </w:rPr>
        <w:t xml:space="preserve"> </w:t>
      </w:r>
    </w:p>
    <w:p>
      <w:pPr>
        <w:pStyle w:val="24"/>
        <w:keepNext w:val="0"/>
        <w:keepLines w:val="0"/>
        <w:widowControl/>
        <w:suppressLineNumbers w:val="0"/>
        <w:spacing w:before="0" w:beforeAutospacing="0"/>
        <w:ind w:left="0"/>
        <w:jc w:val="left"/>
        <w:rPr>
          <w:rFonts w:hint="eastAsia" w:ascii="宋体" w:hAnsi="宋体" w:eastAsia="宋体" w:cs="宋体"/>
          <w:kern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fill="FFFFFF"/>
        </w:rPr>
        <w:t xml:space="preserve"> </w:t>
      </w:r>
    </w:p>
    <w:p>
      <w:pPr>
        <w:pStyle w:val="24"/>
        <w:keepNext w:val="0"/>
        <w:keepLines w:val="0"/>
        <w:widowControl/>
        <w:suppressLineNumbers w:val="0"/>
        <w:spacing w:before="0" w:beforeAutospacing="0"/>
        <w:ind w:left="0"/>
        <w:jc w:val="left"/>
        <w:rPr>
          <w:rFonts w:hint="eastAsia" w:ascii="宋体" w:hAnsi="宋体" w:eastAsia="宋体" w:cs="宋体"/>
          <w:kern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fill="FFFFFF"/>
        </w:rPr>
        <w:t xml:space="preserve"> </w:t>
      </w:r>
    </w:p>
    <w:tbl>
      <w:tblPr>
        <w:tblStyle w:val="12"/>
        <w:tblW w:w="89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32"/>
                <w:szCs w:val="32"/>
                <w:bdr w:val="none" w:color="auto" w:sz="0" w:space="0"/>
              </w:rPr>
              <w:t>朝阳区项目支出绩效自评表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</w:rPr>
              <w:t>（2021年度）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bdr w:val="none" w:color="auto" w:sz="0" w:space="0"/>
              </w:rPr>
              <w:t>监督分队房租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北京市朝阳区城市管理监督指挥中心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北京市朝阳区城市管理监督指挥中心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穆艳艳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65099882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4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55.2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55.2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55.2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55.2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55.2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55.2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 xml:space="preserve">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保障监督分队正常开展工作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已完成预期目标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实际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产出指标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  <w:t>：支付监督分队房租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11处监督分队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11处监督分队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  <w:t>：足额支付房租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按照合同约定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  <w:t>：及时支付房租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9月前完成支付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  <w:t>：根据合同规定支付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55.2万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55.2万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社会效益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  <w:t>：协管工作改善情况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为监督中心网格化监督工作的顺利开展提供保障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  <w:t>：协管工作持续影响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为监督中心网格监督工作提供可持续保障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满意度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指标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  <w:t>：受益群众满意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受益群众满意度达到80%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bdr w:val="none" w:color="auto" w:sz="0" w:space="0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bdr w:val="none" w:color="auto" w:sz="0" w:space="0"/>
              </w:rPr>
            </w:pPr>
          </w:p>
        </w:tc>
      </w:tr>
    </w:tbl>
    <w:p>
      <w:pPr>
        <w:pStyle w:val="24"/>
        <w:keepNext w:val="0"/>
        <w:keepLines w:val="0"/>
        <w:widowControl/>
        <w:suppressLineNumbers w:val="0"/>
        <w:spacing w:before="0" w:beforeAutospacing="0"/>
        <w:ind w:left="0"/>
        <w:jc w:val="left"/>
        <w:rPr>
          <w:rFonts w:hint="eastAsia" w:ascii="宋体" w:hAnsi="宋体" w:eastAsia="宋体" w:cs="宋体"/>
          <w:kern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fill="FFFFFF"/>
        </w:rPr>
        <w:t xml:space="preserve"> </w:t>
      </w:r>
    </w:p>
    <w:p>
      <w:pPr>
        <w:pStyle w:val="24"/>
        <w:keepNext w:val="0"/>
        <w:keepLines w:val="0"/>
        <w:widowControl/>
        <w:suppressLineNumbers w:val="0"/>
        <w:spacing w:before="0" w:beforeAutospacing="0"/>
        <w:ind w:left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</w:rPr>
        <w:t xml:space="preserve"> </w:t>
      </w:r>
    </w:p>
    <w:sectPr>
      <w:pgSz w:w="11915" w:h="16851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noPunctuationKerning w:val="1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04871"/>
    <w:rsid w:val="6F7113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next w:val="2"/>
    <w:semiHidden/>
    <w:unhideWhenUsed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6">
    <w:name w:val="heading 3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7">
    <w:name w:val="heading 4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8">
    <w:name w:val="heading 5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9">
    <w:name w:val="heading 6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adjustRightInd w:val="0"/>
      <w:snapToGrid w:val="0"/>
      <w:spacing w:before="0" w:beforeAutospacing="0" w:after="0" w:afterAutospacing="0" w:line="560" w:lineRule="exact"/>
      <w:ind w:left="0" w:right="0" w:firstLine="420" w:firstLineChars="200"/>
      <w:jc w:val="left"/>
    </w:pPr>
    <w:rPr>
      <w:rFonts w:hint="eastAsia" w:ascii="宋体" w:hAnsi="宋体" w:eastAsia="宋体" w:cs="宋体"/>
      <w:snapToGrid/>
      <w:kern w:val="0"/>
      <w:sz w:val="24"/>
      <w:szCs w:val="24"/>
      <w:lang w:val="en-US" w:eastAsia="zh-CN" w:bidi="ar"/>
    </w:rPr>
  </w:style>
  <w:style w:type="paragraph" w:styleId="3">
    <w:name w:val="Body Text Indent"/>
    <w:basedOn w:val="1"/>
    <w:uiPriority w:val="0"/>
    <w:pPr>
      <w:adjustRightInd w:val="0"/>
      <w:snapToGrid w:val="0"/>
      <w:spacing w:before="0" w:beforeAutospacing="0" w:after="0" w:afterAutospacing="0" w:line="560" w:lineRule="exact"/>
      <w:ind w:left="0" w:right="0" w:firstLine="63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4">
    <w:name w:val="HTML 预设格式 Char Char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5">
    <w:name w:val="10"/>
    <w:basedOn w:val="13"/>
    <w:uiPriority w:val="0"/>
    <w:rPr>
      <w:rFonts w:hint="default" w:ascii="Times New Roman" w:hAnsi="Times New Roman" w:cs="Times New Roman"/>
    </w:rPr>
  </w:style>
  <w:style w:type="paragraph" w:customStyle="1" w:styleId="16">
    <w:name w:val="List Paragraph"/>
    <w:basedOn w:val="1"/>
    <w:uiPriority w:val="0"/>
    <w:pPr>
      <w:spacing w:before="0" w:beforeAutospacing="0" w:after="0" w:afterAutospacing="0"/>
      <w:ind w:left="0" w:right="0" w:firstLine="420" w:firstLineChars="20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7">
    <w:name w:val="HTML 预设格式 Char Char Char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8">
    <w:name w:val="HTML 预设格式 Char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9">
    <w:name w:val="15"/>
    <w:basedOn w:val="13"/>
    <w:uiPriority w:val="0"/>
    <w:rPr>
      <w:rFonts w:hint="default" w:ascii="Wingdings" w:hAnsi="Wingdings" w:cs="Wingdings"/>
      <w:b/>
      <w:bCs/>
    </w:rPr>
  </w:style>
  <w:style w:type="character" w:customStyle="1" w:styleId="20">
    <w:name w:val="16"/>
    <w:basedOn w:val="13"/>
    <w:uiPriority w:val="0"/>
    <w:rPr>
      <w:rFonts w:hint="default" w:ascii="Times New Roman" w:hAnsi="Times New Roman" w:cs="Times New Roman"/>
    </w:rPr>
  </w:style>
  <w:style w:type="character" w:customStyle="1" w:styleId="21">
    <w:name w:val="17"/>
    <w:basedOn w:val="13"/>
    <w:uiPriority w:val="0"/>
    <w:rPr>
      <w:rFonts w:hint="default" w:ascii="Times New Roman" w:hAnsi="Times New Roman" w:cs="Times New Roman"/>
    </w:rPr>
  </w:style>
  <w:style w:type="paragraph" w:customStyle="1" w:styleId="22">
    <w:name w:val="Normal"/>
    <w:basedOn w:val="1"/>
    <w:uiPriority w:val="99"/>
    <w:pPr>
      <w:spacing w:before="0" w:beforeAutospacing="0" w:after="0" w:afterAutospacing="0"/>
      <w:ind w:left="0" w:right="0"/>
      <w:jc w:val="both"/>
    </w:pPr>
    <w:rPr>
      <w:rFonts w:hint="default" w:ascii="Calibri" w:hAnsi="Calibri" w:eastAsia="宋体" w:cs="宋体"/>
      <w:kern w:val="2"/>
      <w:sz w:val="21"/>
      <w:szCs w:val="21"/>
      <w:lang w:val="en-US" w:eastAsia="zh-CN" w:bidi="ar"/>
    </w:rPr>
  </w:style>
  <w:style w:type="character" w:customStyle="1" w:styleId="23">
    <w:name w:val="18"/>
    <w:basedOn w:val="13"/>
    <w:uiPriority w:val="0"/>
    <w:rPr>
      <w:rFonts w:hint="default" w:ascii="Wingdings" w:hAnsi="Wingdings" w:cs="Wingdings"/>
    </w:rPr>
  </w:style>
  <w:style w:type="paragraph" w:customStyle="1" w:styleId="24">
    <w:name w:val="普通(网站) Char"/>
    <w:basedOn w:val="1"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5">
    <w:name w:val="普通(网站) Char Char"/>
    <w:basedOn w:val="1"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Lines>1</Lines>
  <Paragraphs>1</Paragraphs>
  <TotalTime>27</TotalTime>
  <ScaleCrop>false</ScaleCrop>
  <LinksUpToDate>false</LinksUpToDate>
  <Application>WPS Office_11.1.0.11045_F1E327BC-269C-435d-A152-05C5408002CA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2022-09-09T01:16:22Z</dcterms:created>
  <dc:creator>Administrator</dc:creator>
  <cp:lastModifiedBy>Zikzin_vj</cp:lastModifiedBy>
  <dcterms:modified xsi:type="dcterms:W3CDTF">2022-09-09T01:52:19Z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FE7EA626A01A4A28B3402432E7C791BA</vt:lpwstr>
  </property>
</Properties>
</file>