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9E73" w14:textId="77777777" w:rsidR="003E0630" w:rsidRDefault="003E063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ACF7EDB" w14:textId="77777777" w:rsidR="003E0630" w:rsidRDefault="00F30D27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5E724B6" w14:textId="77777777" w:rsidR="003E0630" w:rsidRDefault="00F30D2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朝阳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区数据局部门整体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绩效评价报告</w:t>
      </w:r>
    </w:p>
    <w:p w14:paraId="2443D39E" w14:textId="77777777" w:rsidR="003E0630" w:rsidRDefault="003E0630">
      <w:pPr>
        <w:jc w:val="center"/>
        <w:rPr>
          <w:rFonts w:ascii="仿宋_GB2312"/>
          <w:szCs w:val="30"/>
        </w:rPr>
      </w:pPr>
    </w:p>
    <w:p w14:paraId="253FB425" w14:textId="77777777" w:rsidR="003E0630" w:rsidRDefault="003E0630">
      <w:pPr>
        <w:jc w:val="center"/>
        <w:rPr>
          <w:rFonts w:ascii="仿宋_GB2312"/>
          <w:szCs w:val="30"/>
        </w:rPr>
      </w:pPr>
    </w:p>
    <w:p w14:paraId="724B9CF8" w14:textId="77777777" w:rsidR="003E0630" w:rsidRDefault="00F30D27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一、部门概况</w:t>
      </w:r>
    </w:p>
    <w:p w14:paraId="28EEAC58" w14:textId="77777777" w:rsidR="003E0630" w:rsidRDefault="00F30D27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（一）机构设置及职责工作任务情况</w:t>
      </w:r>
    </w:p>
    <w:p w14:paraId="3C3340CC" w14:textId="77777777" w:rsidR="00D52A53" w:rsidRPr="00AF681E" w:rsidRDefault="00D52A53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D52A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Pr="00D52A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统筹全区数据工作，协调推进数据基础制度建设，统筹数据资源整合共享和开发利用，统筹推进数字政府、数字经济、数字社会规划和建设，组织协调推进智慧城市建设，共设置4个科室，分别是：办公室、数据资源科、数字经济科、数字科技和基础设施建设科，共下设2个事业单位，分别是：大数据信息中心、信息网络中心。目前正在依据“三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定”方案，稳步推进各项工作。</w:t>
      </w:r>
    </w:p>
    <w:p w14:paraId="505600F4" w14:textId="5272CE89" w:rsidR="003E0630" w:rsidRPr="00AF681E" w:rsidRDefault="00F30D27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F681E">
        <w:rPr>
          <w:rFonts w:ascii="楷体_GB2312" w:eastAsia="楷体_GB2312" w:hint="eastAsia"/>
          <w:sz w:val="32"/>
          <w:szCs w:val="32"/>
        </w:rPr>
        <w:t>（二）部门整体绩效目标设立情况</w:t>
      </w:r>
    </w:p>
    <w:p w14:paraId="2521E9CD" w14:textId="69B2A57E" w:rsidR="003E0630" w:rsidRPr="00AF681E" w:rsidRDefault="00D96A32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</w:t>
      </w:r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局职责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Pr="00AF6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依据设立了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</w:t>
      </w:r>
      <w:r w:rsidRPr="00AF6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关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</w:t>
      </w:r>
      <w:r w:rsidRPr="00AF6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绩效目标</w:t>
      </w:r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</w:t>
      </w:r>
      <w:r w:rsidRPr="00AF6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数据局</w:t>
      </w:r>
      <w:r w:rsidR="003F5311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数字化转型、智慧城市建设、数据治理能力提升等重点领域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AF6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工作情况</w:t>
      </w:r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，设立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了合</w:t>
      </w:r>
      <w:r w:rsidRPr="00AF6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理的</w:t>
      </w:r>
      <w:r w:rsidR="00F30D27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部门整体绩效目标。</w:t>
      </w:r>
    </w:p>
    <w:p w14:paraId="22B2E963" w14:textId="77777777" w:rsidR="00DA4E75" w:rsidRDefault="00F30D27" w:rsidP="00DA4E7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局为确保2024年部门整体任务按时保质完成，制定</w:t>
      </w:r>
      <w:r w:rsidR="004A33BA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详细</w:t>
      </w:r>
      <w:r w:rsidR="004A33BA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实施</w:t>
      </w:r>
      <w:r w:rsidR="004A33BA"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方案</w:t>
      </w:r>
      <w:r w:rsidRPr="00AF6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。在严格按照预算执行的基础上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A4E75">
        <w:rPr>
          <w:rFonts w:eastAsia="仿宋_GB2312"/>
          <w:sz w:val="32"/>
          <w:szCs w:val="32"/>
        </w:rPr>
        <w:t>作为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全市第一个揭牌的独立设置的数据局，聚焦数字政府、数字经济、数字社会建设，创新工作思路，探索工作路径，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发布全市首个区级全域数字化转型方案，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发起成立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支撑朝阳区全域数字化转型生态共同体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，成立全市首个数据行业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党委，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数聚朝阳 共创未来 构筑未来城市新典范 探索数智朝阳新模式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案例成功入选为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2024数字政府管理创新类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优秀案例，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AI赋能 驱动未来城市数智共生发展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案例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入围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世界规划教育组织主办的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未来城市大奖2024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承办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2024北京市智慧城市场景创新需求清单</w:t>
      </w:r>
      <w:proofErr w:type="gramStart"/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暨成果</w:t>
      </w:r>
      <w:proofErr w:type="gramEnd"/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发布会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，承办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数据要素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×”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大赛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分赛道并获得全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市优秀组织奖</w:t>
      </w:r>
      <w:r w:rsidR="00DA4E75" w:rsidRP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A4E75" w:rsidRPr="00DA4E7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国家</w:t>
      </w:r>
      <w:r w:rsidR="00DA4E75">
        <w:rPr>
          <w:rFonts w:eastAsia="仿宋_GB2312"/>
          <w:sz w:val="32"/>
          <w:szCs w:val="32"/>
        </w:rPr>
        <w:t>、市级多项荣誉肯定，充分展现了积极进取的工作状态、奋发有为的精神面貌和勤勉务实的创业氛围，</w:t>
      </w:r>
      <w:r w:rsidR="00DA4E75">
        <w:rPr>
          <w:rFonts w:eastAsia="仿宋_GB2312"/>
          <w:sz w:val="32"/>
        </w:rPr>
        <w:t>以数据要素驱动新质生产力提升，服务朝阳区经济社会高质量发展。</w:t>
      </w:r>
    </w:p>
    <w:p w14:paraId="2E743E4F" w14:textId="18285E34" w:rsidR="003E0630" w:rsidRDefault="00F30D2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局按照相关制度规定的要求，对财务支出严格把关，确保经费使用合理规范</w:t>
      </w:r>
      <w:r w:rsidR="00DA4E7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做到账实相符，有据可查。</w:t>
      </w:r>
    </w:p>
    <w:p w14:paraId="590575BE" w14:textId="16D1A165" w:rsidR="003E0630" w:rsidRPr="00ED1BA5" w:rsidRDefault="00F30D27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当年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预算执行情况</w:t>
      </w:r>
    </w:p>
    <w:p w14:paraId="5C298BF6" w14:textId="32D2D244" w:rsidR="003E0630" w:rsidRPr="00ED1BA5" w:rsidRDefault="00F30D2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2024年全</w:t>
      </w:r>
      <w:r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局资金总体支出</w:t>
      </w:r>
      <w:r w:rsidR="00ED1BA5"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10374.32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万元，其中，基本支出</w:t>
      </w:r>
      <w:r w:rsidR="00ED1BA5"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万元，项目支出</w:t>
      </w:r>
      <w:r w:rsidR="00ED1BA5"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10374.32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万元，其他支出</w:t>
      </w:r>
      <w:r w:rsidR="00ED1BA5"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</w:t>
      </w:r>
      <w:r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元。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</w:t>
      </w:r>
      <w:r w:rsidRPr="00ED1B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执行率为</w:t>
      </w:r>
      <w:r w:rsidRPr="00ED1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100%。</w:t>
      </w:r>
    </w:p>
    <w:p w14:paraId="52C42C6A" w14:textId="77777777" w:rsidR="003E0630" w:rsidRDefault="00F30D27">
      <w:p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、整体绩效目标实现情况</w:t>
      </w:r>
    </w:p>
    <w:p w14:paraId="0DD2AE4F" w14:textId="77777777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（一）产出完成情况分析</w:t>
      </w:r>
    </w:p>
    <w:p w14:paraId="1AB82878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1.产出数量</w:t>
      </w:r>
    </w:p>
    <w:p w14:paraId="57B42CFE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累计建成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5629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个5G基站，完成5G+8K设备在亮马河等区域部署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F4D41A7" w14:textId="77777777" w:rsidR="003E0630" w:rsidRDefault="00F30D27">
      <w:pPr>
        <w:pStyle w:val="a8"/>
        <w:spacing w:after="0"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收集全区29家单位报送的7万余条数据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971578B" w14:textId="77777777" w:rsidR="003E0630" w:rsidRDefault="00F30D27">
      <w:pPr>
        <w:pStyle w:val="a8"/>
        <w:spacing w:after="0"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完善朝阳区地理信息服务支撑平台，接入318个数据服务。</w:t>
      </w:r>
    </w:p>
    <w:p w14:paraId="5313BF1B" w14:textId="77777777" w:rsidR="003E0630" w:rsidRDefault="00F30D27">
      <w:pPr>
        <w:pStyle w:val="a8"/>
        <w:spacing w:after="0"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（4）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朝阳区大数据平台目前完成了35个委办局和街乡的8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个系统的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583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个数据目录上链工作，汇聚相关数据1亿多条，为全区92个单位开通使用资源目录账号、提供数据计算、检索等数据治理能力。</w:t>
      </w:r>
    </w:p>
    <w:p w14:paraId="06062C75" w14:textId="69065DE3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引入数据产品超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3100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款，数据调用条数超过351条，数据交易规模达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亿元。</w:t>
      </w:r>
    </w:p>
    <w:p w14:paraId="281795B1" w14:textId="77777777" w:rsidR="003E0630" w:rsidRPr="00137D55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立政务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云管理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制度，提升政务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云服务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能力，共提供913台云主机，为全区57个单位的179个云上业务系统保驾护航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0333C7C2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质量</w:t>
      </w:r>
    </w:p>
    <w:p w14:paraId="34751CB3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在产出质量方面，朝阳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通过严格的数据管理和质量控制机制，确保了数据的准确性、完整性和时效性。在5G基站建设方面，不仅完成了建设任务，还注重了设备的稳定性和安全性，为用户提供了高质量的通信服务。在数据收集方面，加强了对报送数据的审核和校验，有效避免了数据错误和遗漏，提高了数据的可用性。同时，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局还不断完善地理信息服务支撑平台和大数据平台的功能和性能，提升了数据处理和分析的效率，为政府决策提供了有力的支持。</w:t>
      </w:r>
    </w:p>
    <w:p w14:paraId="5B2E99FC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3.产出进度</w:t>
      </w:r>
    </w:p>
    <w:p w14:paraId="07357C77" w14:textId="7A9091BF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各项工作任务均严格</w:t>
      </w:r>
      <w:r w:rsidR="00197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按照相关计划要求，按时完成。其中，数据收集和整理工作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按计划节点顺利推进，确保了数据的及时性和有效性。政务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云管理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制度的建立和实施，大大提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升了政务服务的响应速度和稳定性，云主机的部署和业务系统的迁移均按计划有序进行，为政府数字化转型提供了有力支撑。</w:t>
      </w:r>
    </w:p>
    <w:p w14:paraId="01449A73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成本</w:t>
      </w:r>
    </w:p>
    <w:p w14:paraId="7BCCB0B5" w14:textId="3A04ED9D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保证项目质量和进度的前提下，注重成本控制，通过精细化管理，确保了资金的合理使用。同时，加强了对项目产出的监督和评估，确保每一项产出都符合既定的标准和要求，为区域数字经济的创新发展提供了有力保障。</w:t>
      </w:r>
    </w:p>
    <w:p w14:paraId="73880490" w14:textId="77777777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 w14:paraId="7598E93A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1.经济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效益</w:t>
      </w:r>
    </w:p>
    <w:p w14:paraId="15112E2D" w14:textId="344CC919" w:rsidR="00240EFC" w:rsidRPr="00240EFC" w:rsidRDefault="00F30D27" w:rsidP="00240EFC">
      <w:pPr>
        <w:pStyle w:val="CHY-"/>
        <w:spacing w:line="560" w:lineRule="exact"/>
        <w:ind w:firstLine="640"/>
        <w:jc w:val="both"/>
        <w:rPr>
          <w:rFonts w:cs="宋体"/>
          <w:color w:val="000000"/>
          <w:kern w:val="0"/>
        </w:rPr>
      </w:pPr>
      <w:r>
        <w:rPr>
          <w:rFonts w:cs="宋体"/>
          <w:color w:val="000000"/>
          <w:kern w:val="0"/>
        </w:rPr>
        <w:t>一是融</w:t>
      </w:r>
      <w:proofErr w:type="gramStart"/>
      <w:r>
        <w:rPr>
          <w:rFonts w:cs="宋体"/>
          <w:color w:val="000000"/>
          <w:kern w:val="0"/>
        </w:rPr>
        <w:t>典型强引领</w:t>
      </w:r>
      <w:proofErr w:type="gramEnd"/>
      <w:r>
        <w:rPr>
          <w:rFonts w:cs="宋体"/>
          <w:color w:val="000000"/>
          <w:kern w:val="0"/>
        </w:rPr>
        <w:t>，培育发掘数据要素市场。研究培育数据要素市场、促进数字经济发展政策建议，推动数据资源有效配置，统筹推进数字经济发展</w:t>
      </w:r>
      <w:r w:rsidRPr="00AF681E">
        <w:rPr>
          <w:rFonts w:cs="宋体"/>
          <w:color w:val="000000"/>
          <w:kern w:val="0"/>
        </w:rPr>
        <w:t>。</w:t>
      </w:r>
      <w:r w:rsidR="00240EFC" w:rsidRPr="00AF681E">
        <w:rPr>
          <w:rFonts w:cs="宋体"/>
          <w:color w:val="000000"/>
          <w:kern w:val="0"/>
        </w:rPr>
        <w:t>支撑累计备案交易金额近100亿元，上架数据产品超3000个，其中2024年新增备案交易金额突破50亿元，数据产品超1000个。</w:t>
      </w:r>
    </w:p>
    <w:p w14:paraId="095185E2" w14:textId="54E5F5BD" w:rsidR="003E0630" w:rsidRDefault="00F30D27" w:rsidP="00240EFC">
      <w:pPr>
        <w:pStyle w:val="CHY-"/>
        <w:spacing w:line="560" w:lineRule="exact"/>
        <w:ind w:firstLine="640"/>
        <w:jc w:val="both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二</w:t>
      </w:r>
      <w:r>
        <w:rPr>
          <w:rFonts w:cs="宋体"/>
          <w:color w:val="000000"/>
          <w:kern w:val="0"/>
        </w:rPr>
        <w:t>是融场景激活力，助力智慧城市高效建设。推动全国首个AI异构计算平台在朝阳发布，供应算力、联力、生态力和供力四力协同感知的高性能计算服务，加速</w:t>
      </w:r>
      <w:proofErr w:type="gramStart"/>
      <w:r>
        <w:rPr>
          <w:rFonts w:cs="宋体"/>
          <w:color w:val="000000"/>
          <w:kern w:val="0"/>
        </w:rPr>
        <w:t>实现算力普</w:t>
      </w:r>
      <w:proofErr w:type="gramEnd"/>
      <w:r>
        <w:rPr>
          <w:rFonts w:cs="宋体"/>
          <w:color w:val="000000"/>
          <w:kern w:val="0"/>
        </w:rPr>
        <w:t>惠、助推新质生产力发展，</w:t>
      </w:r>
      <w:r>
        <w:rPr>
          <w:rFonts w:cs="宋体"/>
          <w:color w:val="000000"/>
          <w:kern w:val="0"/>
        </w:rPr>
        <w:t>“</w:t>
      </w:r>
      <w:r>
        <w:rPr>
          <w:rFonts w:cs="宋体"/>
          <w:color w:val="000000"/>
          <w:kern w:val="0"/>
        </w:rPr>
        <w:t>先进计算迭代验证平台项目</w:t>
      </w:r>
      <w:r>
        <w:rPr>
          <w:rFonts w:cs="宋体"/>
          <w:color w:val="000000"/>
          <w:kern w:val="0"/>
        </w:rPr>
        <w:t>”</w:t>
      </w:r>
      <w:r>
        <w:rPr>
          <w:rFonts w:cs="宋体"/>
          <w:color w:val="000000"/>
          <w:kern w:val="0"/>
        </w:rPr>
        <w:t>入选中关村论坛2024</w:t>
      </w:r>
      <w:r>
        <w:rPr>
          <w:rFonts w:cs="宋体"/>
          <w:color w:val="000000"/>
          <w:kern w:val="0"/>
        </w:rPr>
        <w:t>“</w:t>
      </w:r>
      <w:r>
        <w:rPr>
          <w:rFonts w:cs="宋体"/>
          <w:color w:val="000000"/>
          <w:kern w:val="0"/>
        </w:rPr>
        <w:t>全国企业数字化应用创新十佳案例</w:t>
      </w:r>
      <w:r>
        <w:rPr>
          <w:rFonts w:cs="宋体"/>
          <w:color w:val="000000"/>
          <w:kern w:val="0"/>
        </w:rPr>
        <w:t>”</w:t>
      </w:r>
      <w:r>
        <w:rPr>
          <w:rFonts w:cs="宋体"/>
          <w:color w:val="000000"/>
          <w:kern w:val="0"/>
        </w:rPr>
        <w:t>。</w:t>
      </w:r>
    </w:p>
    <w:p w14:paraId="6A898715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2.社会效益</w:t>
      </w:r>
    </w:p>
    <w:p w14:paraId="25BB1570" w14:textId="77777777" w:rsidR="003E0630" w:rsidRDefault="00F30D27">
      <w:pPr>
        <w:pStyle w:val="a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一是作为全市第一个揭牌的独立设置的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局，聚焦数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字政府、数字经济、数字社会建设，创新工作思路，探索工作路径，发布全市首个区级全域数字化转型方案，发起成立“支撑朝阳区全域数字化转型生态共同体”，成立全市首个数据行业党委，“数聚朝阳 共创未来 构筑未来城市新典范 探索数智朝阳新模式”案例成功入选为“2024数字政府管理创新类”优秀案例，“AI赋能 驱动未来城市数智共生发展”案例入围世界规划教育组织主办的“未来城市大奖2024”，</w:t>
      </w:r>
    </w:p>
    <w:p w14:paraId="779F1359" w14:textId="64853DAF" w:rsidR="003E0630" w:rsidRDefault="00F30D27" w:rsidP="007B5F15">
      <w:pPr>
        <w:pStyle w:val="a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二是承办2024北京市智慧城市场景创新需求清单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暨成果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布会，承办“数据要素×”大赛分赛道并获得全市优秀组织奖，国家、市级多项荣誉肯定，充分展现了积极进取的工作状态、奋发有为的精神面貌和勤勉务实的创业氛围，以数据要素驱动新质生产力提升，服务朝阳区经济社会高质量发展。</w:t>
      </w:r>
    </w:p>
    <w:p w14:paraId="7F52F0C4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3.环境效益</w:t>
      </w:r>
    </w:p>
    <w:p w14:paraId="2307915D" w14:textId="77777777" w:rsidR="003E0630" w:rsidRDefault="00F30D27">
      <w:pPr>
        <w:pStyle w:val="CHY-"/>
        <w:spacing w:line="560" w:lineRule="exact"/>
        <w:ind w:firstLine="640"/>
        <w:jc w:val="both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一是</w:t>
      </w:r>
      <w:r>
        <w:rPr>
          <w:rFonts w:cs="宋体"/>
          <w:color w:val="000000"/>
          <w:kern w:val="0"/>
        </w:rPr>
        <w:t>落实市政数局相关要求，</w:t>
      </w:r>
      <w:proofErr w:type="gramStart"/>
      <w:r>
        <w:rPr>
          <w:rFonts w:cs="宋体"/>
          <w:color w:val="000000"/>
          <w:kern w:val="0"/>
        </w:rPr>
        <w:t>区数据</w:t>
      </w:r>
      <w:proofErr w:type="gramEnd"/>
      <w:r>
        <w:rPr>
          <w:rFonts w:cs="宋体"/>
          <w:color w:val="000000"/>
          <w:kern w:val="0"/>
        </w:rPr>
        <w:t>局牵头承办</w:t>
      </w:r>
      <w:r>
        <w:rPr>
          <w:rFonts w:cs="宋体"/>
          <w:color w:val="000000"/>
          <w:kern w:val="0"/>
        </w:rPr>
        <w:t>“</w:t>
      </w:r>
      <w:r>
        <w:rPr>
          <w:rFonts w:cs="宋体"/>
          <w:color w:val="000000"/>
          <w:kern w:val="0"/>
        </w:rPr>
        <w:t>数据要素</w:t>
      </w:r>
      <w:r>
        <w:rPr>
          <w:rFonts w:cs="宋体"/>
          <w:color w:val="000000"/>
          <w:kern w:val="0"/>
        </w:rPr>
        <w:t>×”</w:t>
      </w:r>
      <w:r>
        <w:rPr>
          <w:rFonts w:cs="宋体"/>
          <w:color w:val="000000"/>
          <w:kern w:val="0"/>
        </w:rPr>
        <w:t>大赛商贸流通和社区服务赛道，举办</w:t>
      </w:r>
      <w:r>
        <w:rPr>
          <w:rFonts w:cs="宋体"/>
          <w:color w:val="000000"/>
          <w:kern w:val="0"/>
        </w:rPr>
        <w:t>“</w:t>
      </w:r>
      <w:r>
        <w:rPr>
          <w:rFonts w:cs="宋体"/>
          <w:color w:val="000000"/>
          <w:kern w:val="0"/>
        </w:rPr>
        <w:t>数据要素</w:t>
      </w:r>
      <w:r>
        <w:rPr>
          <w:rFonts w:cs="宋体"/>
          <w:color w:val="000000"/>
          <w:kern w:val="0"/>
        </w:rPr>
        <w:t>×”</w:t>
      </w:r>
      <w:r>
        <w:rPr>
          <w:rFonts w:cs="宋体"/>
          <w:color w:val="000000"/>
          <w:kern w:val="0"/>
        </w:rPr>
        <w:t>大赛北京分赛赛道说明会、初赛和决赛评审会及</w:t>
      </w:r>
      <w:proofErr w:type="gramStart"/>
      <w:r>
        <w:rPr>
          <w:rFonts w:cs="宋体"/>
          <w:color w:val="000000"/>
          <w:kern w:val="0"/>
        </w:rPr>
        <w:t>相关路</w:t>
      </w:r>
      <w:proofErr w:type="gramEnd"/>
      <w:r>
        <w:rPr>
          <w:rFonts w:cs="宋体"/>
          <w:color w:val="000000"/>
          <w:kern w:val="0"/>
        </w:rPr>
        <w:t>演，吸引上百家相关领域的市场主体参加，通过以赛促</w:t>
      </w:r>
      <w:proofErr w:type="gramStart"/>
      <w:r>
        <w:rPr>
          <w:rFonts w:cs="宋体"/>
          <w:color w:val="000000"/>
          <w:kern w:val="0"/>
        </w:rPr>
        <w:t>研</w:t>
      </w:r>
      <w:proofErr w:type="gramEnd"/>
      <w:r>
        <w:rPr>
          <w:rFonts w:cs="宋体"/>
          <w:color w:val="000000"/>
          <w:kern w:val="0"/>
        </w:rPr>
        <w:t>、以赛促用，在典型场景、优质数据、创新资源等方面协同发力，推进数据乘数赋能千行百业。</w:t>
      </w:r>
    </w:p>
    <w:p w14:paraId="0D701A49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二是融平台提效能，实现基础建设创新管理。立足加快推进城市大脑AI平台建设工作。依托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城市大脑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整体管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理思路和全盘建设规划，建立政务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云管理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制度，提升政务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云服务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能力，共提供913台云主机，为全区57个单位的179个云上业务系统保驾护航。持续推进区级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信创云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升级改造工作，建设完成后预计能提供计算资源vCPU7656核、内存21516GB、分布式存储容量225TB，实现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云资源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的按需分配、</w:t>
      </w:r>
    </w:p>
    <w:p w14:paraId="583F509A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4.可持续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性影响</w:t>
      </w:r>
    </w:p>
    <w:p w14:paraId="484C9228" w14:textId="00CB92B0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一是强化统筹布局，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 w:eastAsia="zh"/>
        </w:rPr>
        <w:t>夯实数字基础设施建设。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有序推进5G基础设施建设，累计建成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5629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5G基站，完成5G+8K设备在亮马河等区域部署，在朝阳区奥林匹克中心区、SKP商圈率先完成5G-A网络部署，已完成工体5G-A立体组网，可满足6.8万观众同时观看高清视频，朝阳区全域已具备F5G千兆网络接入能力，不断提升网络质量。优化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获得用网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营商环境，统筹协调商务楼宇宽带接入工作。</w:t>
      </w:r>
    </w:p>
    <w:p w14:paraId="068CEE79" w14:textId="77777777" w:rsidR="003E0630" w:rsidRDefault="00F30D27">
      <w:pPr>
        <w:pStyle w:val="a8"/>
        <w:spacing w:after="0"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是强化整合资源，保障高质量数据供给。推动公共数据开放工作，组织各单位报送可持续更新、高质量、结构化的数据集，截至目前，已收集到全区29家单位报送的7万余条数据。完善朝阳区地理信息服务支撑平台，接入318个数据服务。朝阳区大数据平台目前完成了35个委办局和街乡的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个系统的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583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个数据目录上链工作，汇聚相关数据1亿多条，为全区92个单位开通使用资源目录账号、提供数据计算、检索等数据治理能力。</w:t>
      </w:r>
    </w:p>
    <w:p w14:paraId="6A2946C2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5.服务对象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满意度</w:t>
      </w:r>
    </w:p>
    <w:p w14:paraId="1EF4C10C" w14:textId="1CC70BCF" w:rsidR="003E0630" w:rsidRDefault="00F30D27">
      <w:pPr>
        <w:pStyle w:val="3"/>
        <w:spacing w:line="560" w:lineRule="exact"/>
        <w:ind w:leftChars="0" w:left="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聚焦协同发展，提升数字化效能。发挥党管数据的引领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作用，成立全市首个数据行业党委，统筹数据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行业党建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工作，以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党建引领发展、数字驱动未来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为愿景，推动党的建设与数据行业协同发展。定期跟踪国内外数据领域进展动态，汇总整理《数聚朝阳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动态追踪》专刊，供全区各部门、各街乡研讨借鉴。</w:t>
      </w:r>
    </w:p>
    <w:p w14:paraId="04F1BF35" w14:textId="77777777" w:rsidR="003E0630" w:rsidRDefault="00F30D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年，朝阳</w:t>
      </w:r>
      <w:proofErr w:type="gramStart"/>
      <w:r>
        <w:rPr>
          <w:rFonts w:eastAsia="仿宋_GB2312" w:hint="eastAsia"/>
          <w:sz w:val="32"/>
          <w:szCs w:val="32"/>
        </w:rPr>
        <w:t>区数据</w:t>
      </w:r>
      <w:proofErr w:type="gramEnd"/>
      <w:r>
        <w:rPr>
          <w:rFonts w:eastAsia="仿宋_GB2312" w:hint="eastAsia"/>
          <w:sz w:val="32"/>
          <w:szCs w:val="32"/>
        </w:rPr>
        <w:t>局获得</w:t>
      </w:r>
      <w:r>
        <w:rPr>
          <w:rFonts w:eastAsia="仿宋_GB2312"/>
          <w:sz w:val="32"/>
          <w:szCs w:val="32"/>
        </w:rPr>
        <w:t>国家、市级多项荣誉肯定，充分展现了积极进取的工作状态、奋发有为的精神面貌和勤勉务实的创业氛围，</w:t>
      </w:r>
      <w:r>
        <w:rPr>
          <w:rFonts w:eastAsia="仿宋_GB2312"/>
          <w:sz w:val="32"/>
        </w:rPr>
        <w:t>以数据要素驱动新质生产力提升，服务朝阳区经济社会高质量发展。</w:t>
      </w:r>
      <w:r>
        <w:rPr>
          <w:rFonts w:eastAsia="仿宋_GB2312" w:hint="eastAsia"/>
          <w:sz w:val="32"/>
        </w:rPr>
        <w:t>各业务项目</w:t>
      </w:r>
      <w:r>
        <w:rPr>
          <w:rFonts w:eastAsia="仿宋_GB2312"/>
          <w:sz w:val="32"/>
        </w:rPr>
        <w:t>用户满意度</w:t>
      </w:r>
      <w:r>
        <w:rPr>
          <w:rFonts w:eastAsia="仿宋_GB2312" w:hint="eastAsia"/>
          <w:sz w:val="32"/>
        </w:rPr>
        <w:t>均达到</w:t>
      </w:r>
      <w:r>
        <w:rPr>
          <w:rFonts w:eastAsia="仿宋_GB2312" w:hint="eastAsia"/>
          <w:sz w:val="32"/>
        </w:rPr>
        <w:t>90%</w:t>
      </w:r>
      <w:r>
        <w:rPr>
          <w:rFonts w:eastAsia="仿宋_GB2312" w:hint="eastAsia"/>
          <w:sz w:val="32"/>
        </w:rPr>
        <w:t>以上，服务对象满意度较好。</w:t>
      </w:r>
    </w:p>
    <w:p w14:paraId="5797E3D3" w14:textId="77777777" w:rsidR="003E0630" w:rsidRDefault="00F30D27">
      <w:p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、预算管理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情况分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析</w:t>
      </w:r>
    </w:p>
    <w:p w14:paraId="1E473A30" w14:textId="77777777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（一）财务管理</w:t>
      </w:r>
    </w:p>
    <w:p w14:paraId="7BAB1F6C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1.财务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管理制度健全性</w:t>
      </w:r>
    </w:p>
    <w:p w14:paraId="166808F0" w14:textId="23B23B9F" w:rsidR="003E0630" w:rsidRDefault="00F30D27">
      <w:pPr>
        <w:pStyle w:val="a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局积极推进财务制度的建立，</w:t>
      </w:r>
      <w:r w:rsidR="00916E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按照财</w:t>
      </w:r>
      <w:r w:rsidR="00916E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政局</w:t>
      </w:r>
      <w:r w:rsidR="00916E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</w:t>
      </w:r>
      <w:r w:rsidR="00916E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关</w:t>
      </w:r>
      <w:r w:rsidR="00916E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文件</w:t>
      </w:r>
      <w:r w:rsidR="00916E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的要求</w:t>
      </w:r>
      <w:r w:rsidR="00916E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完善</w:t>
      </w:r>
      <w:r w:rsidR="00916E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《朝阳区数据局公务卡使用管理规定》</w:t>
      </w:r>
      <w:r w:rsidR="00916E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《朝阳区数据局公务用车管理使用暂行办法》等</w:t>
      </w:r>
      <w:r w:rsidR="006C36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 w:rsidR="006C36A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系列</w:t>
      </w:r>
      <w:r w:rsidR="00916E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781007F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2.资金使用合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和安全性</w:t>
      </w:r>
    </w:p>
    <w:p w14:paraId="6BEB4808" w14:textId="49E15C93" w:rsidR="003E0630" w:rsidRDefault="00916E8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局严格执行相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关法律、法规及</w:t>
      </w:r>
      <w:r w:rsidR="005A22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5A22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文件</w:t>
      </w:r>
      <w:r w:rsidR="005A22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要求。</w:t>
      </w:r>
      <w:r w:rsidR="006C36A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严格按照各项审批流程，对每笔经济业务进行审核</w:t>
      </w:r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F30D2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项目资金按要求做好申请，使用和进度管理工作</w:t>
      </w:r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F30D2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内部审计做好日常财务核算检查、监督和考核工作。</w:t>
      </w:r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局对财务支出严格把关，确保经费使用合理规范</w:t>
      </w:r>
      <w:r w:rsidR="00387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387B3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安全有效</w:t>
      </w:r>
      <w:r w:rsidR="00F30D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9D8B90F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基础信息完善性</w:t>
      </w:r>
    </w:p>
    <w:p w14:paraId="2E21874C" w14:textId="7376AAC4" w:rsidR="003E0630" w:rsidRDefault="00F30D27">
      <w:pPr>
        <w:pStyle w:val="a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局会计</w:t>
      </w:r>
      <w:r w:rsidR="00E45E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信息资料</w:t>
      </w:r>
      <w:r w:rsidR="00E45E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真实</w:t>
      </w:r>
      <w:r w:rsidR="00E45E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、准确有效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会计账簿设置规范，科目使用准确，记账凭证附件齐全，账目清晰明了。注重会计档案的保管和利用，确保会计信息的可追溯性和安全性。有效提升了会计基础信息的完善性，为财务管理工作的顺利进行提供了有力保障。</w:t>
      </w:r>
    </w:p>
    <w:p w14:paraId="2C35BBF7" w14:textId="77777777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（二）资产管理</w:t>
      </w:r>
    </w:p>
    <w:p w14:paraId="0422A633" w14:textId="12C610CD" w:rsidR="003E0630" w:rsidRDefault="00F30D27">
      <w:pPr>
        <w:pStyle w:val="1"/>
      </w:pPr>
      <w:r>
        <w:rPr>
          <w:rFonts w:ascii="仿宋_GB2312" w:eastAsia="仿宋_GB2312" w:hAnsi="宋体" w:hint="eastAsia"/>
          <w:sz w:val="32"/>
          <w:szCs w:val="32"/>
        </w:rPr>
        <w:t>朝阳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区数据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局资产管理部门严格执行资产管理制度，确保每项资产的登记、使用等流程都符合规定。通过定期的清查工作，朝阳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区数据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局能够及时掌握固定资产的数量、分布和使用状况，确保资产管理的准确性和高效性。</w:t>
      </w:r>
    </w:p>
    <w:p w14:paraId="42689CEC" w14:textId="77777777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 w14:paraId="598C1794" w14:textId="77777777" w:rsidR="003E0630" w:rsidRDefault="00F30D27">
      <w:pPr>
        <w:pStyle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朝阳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区数据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局高度重视绩效管理工作，通过建立完善的绩效评价体系，对业务经费的使用情况进行全面跟踪和评估。绩效管理工作涵盖了绩效目标的设定、绩效监控、绩效评价以及绩效反馈等多个环节，确保每一项经费的使用都能达到预期的效益。同时，朝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区数据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局还注重绩效评价结果的运用，将评价结果作为预算编制、资金分配和调整的重要依据，不断优化资源配置，提高资金使用效率。通过绩效管理，朝阳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区数据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局实现了对业务经费使用的精细化管理，有效提升了资金的使用效益和部门的整体绩效水平。</w:t>
      </w:r>
    </w:p>
    <w:p w14:paraId="7C9D38D6" w14:textId="537F53A0" w:rsidR="003E0630" w:rsidRDefault="00F30D27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（四）结转结余率</w:t>
      </w:r>
    </w:p>
    <w:p w14:paraId="4AD263E9" w14:textId="77777777" w:rsidR="003E0630" w:rsidRDefault="00F30D27">
      <w:pPr>
        <w:pStyle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朝阳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区数据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局结转结余率为0%。</w:t>
      </w:r>
    </w:p>
    <w:p w14:paraId="6A956E17" w14:textId="56B80215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 w14:paraId="170CF41E" w14:textId="77777777" w:rsidR="003E0630" w:rsidRDefault="00F30D27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区数据局部门预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决算差异率为0%。</w:t>
      </w:r>
    </w:p>
    <w:p w14:paraId="5F0CD85E" w14:textId="77777777" w:rsidR="003E0630" w:rsidRDefault="00F30D27">
      <w:pPr>
        <w:spacing w:line="600" w:lineRule="exact"/>
        <w:ind w:leftChars="50" w:left="105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五、总体</w:t>
      </w:r>
      <w:r>
        <w:rPr>
          <w:rFonts w:ascii="黑体" w:eastAsia="黑体" w:hAnsi="黑体"/>
          <w:sz w:val="32"/>
          <w:szCs w:val="32"/>
        </w:rPr>
        <w:t>评价结论</w:t>
      </w:r>
    </w:p>
    <w:p w14:paraId="09D6535E" w14:textId="77777777" w:rsidR="003E0630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ascii="楷体_GB2312" w:eastAsia="楷体_GB2312" w:hint="eastAsia"/>
          <w:sz w:val="32"/>
          <w:szCs w:val="32"/>
        </w:rPr>
        <w:t>情况：96分</w:t>
      </w:r>
    </w:p>
    <w:p w14:paraId="49F2AFB2" w14:textId="42AA06E6" w:rsidR="003E0630" w:rsidRPr="00B318EB" w:rsidRDefault="00F30D27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 w:rsidRPr="00B318EB">
        <w:rPr>
          <w:rFonts w:ascii="楷体_GB2312" w:eastAsia="楷体_GB2312" w:hint="eastAsia"/>
          <w:sz w:val="32"/>
          <w:szCs w:val="32"/>
        </w:rPr>
        <w:t>（二）存在的问题及原因分析</w:t>
      </w:r>
    </w:p>
    <w:p w14:paraId="0FD77D39" w14:textId="209B415F" w:rsidR="00FF0D9C" w:rsidRPr="005B2B2A" w:rsidRDefault="005B2B2A" w:rsidP="0075144B">
      <w:pPr>
        <w:spacing w:line="600" w:lineRule="exact"/>
        <w:ind w:leftChars="50" w:lef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</w:t>
      </w:r>
      <w:r w:rsidRPr="00B318E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局为</w:t>
      </w:r>
      <w:r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2024年</w:t>
      </w:r>
      <w:r w:rsidRPr="00B318E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新成立单位，因资金有限，在支撑</w:t>
      </w:r>
      <w:r w:rsidR="0075144B"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数字</w:t>
      </w:r>
      <w:r w:rsidR="00AF681E"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经济</w:t>
      </w:r>
      <w:r w:rsidR="0075144B" w:rsidRPr="00B318E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、数</w:t>
      </w:r>
      <w:r w:rsidR="0075144B"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字</w:t>
      </w:r>
      <w:r w:rsidR="00AF681E"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</w:t>
      </w:r>
      <w:r w:rsidR="0075144B" w:rsidRPr="00B318E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、数字社会建设</w:t>
      </w:r>
      <w:r w:rsidR="0075144B"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75144B" w:rsidRPr="00B318E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创新工作方面</w:t>
      </w:r>
      <w:r w:rsidRPr="00B318E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还需进一步提升</w:t>
      </w:r>
      <w:r w:rsidR="00FF0D9C" w:rsidRPr="00B318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4759AC5E" w14:textId="43013DA9" w:rsidR="003E0630" w:rsidRDefault="00F30D2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六、措施建议</w:t>
      </w:r>
      <w:r w:rsidR="006D57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14:paraId="1A14B00A" w14:textId="77777777" w:rsidR="0029558E" w:rsidRDefault="0029558E" w:rsidP="0029558E">
      <w:pPr>
        <w:pStyle w:val="2"/>
        <w:spacing w:line="560" w:lineRule="exact"/>
        <w:rPr>
          <w:b/>
          <w:bCs/>
          <w:sz w:val="32"/>
        </w:rPr>
      </w:pPr>
      <w:r>
        <w:rPr>
          <w:b/>
          <w:bCs/>
          <w:sz w:val="32"/>
          <w:szCs w:val="22"/>
        </w:rPr>
        <w:t>（一）聚焦数字经济，不断激发数字化发展活力</w:t>
      </w:r>
    </w:p>
    <w:p w14:paraId="26B22E46" w14:textId="2ECFE14F" w:rsidR="0029558E" w:rsidRDefault="0029558E" w:rsidP="0029558E">
      <w:pPr>
        <w:spacing w:line="560" w:lineRule="exact"/>
        <w:ind w:firstLineChars="200" w:firstLine="643"/>
        <w:rPr>
          <w:rFonts w:eastAsia="仿宋_GB2312"/>
          <w:sz w:val="32"/>
          <w:szCs w:val="32"/>
          <w:lang w:eastAsia="zh"/>
        </w:rPr>
      </w:pPr>
      <w:r w:rsidRPr="00C07188">
        <w:rPr>
          <w:rFonts w:eastAsia="仿宋_GB2312"/>
          <w:b/>
          <w:bCs/>
          <w:sz w:val="32"/>
          <w:szCs w:val="40"/>
        </w:rPr>
        <w:t>一是</w:t>
      </w:r>
      <w:r>
        <w:rPr>
          <w:rFonts w:eastAsia="仿宋_GB2312"/>
          <w:b/>
          <w:bCs/>
          <w:sz w:val="32"/>
          <w:szCs w:val="40"/>
        </w:rPr>
        <w:t>明确数字经济重要位置。以场景应用带动数字经济发展。</w:t>
      </w:r>
      <w:r>
        <w:rPr>
          <w:rFonts w:eastAsia="仿宋_GB2312"/>
          <w:sz w:val="32"/>
          <w:szCs w:val="40"/>
        </w:rPr>
        <w:t>发挥场景丰富的区域优势，夯实数据底座，借助</w:t>
      </w:r>
      <w:r>
        <w:rPr>
          <w:rFonts w:eastAsia="仿宋_GB2312"/>
          <w:sz w:val="32"/>
          <w:szCs w:val="40"/>
        </w:rPr>
        <w:t>AI</w:t>
      </w:r>
      <w:r>
        <w:rPr>
          <w:rFonts w:eastAsia="仿宋_GB2312"/>
          <w:sz w:val="32"/>
          <w:szCs w:val="40"/>
        </w:rPr>
        <w:t>等技术手段推动更多领域的场景落地。</w:t>
      </w:r>
      <w:r w:rsidRPr="00BE1D1C">
        <w:rPr>
          <w:rFonts w:eastAsia="仿宋_GB2312"/>
          <w:sz w:val="32"/>
          <w:szCs w:val="40"/>
        </w:rPr>
        <w:t>以创新机制推动数字经济发展。</w:t>
      </w:r>
      <w:r>
        <w:rPr>
          <w:rFonts w:eastAsia="仿宋_GB2312"/>
          <w:sz w:val="32"/>
          <w:szCs w:val="40"/>
        </w:rPr>
        <w:t>组织谋划好数据基础设施建设，统筹数据资源，推动经济社会高质量发展。</w:t>
      </w:r>
      <w:r w:rsidRPr="00BE1D1C">
        <w:rPr>
          <w:rFonts w:eastAsia="仿宋_GB2312"/>
          <w:sz w:val="32"/>
          <w:szCs w:val="40"/>
        </w:rPr>
        <w:t>以战略定位明确数字经济发展地位。</w:t>
      </w:r>
      <w:r w:rsidRPr="00B41C0D">
        <w:rPr>
          <w:rFonts w:eastAsia="仿宋_GB2312"/>
          <w:b/>
          <w:bCs/>
          <w:sz w:val="32"/>
          <w:szCs w:val="40"/>
        </w:rPr>
        <w:t>二是打造国家数据流通交易中心。</w:t>
      </w:r>
      <w:r w:rsidRPr="00B41C0D">
        <w:rPr>
          <w:rFonts w:eastAsia="仿宋_GB2312"/>
          <w:sz w:val="32"/>
          <w:szCs w:val="40"/>
        </w:rPr>
        <w:t>聚焦北京市</w:t>
      </w:r>
      <w:r w:rsidRPr="00B41C0D">
        <w:rPr>
          <w:rFonts w:eastAsia="仿宋_GB2312"/>
          <w:sz w:val="32"/>
          <w:szCs w:val="40"/>
        </w:rPr>
        <w:t>“</w:t>
      </w:r>
      <w:r w:rsidRPr="00B41C0D">
        <w:rPr>
          <w:rFonts w:eastAsia="仿宋_GB2312"/>
          <w:sz w:val="32"/>
          <w:szCs w:val="40"/>
        </w:rPr>
        <w:t>一区三中心</w:t>
      </w:r>
      <w:r w:rsidRPr="00B41C0D">
        <w:rPr>
          <w:rFonts w:eastAsia="仿宋_GB2312"/>
          <w:sz w:val="32"/>
          <w:szCs w:val="40"/>
        </w:rPr>
        <w:t>”</w:t>
      </w:r>
      <w:r w:rsidRPr="00B41C0D">
        <w:rPr>
          <w:rFonts w:eastAsia="仿宋_GB2312"/>
          <w:sz w:val="32"/>
          <w:szCs w:val="40"/>
        </w:rPr>
        <w:t>中</w:t>
      </w:r>
      <w:r w:rsidRPr="00B41C0D">
        <w:rPr>
          <w:rFonts w:eastAsia="仿宋_GB2312"/>
          <w:sz w:val="32"/>
          <w:szCs w:val="40"/>
        </w:rPr>
        <w:t>“</w:t>
      </w:r>
      <w:r w:rsidRPr="00B41C0D">
        <w:rPr>
          <w:rFonts w:eastAsia="仿宋_GB2312"/>
          <w:sz w:val="32"/>
          <w:szCs w:val="40"/>
        </w:rPr>
        <w:t>国家数据流通交易中心</w:t>
      </w:r>
      <w:r w:rsidRPr="00B41C0D">
        <w:rPr>
          <w:rFonts w:eastAsia="仿宋_GB2312"/>
          <w:sz w:val="32"/>
          <w:szCs w:val="40"/>
        </w:rPr>
        <w:t>”</w:t>
      </w:r>
      <w:r w:rsidRPr="00B41C0D">
        <w:rPr>
          <w:rFonts w:eastAsia="仿宋_GB2312"/>
          <w:sz w:val="32"/>
          <w:szCs w:val="40"/>
        </w:rPr>
        <w:t>，打通数据要素市场，探索跨境数据交易，完善体系制度，推动数据实现二次增值。在数据流通交易、场景创新应用、全域数字化转型、数据工作体系建设上走在前，推动数据要素市场高质量发展。与北数所全方面加强合作，激活数据资产价值，培育支持聚焦数据采集、整理、聚合、分析等业务的社会化数</w:t>
      </w:r>
      <w:r w:rsidRPr="00B41C0D">
        <w:rPr>
          <w:rFonts w:eastAsia="仿宋_GB2312"/>
          <w:sz w:val="32"/>
          <w:szCs w:val="32"/>
          <w:lang w:eastAsia="zh"/>
        </w:rPr>
        <w:t>据服务商，实现数据互联互通互操作。</w:t>
      </w:r>
      <w:r w:rsidRPr="00B41C0D">
        <w:rPr>
          <w:rFonts w:eastAsia="仿宋_GB2312"/>
          <w:b/>
          <w:bCs/>
          <w:sz w:val="32"/>
          <w:szCs w:val="32"/>
        </w:rPr>
        <w:t>三是打造数据要素产业聚集</w:t>
      </w:r>
      <w:r w:rsidRPr="00B41C0D">
        <w:rPr>
          <w:rFonts w:eastAsia="仿宋_GB2312"/>
          <w:b/>
          <w:bCs/>
          <w:sz w:val="32"/>
          <w:szCs w:val="32"/>
          <w:lang w:eastAsia="zh"/>
        </w:rPr>
        <w:t>区。</w:t>
      </w:r>
      <w:r w:rsidRPr="00B41C0D">
        <w:rPr>
          <w:rFonts w:eastAsia="仿宋_GB2312"/>
          <w:kern w:val="0"/>
          <w:sz w:val="32"/>
          <w:szCs w:val="32"/>
          <w:lang w:bidi="ar"/>
        </w:rPr>
        <w:t>实施数据要素生态合作伙伴计划，加大数据要素密集型企业引育、</w:t>
      </w:r>
      <w:r w:rsidRPr="00B41C0D">
        <w:rPr>
          <w:rFonts w:eastAsia="仿宋_GB2312"/>
          <w:kern w:val="0"/>
          <w:sz w:val="32"/>
          <w:szCs w:val="32"/>
          <w:lang w:bidi="ar"/>
        </w:rPr>
        <w:lastRenderedPageBreak/>
        <w:t>建设国际数据产业园，打造国际数据要素产业集群；发挥数据要素乘数效应，推动数据要素与产业互联网、人工智能、医药健康等产业融合发展；建设数据跨境综合服务平台，提升数据跨境综合服务能力；支持数据要素关键共性技术研发，支持数据要素人才培育与引进，提升数据要素协同创新能力；围绕数据要素产业发展所需的算力、安全等需求，推动建设新型数据基础设施</w:t>
      </w:r>
      <w:r w:rsidRPr="00B41C0D">
        <w:rPr>
          <w:rFonts w:eastAsia="仿宋_GB2312"/>
          <w:sz w:val="32"/>
          <w:szCs w:val="32"/>
          <w:lang w:eastAsia="zh"/>
        </w:rPr>
        <w:t>。</w:t>
      </w:r>
    </w:p>
    <w:p w14:paraId="1CA60794" w14:textId="77777777" w:rsidR="0029558E" w:rsidRDefault="0029558E" w:rsidP="0029558E">
      <w:pPr>
        <w:pStyle w:val="2"/>
        <w:spacing w:line="560" w:lineRule="exact"/>
        <w:rPr>
          <w:b/>
          <w:bCs/>
          <w:sz w:val="32"/>
        </w:rPr>
      </w:pPr>
      <w:r>
        <w:rPr>
          <w:b/>
          <w:bCs/>
          <w:sz w:val="32"/>
          <w:szCs w:val="22"/>
        </w:rPr>
        <w:t>（二）聚焦数字政府，不断提升数字化治理效能</w:t>
      </w:r>
    </w:p>
    <w:p w14:paraId="287D6B92" w14:textId="77777777" w:rsidR="0029558E" w:rsidRDefault="0029558E" w:rsidP="0029558E">
      <w:pPr>
        <w:spacing w:line="56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一是建立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全域数字化转型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体制机制。</w:t>
      </w:r>
      <w:r>
        <w:rPr>
          <w:rFonts w:eastAsia="仿宋_GB2312"/>
          <w:sz w:val="32"/>
          <w:szCs w:val="32"/>
        </w:rPr>
        <w:t>发挥数据行业党委统揽全局、协调各方、聚合资源作用，推动形成组织建设与数据行业同步发展新格局。依据朝阳区全域数字化转型实施方案，打造朝阳区数字化共性基础，</w:t>
      </w:r>
      <w:proofErr w:type="gramStart"/>
      <w:r>
        <w:rPr>
          <w:rFonts w:eastAsia="仿宋_GB2312"/>
          <w:sz w:val="32"/>
          <w:szCs w:val="32"/>
        </w:rPr>
        <w:t>全领域</w:t>
      </w:r>
      <w:proofErr w:type="gramEnd"/>
      <w:r>
        <w:rPr>
          <w:rFonts w:eastAsia="仿宋_GB2312"/>
          <w:sz w:val="32"/>
          <w:szCs w:val="32"/>
        </w:rPr>
        <w:t>推进朝阳区现代化城市建设。</w:t>
      </w:r>
      <w:r>
        <w:rPr>
          <w:rFonts w:eastAsia="仿宋_GB2312"/>
          <w:b/>
          <w:bCs/>
          <w:sz w:val="32"/>
          <w:szCs w:val="32"/>
        </w:rPr>
        <w:t>二是</w:t>
      </w:r>
      <w:r w:rsidRPr="00B41C0D">
        <w:rPr>
          <w:rFonts w:eastAsia="仿宋_GB2312"/>
          <w:b/>
          <w:bCs/>
          <w:sz w:val="32"/>
          <w:szCs w:val="32"/>
        </w:rPr>
        <w:t>以</w:t>
      </w:r>
      <w:r w:rsidRPr="00B41C0D">
        <w:rPr>
          <w:rFonts w:eastAsia="仿宋_GB2312"/>
          <w:b/>
          <w:bCs/>
          <w:sz w:val="32"/>
          <w:szCs w:val="32"/>
        </w:rPr>
        <w:t>“</w:t>
      </w:r>
      <w:r w:rsidRPr="00B41C0D">
        <w:rPr>
          <w:rFonts w:eastAsia="仿宋_GB2312"/>
          <w:b/>
          <w:bCs/>
          <w:sz w:val="32"/>
          <w:szCs w:val="32"/>
        </w:rPr>
        <w:t>城市智慧大脑</w:t>
      </w:r>
      <w:r w:rsidRPr="00B41C0D">
        <w:rPr>
          <w:rFonts w:eastAsia="仿宋_GB2312"/>
          <w:b/>
          <w:bCs/>
          <w:sz w:val="32"/>
          <w:szCs w:val="32"/>
        </w:rPr>
        <w:t>”</w:t>
      </w:r>
      <w:r w:rsidRPr="00B41C0D">
        <w:rPr>
          <w:rFonts w:eastAsia="仿宋_GB2312"/>
          <w:b/>
          <w:bCs/>
          <w:sz w:val="32"/>
          <w:szCs w:val="32"/>
        </w:rPr>
        <w:t>为抓手数据整合</w:t>
      </w:r>
      <w:r w:rsidRPr="00B41C0D">
        <w:rPr>
          <w:rFonts w:eastAsia="仿宋_GB2312"/>
          <w:sz w:val="32"/>
          <w:szCs w:val="32"/>
          <w:lang w:eastAsia="zh"/>
        </w:rPr>
        <w:t>。</w:t>
      </w:r>
      <w:r w:rsidRPr="00B41C0D">
        <w:rPr>
          <w:rFonts w:eastAsia="仿宋_GB2312"/>
          <w:spacing w:val="-6"/>
          <w:sz w:val="32"/>
          <w:szCs w:val="32"/>
          <w:lang w:bidi="ar"/>
        </w:rPr>
        <w:t>持续提升数据汇聚共享、开放及治理水平，推动区级目录体系建立，完善市、区、街三级目录管理体系，形成数据</w:t>
      </w:r>
      <w:proofErr w:type="gramStart"/>
      <w:r w:rsidRPr="00B41C0D">
        <w:rPr>
          <w:rFonts w:eastAsia="仿宋_GB2312"/>
          <w:spacing w:val="-6"/>
          <w:sz w:val="32"/>
          <w:szCs w:val="32"/>
          <w:lang w:bidi="ar"/>
        </w:rPr>
        <w:t>基础台</w:t>
      </w:r>
      <w:proofErr w:type="gramEnd"/>
      <w:r w:rsidRPr="00B41C0D">
        <w:rPr>
          <w:rFonts w:eastAsia="仿宋_GB2312"/>
          <w:spacing w:val="-6"/>
          <w:sz w:val="32"/>
          <w:szCs w:val="32"/>
          <w:lang w:bidi="ar"/>
        </w:rPr>
        <w:t>账，实现数据贯通。制定</w:t>
      </w:r>
      <w:r w:rsidRPr="00B41C0D">
        <w:rPr>
          <w:rFonts w:eastAsia="仿宋_GB2312"/>
          <w:spacing w:val="-6"/>
          <w:sz w:val="32"/>
          <w:szCs w:val="32"/>
          <w:lang w:bidi="ar"/>
        </w:rPr>
        <w:t>“</w:t>
      </w:r>
      <w:r w:rsidRPr="00B41C0D">
        <w:rPr>
          <w:rFonts w:eastAsia="仿宋_GB2312"/>
          <w:spacing w:val="-6"/>
          <w:sz w:val="32"/>
          <w:szCs w:val="32"/>
          <w:lang w:bidi="ar"/>
        </w:rPr>
        <w:t>上云、用数、共享、开放</w:t>
      </w:r>
      <w:r w:rsidRPr="00B41C0D">
        <w:rPr>
          <w:rFonts w:eastAsia="仿宋_GB2312"/>
          <w:spacing w:val="-6"/>
          <w:sz w:val="32"/>
          <w:szCs w:val="32"/>
          <w:lang w:bidi="ar"/>
        </w:rPr>
        <w:t>”</w:t>
      </w:r>
      <w:r w:rsidRPr="00B41C0D">
        <w:rPr>
          <w:rFonts w:eastAsia="仿宋_GB2312"/>
          <w:spacing w:val="-6"/>
          <w:sz w:val="32"/>
          <w:szCs w:val="32"/>
          <w:lang w:bidi="ar"/>
        </w:rPr>
        <w:t>相关标准规范和管理办法，建立</w:t>
      </w:r>
      <w:r w:rsidRPr="00B41C0D">
        <w:rPr>
          <w:rFonts w:eastAsia="仿宋_GB2312"/>
          <w:spacing w:val="-6"/>
          <w:sz w:val="32"/>
          <w:szCs w:val="32"/>
          <w:lang w:bidi="ar"/>
        </w:rPr>
        <w:t>“</w:t>
      </w:r>
      <w:r w:rsidRPr="00B41C0D">
        <w:rPr>
          <w:rFonts w:eastAsia="仿宋_GB2312"/>
          <w:spacing w:val="-6"/>
          <w:sz w:val="32"/>
          <w:szCs w:val="32"/>
          <w:lang w:bidi="ar"/>
        </w:rPr>
        <w:t>一数一源</w:t>
      </w:r>
      <w:proofErr w:type="gramStart"/>
      <w:r w:rsidRPr="00B41C0D">
        <w:rPr>
          <w:rFonts w:eastAsia="仿宋_GB2312"/>
          <w:spacing w:val="-6"/>
          <w:sz w:val="32"/>
          <w:szCs w:val="32"/>
          <w:lang w:bidi="ar"/>
        </w:rPr>
        <w:t>一</w:t>
      </w:r>
      <w:proofErr w:type="gramEnd"/>
      <w:r w:rsidRPr="00B41C0D">
        <w:rPr>
          <w:rFonts w:eastAsia="仿宋_GB2312"/>
          <w:spacing w:val="-6"/>
          <w:sz w:val="32"/>
          <w:szCs w:val="32"/>
          <w:lang w:bidi="ar"/>
        </w:rPr>
        <w:t>标准</w:t>
      </w:r>
      <w:r w:rsidRPr="00B41C0D">
        <w:rPr>
          <w:rFonts w:eastAsia="仿宋_GB2312"/>
          <w:spacing w:val="-6"/>
          <w:sz w:val="32"/>
          <w:szCs w:val="32"/>
          <w:lang w:bidi="ar"/>
        </w:rPr>
        <w:t>”</w:t>
      </w:r>
      <w:r w:rsidRPr="00B41C0D">
        <w:rPr>
          <w:rFonts w:eastAsia="仿宋_GB2312"/>
          <w:spacing w:val="-6"/>
          <w:sz w:val="32"/>
          <w:szCs w:val="32"/>
          <w:lang w:bidi="ar"/>
        </w:rPr>
        <w:t>管理机制。</w:t>
      </w:r>
      <w:r w:rsidRPr="00B41C0D">
        <w:rPr>
          <w:rFonts w:eastAsia="仿宋_GB2312"/>
          <w:b/>
          <w:bCs/>
          <w:spacing w:val="-6"/>
          <w:sz w:val="32"/>
          <w:szCs w:val="32"/>
          <w:lang w:bidi="ar"/>
        </w:rPr>
        <w:t>三是</w:t>
      </w:r>
      <w:r>
        <w:rPr>
          <w:rFonts w:eastAsia="仿宋_GB2312"/>
          <w:b/>
          <w:bCs/>
          <w:spacing w:val="-6"/>
          <w:sz w:val="32"/>
          <w:szCs w:val="32"/>
          <w:lang w:bidi="ar"/>
        </w:rPr>
        <w:t>优化管理保障数字领域安全稳定</w:t>
      </w:r>
      <w:r>
        <w:rPr>
          <w:rFonts w:eastAsia="仿宋_GB2312"/>
          <w:b/>
          <w:bCs/>
          <w:sz w:val="32"/>
          <w:szCs w:val="32"/>
          <w:lang w:eastAsia="zh"/>
        </w:rPr>
        <w:t>。</w:t>
      </w:r>
      <w:r>
        <w:rPr>
          <w:rFonts w:eastAsia="仿宋_GB2312"/>
          <w:sz w:val="32"/>
          <w:szCs w:val="32"/>
          <w:lang w:eastAsia="zh"/>
        </w:rPr>
        <w:t>通过应用数据空间、隐私计算、区块链、数据脱敏、数据沙箱等技术，为数据共享开放、政企合作、流通交易等环节提供安全保障。</w:t>
      </w:r>
      <w:r>
        <w:rPr>
          <w:rFonts w:eastAsia="仿宋_GB2312"/>
          <w:spacing w:val="-6"/>
          <w:sz w:val="32"/>
          <w:szCs w:val="32"/>
          <w:lang w:bidi="ar"/>
        </w:rPr>
        <w:t>完善政务网络安全保障体系建设，掌握</w:t>
      </w:r>
      <w:proofErr w:type="gramStart"/>
      <w:r>
        <w:rPr>
          <w:rFonts w:eastAsia="仿宋_GB2312"/>
          <w:spacing w:val="-6"/>
          <w:sz w:val="32"/>
          <w:szCs w:val="32"/>
          <w:lang w:bidi="ar"/>
        </w:rPr>
        <w:t>全区新型</w:t>
      </w:r>
      <w:proofErr w:type="gramEnd"/>
      <w:r>
        <w:rPr>
          <w:rFonts w:eastAsia="仿宋_GB2312"/>
          <w:spacing w:val="-6"/>
          <w:sz w:val="32"/>
          <w:szCs w:val="32"/>
          <w:lang w:bidi="ar"/>
        </w:rPr>
        <w:t>数字资产状况，实时感知全网安全态势。推进全区政务</w:t>
      </w:r>
      <w:proofErr w:type="gramStart"/>
      <w:r>
        <w:rPr>
          <w:rFonts w:eastAsia="仿宋_GB2312"/>
          <w:spacing w:val="-6"/>
          <w:sz w:val="32"/>
          <w:szCs w:val="32"/>
          <w:lang w:bidi="ar"/>
        </w:rPr>
        <w:t>信息系统信创改造</w:t>
      </w:r>
      <w:proofErr w:type="gramEnd"/>
      <w:r>
        <w:rPr>
          <w:rFonts w:eastAsia="仿宋_GB2312"/>
          <w:spacing w:val="-6"/>
          <w:sz w:val="32"/>
          <w:szCs w:val="32"/>
          <w:lang w:bidi="ar"/>
        </w:rPr>
        <w:t>、密码改造工作，构建以国产密码技术为核心的安全体系，为业务系统提供更加完善的安全环境。</w:t>
      </w:r>
    </w:p>
    <w:p w14:paraId="6E94795B" w14:textId="77777777" w:rsidR="0029558E" w:rsidRDefault="0029558E" w:rsidP="0029558E">
      <w:pPr>
        <w:pStyle w:val="2"/>
        <w:spacing w:line="560" w:lineRule="exact"/>
        <w:rPr>
          <w:b/>
          <w:bCs/>
          <w:sz w:val="32"/>
        </w:rPr>
      </w:pPr>
      <w:r>
        <w:rPr>
          <w:b/>
          <w:bCs/>
          <w:sz w:val="32"/>
          <w:szCs w:val="22"/>
        </w:rPr>
        <w:lastRenderedPageBreak/>
        <w:t>（三）聚焦数字社会，不断加大数字化渗透强度</w:t>
      </w:r>
    </w:p>
    <w:p w14:paraId="51009689" w14:textId="5FE98F6D" w:rsidR="0029558E" w:rsidRDefault="0029558E" w:rsidP="0029558E">
      <w:pPr>
        <w:spacing w:line="560" w:lineRule="exact"/>
        <w:ind w:firstLineChars="200" w:firstLine="643"/>
        <w:outlineLvl w:val="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b/>
          <w:bCs/>
          <w:sz w:val="32"/>
          <w:szCs w:val="32"/>
        </w:rPr>
        <w:t>一是持续提升</w:t>
      </w:r>
      <w:r>
        <w:rPr>
          <w:rFonts w:eastAsia="仿宋_GB2312"/>
          <w:b/>
          <w:bCs/>
          <w:sz w:val="32"/>
          <w:szCs w:val="32"/>
          <w:lang w:eastAsia="zh"/>
        </w:rPr>
        <w:t>数据基础设施支撑水平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  <w:lang w:eastAsia="zh"/>
        </w:rPr>
        <w:t>在网络设施、算力设施、数据流通设施、数据安全设施等方面全面布局提升。</w:t>
      </w:r>
      <w:r>
        <w:rPr>
          <w:rFonts w:eastAsia="仿宋_GB2312"/>
          <w:b/>
          <w:bCs/>
          <w:spacing w:val="-6"/>
          <w:sz w:val="32"/>
          <w:szCs w:val="32"/>
          <w:lang w:bidi="ar"/>
        </w:rPr>
        <w:t>二是持续挖掘数据要素应用场景。</w:t>
      </w:r>
      <w:r>
        <w:rPr>
          <w:rFonts w:eastAsia="仿宋_GB2312"/>
          <w:spacing w:val="-6"/>
          <w:sz w:val="32"/>
          <w:szCs w:val="32"/>
          <w:lang w:bidi="ar"/>
        </w:rPr>
        <w:t>聚焦数字社会痛点、难点问题，持续挖掘应用场景建设需求，探索基层治理智慧化应用，</w:t>
      </w:r>
      <w:r>
        <w:rPr>
          <w:rFonts w:eastAsia="仿宋_GB2312"/>
          <w:kern w:val="0"/>
          <w:sz w:val="32"/>
          <w:szCs w:val="32"/>
          <w:lang w:bidi="ar"/>
        </w:rPr>
        <w:t>引导市场主体以应用场景为导向，按照用途用量发掘数据价值。</w:t>
      </w:r>
      <w:r>
        <w:rPr>
          <w:rFonts w:eastAsia="仿宋_GB2312"/>
          <w:b/>
          <w:bCs/>
          <w:kern w:val="0"/>
          <w:sz w:val="32"/>
          <w:szCs w:val="32"/>
          <w:lang w:bidi="ar"/>
        </w:rPr>
        <w:t>三是持续强化数据要素赋能民生幸福。</w:t>
      </w:r>
      <w:r>
        <w:rPr>
          <w:rFonts w:eastAsia="仿宋_GB2312"/>
          <w:kern w:val="0"/>
          <w:sz w:val="32"/>
          <w:szCs w:val="32"/>
          <w:lang w:bidi="ar"/>
        </w:rPr>
        <w:t>融合深化数据要素创新应用，在智慧城市、数字医疗、元宇宙、智慧文旅、金融服务、智能制造、智慧商业、智慧交通、数字内容等领域打造数据示范应用场景，形成数据要素利用的示范性成果，把更多场景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拿出来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、让更多主体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动起来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、让更多数据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活起来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，促进优质数据资源共享利用，增强群众数字体验，提升群众的获得感、幸福感、安全感。</w:t>
      </w:r>
    </w:p>
    <w:p w14:paraId="1E9BF6FD" w14:textId="77777777" w:rsidR="0029558E" w:rsidRDefault="0029558E" w:rsidP="0029558E"/>
    <w:p w14:paraId="6B924C0A" w14:textId="3E9FF8B3" w:rsidR="003E0630" w:rsidRPr="0029558E" w:rsidRDefault="003E0630" w:rsidP="0029558E">
      <w:pPr>
        <w:pStyle w:val="2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70FF6BB" w14:textId="77777777" w:rsidR="003E0630" w:rsidRDefault="003E0630"/>
    <w:sectPr w:rsidR="003E063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AFEA" w14:textId="77777777" w:rsidR="00955FB6" w:rsidRDefault="00955FB6">
      <w:r>
        <w:separator/>
      </w:r>
    </w:p>
  </w:endnote>
  <w:endnote w:type="continuationSeparator" w:id="0">
    <w:p w14:paraId="31032502" w14:textId="77777777" w:rsidR="00955FB6" w:rsidRDefault="0095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98D1" w14:textId="77777777" w:rsidR="003E0630" w:rsidRDefault="003E0630">
    <w:pPr>
      <w:pStyle w:val="a5"/>
      <w:jc w:val="right"/>
      <w:rPr>
        <w:rFonts w:ascii="宋体" w:hAnsi="宋体"/>
        <w:sz w:val="28"/>
        <w:szCs w:val="28"/>
      </w:rPr>
    </w:pPr>
  </w:p>
  <w:p w14:paraId="59AD0267" w14:textId="77777777" w:rsidR="003E0630" w:rsidRDefault="003E0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B975" w14:textId="77777777" w:rsidR="00955FB6" w:rsidRDefault="00955FB6">
      <w:r>
        <w:separator/>
      </w:r>
    </w:p>
  </w:footnote>
  <w:footnote w:type="continuationSeparator" w:id="0">
    <w:p w14:paraId="42352E60" w14:textId="77777777" w:rsidR="00955FB6" w:rsidRDefault="0095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607D" w14:textId="77777777" w:rsidR="003E0630" w:rsidRDefault="003E0630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090CF5"/>
    <w:rsid w:val="00137D55"/>
    <w:rsid w:val="00156EC4"/>
    <w:rsid w:val="00197E96"/>
    <w:rsid w:val="001C7834"/>
    <w:rsid w:val="001E44E7"/>
    <w:rsid w:val="00240EFC"/>
    <w:rsid w:val="0029558E"/>
    <w:rsid w:val="00296217"/>
    <w:rsid w:val="003425DA"/>
    <w:rsid w:val="003577A2"/>
    <w:rsid w:val="00381A58"/>
    <w:rsid w:val="00387B3B"/>
    <w:rsid w:val="003E0630"/>
    <w:rsid w:val="003F5311"/>
    <w:rsid w:val="00463710"/>
    <w:rsid w:val="004A33BA"/>
    <w:rsid w:val="004C6CEB"/>
    <w:rsid w:val="0057202C"/>
    <w:rsid w:val="0059335E"/>
    <w:rsid w:val="005A22E7"/>
    <w:rsid w:val="005B2B2A"/>
    <w:rsid w:val="005B700B"/>
    <w:rsid w:val="005E3946"/>
    <w:rsid w:val="00657FD1"/>
    <w:rsid w:val="006C36AC"/>
    <w:rsid w:val="006D57AE"/>
    <w:rsid w:val="00711D8E"/>
    <w:rsid w:val="0075144B"/>
    <w:rsid w:val="007B5F15"/>
    <w:rsid w:val="0086403E"/>
    <w:rsid w:val="00907593"/>
    <w:rsid w:val="00916E87"/>
    <w:rsid w:val="00955FB6"/>
    <w:rsid w:val="00976E65"/>
    <w:rsid w:val="00983077"/>
    <w:rsid w:val="00A646E1"/>
    <w:rsid w:val="00AF681E"/>
    <w:rsid w:val="00B03B70"/>
    <w:rsid w:val="00B318EB"/>
    <w:rsid w:val="00B41C0D"/>
    <w:rsid w:val="00BE1D1C"/>
    <w:rsid w:val="00C07188"/>
    <w:rsid w:val="00C27EF1"/>
    <w:rsid w:val="00C46876"/>
    <w:rsid w:val="00CF07EE"/>
    <w:rsid w:val="00D52A53"/>
    <w:rsid w:val="00D96A32"/>
    <w:rsid w:val="00DA4E75"/>
    <w:rsid w:val="00E45EBE"/>
    <w:rsid w:val="00E617B2"/>
    <w:rsid w:val="00ED1BA5"/>
    <w:rsid w:val="00EF640B"/>
    <w:rsid w:val="00F30D27"/>
    <w:rsid w:val="00F42C33"/>
    <w:rsid w:val="00FB2FFE"/>
    <w:rsid w:val="00FF0D9C"/>
    <w:rsid w:val="0A896FBE"/>
    <w:rsid w:val="0AF62277"/>
    <w:rsid w:val="103E4066"/>
    <w:rsid w:val="122A64EE"/>
    <w:rsid w:val="1A3A7BAD"/>
    <w:rsid w:val="1CFA34F8"/>
    <w:rsid w:val="21D95D87"/>
    <w:rsid w:val="22145011"/>
    <w:rsid w:val="255D778F"/>
    <w:rsid w:val="26C7130E"/>
    <w:rsid w:val="2F000DF7"/>
    <w:rsid w:val="2F321339"/>
    <w:rsid w:val="310C2723"/>
    <w:rsid w:val="314B20D2"/>
    <w:rsid w:val="385201EA"/>
    <w:rsid w:val="3DFA317F"/>
    <w:rsid w:val="3F634A8A"/>
    <w:rsid w:val="450752A4"/>
    <w:rsid w:val="52D44478"/>
    <w:rsid w:val="568D0398"/>
    <w:rsid w:val="5B1D39DF"/>
    <w:rsid w:val="5E423AFE"/>
    <w:rsid w:val="67AC2577"/>
    <w:rsid w:val="68064081"/>
    <w:rsid w:val="69C91FDD"/>
    <w:rsid w:val="6AE0505D"/>
    <w:rsid w:val="6D1A6697"/>
    <w:rsid w:val="7F9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5CD61"/>
  <w15:docId w15:val="{F8F1D3BB-E86E-4FFA-A855-B1930471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line="600" w:lineRule="exact"/>
      <w:ind w:firstLine="640"/>
      <w:outlineLvl w:val="0"/>
    </w:pPr>
    <w:rPr>
      <w:rFonts w:ascii="黑体" w:eastAsia="黑体" w:hAnsi="黑体" w:cs="宋体"/>
      <w:color w:val="000000"/>
      <w:kern w:val="0"/>
    </w:rPr>
  </w:style>
  <w:style w:type="paragraph" w:styleId="2">
    <w:name w:val="heading 2"/>
    <w:basedOn w:val="a"/>
    <w:next w:val="a"/>
    <w:unhideWhenUsed/>
    <w:qFormat/>
    <w:pPr>
      <w:ind w:firstLine="640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4"/>
    <w:qFormat/>
    <w:pPr>
      <w:ind w:firstLineChars="100" w:firstLine="420"/>
    </w:p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Y-">
    <w:name w:val="CHY-正文"/>
    <w:uiPriority w:val="3"/>
    <w:qFormat/>
    <w:pPr>
      <w:ind w:firstLineChars="200" w:firstLine="632"/>
    </w:pPr>
    <w:rPr>
      <w:rFonts w:ascii="仿宋_GB2312" w:eastAsia="仿宋_GB2312" w:hAnsi="宋体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816</Words>
  <Characters>4652</Characters>
  <Application>Microsoft Office Word</Application>
  <DocSecurity>0</DocSecurity>
  <Lines>38</Lines>
  <Paragraphs>10</Paragraphs>
  <ScaleCrop>false</ScaleCrop>
  <Company>Organization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43</cp:revision>
  <cp:lastPrinted>2025-01-16T06:24:00Z</cp:lastPrinted>
  <dcterms:created xsi:type="dcterms:W3CDTF">2024-01-18T03:00:00Z</dcterms:created>
  <dcterms:modified xsi:type="dcterms:W3CDTF">2025-09-03T03:17:00Z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eyJoZGlkIjoiMTQwN2ZjODZlYWNkMWM4YTY3OTc1Y2VmMzE0MDRjNzIiLCJ1c2VySWQiOiIxNTEwOTQwMDQ1In0=</vt:lpwstr>
  </property>
  <property fmtid="{D5CDD505-2E9C-101B-9397-08002B2CF9AE}" pid="4" name="ICV">
    <vt:lpwstr>51DAAF28905746FCB77F9C241683539C_12</vt:lpwstr>
  </property>
</Properties>
</file>