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0" w:firstLineChars="0"/>
        <w:jc w:val="center"/>
        <w:rPr>
          <w:rFonts w:cs="宋体"/>
          <w:b/>
          <w:iCs w:val="0"/>
          <w:spacing w:val="15"/>
          <w:kern w:val="0"/>
          <w:sz w:val="44"/>
          <w:szCs w:val="24"/>
        </w:rPr>
      </w:pPr>
      <w:r>
        <w:rPr>
          <w:rFonts w:hint="eastAsia" w:cs="宋体"/>
          <w:b/>
          <w:iCs w:val="0"/>
          <w:kern w:val="0"/>
          <w:sz w:val="44"/>
          <w:szCs w:val="24"/>
        </w:rPr>
        <w:t>20</w:t>
      </w:r>
      <w:r>
        <w:rPr>
          <w:rFonts w:cs="宋体"/>
          <w:b/>
          <w:iCs w:val="0"/>
          <w:kern w:val="0"/>
          <w:sz w:val="44"/>
          <w:szCs w:val="24"/>
        </w:rPr>
        <w:t>2</w:t>
      </w:r>
      <w:r>
        <w:rPr>
          <w:rFonts w:hint="eastAsia" w:cs="宋体"/>
          <w:b/>
          <w:iCs w:val="0"/>
          <w:kern w:val="0"/>
          <w:sz w:val="44"/>
          <w:szCs w:val="24"/>
        </w:rPr>
        <w:t>5年1-2月朝阳区</w:t>
      </w:r>
      <w:r>
        <w:rPr>
          <w:rFonts w:cs="宋体"/>
          <w:b/>
          <w:iCs w:val="0"/>
          <w:kern w:val="0"/>
          <w:sz w:val="44"/>
          <w:szCs w:val="24"/>
        </w:rPr>
        <w:t>社会消费品零售</w:t>
      </w:r>
      <w:r>
        <w:rPr>
          <w:rFonts w:hint="eastAsia" w:cs="宋体"/>
          <w:b/>
          <w:iCs w:val="0"/>
          <w:kern w:val="0"/>
          <w:sz w:val="44"/>
          <w:szCs w:val="24"/>
        </w:rPr>
        <w:t>总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额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同比下降2.5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%</w:t>
      </w:r>
    </w:p>
    <w:p>
      <w:pPr>
        <w:widowControl/>
        <w:spacing w:line="300" w:lineRule="atLeast"/>
        <w:ind w:firstLine="0" w:firstLineChars="0"/>
        <w:jc w:val="center"/>
        <w:rPr>
          <w:rFonts w:cs="宋体"/>
          <w:bCs w:val="0"/>
          <w:iCs w:val="0"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ind w:firstLine="560"/>
        <w:jc w:val="left"/>
        <w:rPr>
          <w:rFonts w:cs="宋体"/>
          <w:bCs w:val="0"/>
          <w:iCs w:val="0"/>
          <w:color w:val="000000"/>
          <w:kern w:val="0"/>
          <w:szCs w:val="21"/>
        </w:rPr>
      </w:pPr>
      <w:r>
        <w:rPr>
          <w:rFonts w:hint="eastAsia" w:cs="宋体"/>
          <w:bCs w:val="0"/>
          <w:iCs w:val="0"/>
          <w:color w:val="000000"/>
          <w:kern w:val="0"/>
          <w:szCs w:val="21"/>
        </w:rPr>
        <w:t>20</w:t>
      </w:r>
      <w:r>
        <w:rPr>
          <w:rFonts w:cs="宋体"/>
          <w:bCs w:val="0"/>
          <w:iCs w:val="0"/>
          <w:color w:val="000000"/>
          <w:kern w:val="0"/>
          <w:szCs w:val="21"/>
        </w:rPr>
        <w:t>2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5年1-2月</w:t>
      </w:r>
      <w:r>
        <w:rPr>
          <w:rFonts w:cs="宋体"/>
          <w:bCs w:val="0"/>
          <w:iCs w:val="0"/>
          <w:color w:val="000000"/>
          <w:kern w:val="0"/>
          <w:szCs w:val="21"/>
        </w:rPr>
        <w:t>，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朝阳区</w:t>
      </w:r>
      <w:r>
        <w:rPr>
          <w:rFonts w:cs="宋体"/>
          <w:bCs w:val="0"/>
          <w:iCs w:val="0"/>
          <w:color w:val="000000"/>
          <w:kern w:val="0"/>
          <w:szCs w:val="21"/>
        </w:rPr>
        <w:t>实现社会消费品零售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总</w:t>
      </w:r>
      <w:r>
        <w:rPr>
          <w:rFonts w:cs="宋体"/>
          <w:bCs w:val="0"/>
          <w:iCs w:val="0"/>
          <w:color w:val="000000"/>
          <w:kern w:val="0"/>
          <w:szCs w:val="21"/>
        </w:rPr>
        <w:t>额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455.5</w:t>
      </w:r>
      <w:r>
        <w:rPr>
          <w:rFonts w:cs="宋体"/>
          <w:bCs w:val="0"/>
          <w:iCs w:val="0"/>
          <w:color w:val="000000"/>
          <w:kern w:val="0"/>
          <w:szCs w:val="21"/>
        </w:rPr>
        <w:t>亿元，同比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下降2.5</w:t>
      </w:r>
      <w:r>
        <w:rPr>
          <w:rFonts w:cs="宋体"/>
          <w:bCs w:val="0"/>
          <w:iCs w:val="0"/>
          <w:color w:val="000000"/>
          <w:kern w:val="0"/>
          <w:szCs w:val="21"/>
        </w:rPr>
        <w:t>%。</w:t>
      </w:r>
    </w:p>
    <w:p>
      <w:pPr>
        <w:widowControl/>
        <w:spacing w:line="300" w:lineRule="atLeast"/>
        <w:ind w:firstLine="560"/>
        <w:jc w:val="left"/>
        <w:rPr>
          <w:rFonts w:cs="宋体"/>
          <w:bCs w:val="0"/>
          <w:iCs w:val="0"/>
          <w:color w:val="000000"/>
          <w:kern w:val="0"/>
          <w:szCs w:val="21"/>
        </w:rPr>
      </w:pPr>
      <w:r>
        <w:rPr>
          <w:rFonts w:cs="宋体"/>
          <w:bCs w:val="0"/>
          <w:iCs w:val="0"/>
          <w:color w:val="000000"/>
          <w:kern w:val="0"/>
          <w:szCs w:val="21"/>
        </w:rPr>
        <w:t>按消费形态分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，商品零售392.6亿元，</w:t>
      </w:r>
      <w:r>
        <w:rPr>
          <w:rFonts w:hint="eastAsia" w:cs="宋体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下降1.9%；餐饮收入62.9亿元，</w:t>
      </w:r>
      <w:r>
        <w:rPr>
          <w:rFonts w:hint="eastAsia" w:cs="宋体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下降6.1%。</w:t>
      </w:r>
    </w:p>
    <w:p>
      <w:pPr>
        <w:pStyle w:val="14"/>
        <w:widowControl/>
        <w:spacing w:line="300" w:lineRule="atLeast"/>
        <w:ind w:firstLineChars="0"/>
        <w:jc w:val="center"/>
        <w:rPr>
          <w:rFonts w:hint="eastAsia" w:cs="宋体"/>
          <w:b/>
          <w:iCs w:val="0"/>
          <w:color w:val="000000"/>
          <w:kern w:val="0"/>
          <w:lang w:eastAsia="zh-CN"/>
        </w:rPr>
      </w:pPr>
      <w:r>
        <w:rPr>
          <w:rFonts w:hint="eastAsia" w:cs="宋体"/>
          <w:b/>
          <w:iCs w:val="0"/>
          <w:color w:val="000000"/>
          <w:kern w:val="0"/>
        </w:rPr>
        <w:t>表　2025年1-2月朝阳区社会消费品零售总额</w:t>
      </w:r>
      <w:r>
        <w:rPr>
          <w:rFonts w:hint="eastAsia" w:cs="宋体"/>
          <w:b/>
          <w:iCs w:val="0"/>
          <w:color w:val="000000"/>
          <w:kern w:val="0"/>
          <w:lang w:eastAsia="zh-CN"/>
        </w:rPr>
        <w:t>情况</w:t>
      </w:r>
    </w:p>
    <w:p>
      <w:pPr>
        <w:spacing w:line="400" w:lineRule="exact"/>
        <w:jc w:val="right"/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</w:pPr>
      <w:r>
        <w:rPr>
          <w:rFonts w:hint="eastAsia" w:hAnsi="宋体"/>
          <w:bCs/>
          <w:sz w:val="24"/>
          <w:szCs w:val="24"/>
          <w:highlight w:val="none"/>
        </w:rPr>
        <w:t>单位：亿元  %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3"/>
        <w:gridCol w:w="2168"/>
        <w:gridCol w:w="20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343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1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累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20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43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社会消费品零售总额</w:t>
            </w:r>
          </w:p>
        </w:tc>
        <w:tc>
          <w:tcPr>
            <w:tcW w:w="2168" w:type="dxa"/>
            <w:vAlign w:val="center"/>
          </w:tcPr>
          <w:p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455.5</w:t>
            </w:r>
          </w:p>
        </w:tc>
        <w:tc>
          <w:tcPr>
            <w:tcW w:w="2011" w:type="dxa"/>
            <w:vAlign w:val="center"/>
          </w:tcPr>
          <w:p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43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按消费形态分：</w:t>
            </w:r>
          </w:p>
        </w:tc>
        <w:tc>
          <w:tcPr>
            <w:tcW w:w="2168" w:type="dxa"/>
            <w:vAlign w:val="center"/>
          </w:tcPr>
          <w:p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43" w:type="dxa"/>
            <w:vAlign w:val="center"/>
          </w:tcPr>
          <w:p>
            <w:pPr>
              <w:spacing w:line="24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商品零售</w:t>
            </w:r>
          </w:p>
        </w:tc>
        <w:tc>
          <w:tcPr>
            <w:tcW w:w="2168" w:type="dxa"/>
            <w:vAlign w:val="center"/>
          </w:tcPr>
          <w:p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392.6</w:t>
            </w:r>
          </w:p>
        </w:tc>
        <w:tc>
          <w:tcPr>
            <w:tcW w:w="2011" w:type="dxa"/>
            <w:vAlign w:val="center"/>
          </w:tcPr>
          <w:p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43" w:type="dxa"/>
            <w:vAlign w:val="center"/>
          </w:tcPr>
          <w:p>
            <w:pPr>
              <w:spacing w:line="24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餐饮收入</w:t>
            </w:r>
          </w:p>
        </w:tc>
        <w:tc>
          <w:tcPr>
            <w:tcW w:w="2168" w:type="dxa"/>
            <w:vAlign w:val="center"/>
          </w:tcPr>
          <w:p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62.9</w:t>
            </w:r>
          </w:p>
        </w:tc>
        <w:tc>
          <w:tcPr>
            <w:tcW w:w="2011" w:type="dxa"/>
            <w:vAlign w:val="center"/>
          </w:tcPr>
          <w:p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-6.1</w:t>
            </w:r>
          </w:p>
        </w:tc>
      </w:tr>
    </w:tbl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</w:p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附注：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修订说明</w:t>
      </w:r>
      <w:bookmarkStart w:id="0" w:name="_GoBack"/>
      <w:bookmarkEnd w:id="0"/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 xml:space="preserve">国家统计局根据第五次全国经济普查结果对全国及各省市2024年社会消费品零售总额进行了修订，2025年月度增速按照可比口径计算。 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统计范围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朝阳区地域内从事商品零售活动或提供餐饮服务的法人企业、产业活动单位和个体经营户。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采集渠道</w:t>
      </w:r>
    </w:p>
    <w:p>
      <w:pPr>
        <w:widowControl/>
        <w:spacing w:line="240" w:lineRule="auto"/>
        <w:ind w:firstLine="560"/>
        <w:jc w:val="left"/>
        <w:rPr>
          <w:rFonts w:hint="eastAsia"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按照《批发和零售业统计报表制度》《住宿和餐饮业统计报表制度》要求: ①限额以上批发和零售业、住宿和餐饮业企业（单位、个体户）通过联网直报系统上报统计数据；②限额以下批发和零售业、住宿和餐饮业企业（单位、个体户）通过抽样调查获取数据，进而推算总体。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限额以上标准：①批发业：年主营业务收入2000万元及以上；②零售业：年主营业务收入500万元及以上；③住宿业：年主营业务收入200万元及以上；④餐饮业：年主营业务收入200万元及以上。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主要统计指标解释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社会消费品零售总额：指企业（单位、个体户）通过交易售给个人、社会集团非生产、非经营用的实物商品金额，以及提供餐饮服务所取得的收入金额。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5640350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483"/>
    <w:multiLevelType w:val="singleLevel"/>
    <w:tmpl w:val="67DA648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5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D63"/>
    <w:rsid w:val="0000095A"/>
    <w:rsid w:val="00026542"/>
    <w:rsid w:val="0003674A"/>
    <w:rsid w:val="0005137F"/>
    <w:rsid w:val="0005503C"/>
    <w:rsid w:val="00062E00"/>
    <w:rsid w:val="00081150"/>
    <w:rsid w:val="000B7849"/>
    <w:rsid w:val="000C422A"/>
    <w:rsid w:val="000D2E51"/>
    <w:rsid w:val="000D734E"/>
    <w:rsid w:val="000E370B"/>
    <w:rsid w:val="000F419F"/>
    <w:rsid w:val="00100B34"/>
    <w:rsid w:val="00107A71"/>
    <w:rsid w:val="00114AB0"/>
    <w:rsid w:val="00117062"/>
    <w:rsid w:val="00122365"/>
    <w:rsid w:val="00135FCA"/>
    <w:rsid w:val="001A647C"/>
    <w:rsid w:val="001A6849"/>
    <w:rsid w:val="001C2CB8"/>
    <w:rsid w:val="001F63C1"/>
    <w:rsid w:val="00207E82"/>
    <w:rsid w:val="00224762"/>
    <w:rsid w:val="00233CAD"/>
    <w:rsid w:val="00237075"/>
    <w:rsid w:val="0024535B"/>
    <w:rsid w:val="00254E23"/>
    <w:rsid w:val="002A4F08"/>
    <w:rsid w:val="002A6772"/>
    <w:rsid w:val="002B556A"/>
    <w:rsid w:val="002F212A"/>
    <w:rsid w:val="002F6562"/>
    <w:rsid w:val="00313829"/>
    <w:rsid w:val="00394964"/>
    <w:rsid w:val="003B6A3A"/>
    <w:rsid w:val="003C02B3"/>
    <w:rsid w:val="003E7CE7"/>
    <w:rsid w:val="003F02F9"/>
    <w:rsid w:val="0041216D"/>
    <w:rsid w:val="00445A54"/>
    <w:rsid w:val="00481312"/>
    <w:rsid w:val="004A407A"/>
    <w:rsid w:val="004A56C2"/>
    <w:rsid w:val="004B009A"/>
    <w:rsid w:val="004E3A0F"/>
    <w:rsid w:val="004F4781"/>
    <w:rsid w:val="00500C33"/>
    <w:rsid w:val="00510C46"/>
    <w:rsid w:val="00526867"/>
    <w:rsid w:val="00570DF2"/>
    <w:rsid w:val="0059791C"/>
    <w:rsid w:val="005A6DD8"/>
    <w:rsid w:val="005C51C6"/>
    <w:rsid w:val="005D11D7"/>
    <w:rsid w:val="005E5F17"/>
    <w:rsid w:val="005F14B9"/>
    <w:rsid w:val="0062626C"/>
    <w:rsid w:val="00634858"/>
    <w:rsid w:val="00646C3D"/>
    <w:rsid w:val="00653350"/>
    <w:rsid w:val="0067572B"/>
    <w:rsid w:val="00682509"/>
    <w:rsid w:val="00685447"/>
    <w:rsid w:val="00686066"/>
    <w:rsid w:val="00693124"/>
    <w:rsid w:val="006B2819"/>
    <w:rsid w:val="006C5F44"/>
    <w:rsid w:val="006F520C"/>
    <w:rsid w:val="007045F5"/>
    <w:rsid w:val="00704C60"/>
    <w:rsid w:val="00710CD4"/>
    <w:rsid w:val="007162ED"/>
    <w:rsid w:val="00773B94"/>
    <w:rsid w:val="0078271A"/>
    <w:rsid w:val="007944B5"/>
    <w:rsid w:val="007E609B"/>
    <w:rsid w:val="007F16D8"/>
    <w:rsid w:val="007F250A"/>
    <w:rsid w:val="00812048"/>
    <w:rsid w:val="0081410B"/>
    <w:rsid w:val="00814927"/>
    <w:rsid w:val="00817B4C"/>
    <w:rsid w:val="008217C2"/>
    <w:rsid w:val="0083398F"/>
    <w:rsid w:val="00862431"/>
    <w:rsid w:val="008645DC"/>
    <w:rsid w:val="008651C8"/>
    <w:rsid w:val="00874FC5"/>
    <w:rsid w:val="00883355"/>
    <w:rsid w:val="00884985"/>
    <w:rsid w:val="008A3C46"/>
    <w:rsid w:val="008B1246"/>
    <w:rsid w:val="008B167D"/>
    <w:rsid w:val="008B6D2B"/>
    <w:rsid w:val="008C1CF6"/>
    <w:rsid w:val="008D3BED"/>
    <w:rsid w:val="008D638A"/>
    <w:rsid w:val="008F3710"/>
    <w:rsid w:val="00903D89"/>
    <w:rsid w:val="00923B31"/>
    <w:rsid w:val="009273FC"/>
    <w:rsid w:val="0093105E"/>
    <w:rsid w:val="009414C7"/>
    <w:rsid w:val="00941622"/>
    <w:rsid w:val="0095044F"/>
    <w:rsid w:val="009704CA"/>
    <w:rsid w:val="009727FB"/>
    <w:rsid w:val="009826E3"/>
    <w:rsid w:val="00992C23"/>
    <w:rsid w:val="00A0287E"/>
    <w:rsid w:val="00A05A62"/>
    <w:rsid w:val="00A17238"/>
    <w:rsid w:val="00A22967"/>
    <w:rsid w:val="00A2341B"/>
    <w:rsid w:val="00A27D23"/>
    <w:rsid w:val="00A37B1B"/>
    <w:rsid w:val="00A60258"/>
    <w:rsid w:val="00A75F2E"/>
    <w:rsid w:val="00A76531"/>
    <w:rsid w:val="00A767E6"/>
    <w:rsid w:val="00A82ABB"/>
    <w:rsid w:val="00A82C4B"/>
    <w:rsid w:val="00A8418E"/>
    <w:rsid w:val="00A9070C"/>
    <w:rsid w:val="00AA2BB4"/>
    <w:rsid w:val="00AA6E8D"/>
    <w:rsid w:val="00AD636D"/>
    <w:rsid w:val="00AD694A"/>
    <w:rsid w:val="00AE16B7"/>
    <w:rsid w:val="00AF0CFF"/>
    <w:rsid w:val="00B32BB1"/>
    <w:rsid w:val="00B36213"/>
    <w:rsid w:val="00B63D6F"/>
    <w:rsid w:val="00B652B9"/>
    <w:rsid w:val="00B84B9D"/>
    <w:rsid w:val="00B90273"/>
    <w:rsid w:val="00BA011B"/>
    <w:rsid w:val="00BA26B2"/>
    <w:rsid w:val="00BA29BE"/>
    <w:rsid w:val="00BB023A"/>
    <w:rsid w:val="00BC395A"/>
    <w:rsid w:val="00BC7C7B"/>
    <w:rsid w:val="00BD1DE8"/>
    <w:rsid w:val="00BD2A35"/>
    <w:rsid w:val="00BE4223"/>
    <w:rsid w:val="00BF42AA"/>
    <w:rsid w:val="00C43DC9"/>
    <w:rsid w:val="00C46118"/>
    <w:rsid w:val="00C53C4D"/>
    <w:rsid w:val="00C66624"/>
    <w:rsid w:val="00C84578"/>
    <w:rsid w:val="00C9526D"/>
    <w:rsid w:val="00CC56F4"/>
    <w:rsid w:val="00CF00EF"/>
    <w:rsid w:val="00D02911"/>
    <w:rsid w:val="00D20CE6"/>
    <w:rsid w:val="00D46511"/>
    <w:rsid w:val="00D511E4"/>
    <w:rsid w:val="00D61B87"/>
    <w:rsid w:val="00D72EB7"/>
    <w:rsid w:val="00D970ED"/>
    <w:rsid w:val="00DA087D"/>
    <w:rsid w:val="00DD5C0F"/>
    <w:rsid w:val="00DD5D63"/>
    <w:rsid w:val="00DF1D98"/>
    <w:rsid w:val="00E1102C"/>
    <w:rsid w:val="00E15484"/>
    <w:rsid w:val="00E17D1E"/>
    <w:rsid w:val="00E22758"/>
    <w:rsid w:val="00E42BEC"/>
    <w:rsid w:val="00E47C68"/>
    <w:rsid w:val="00E54F49"/>
    <w:rsid w:val="00E5579D"/>
    <w:rsid w:val="00E75B2F"/>
    <w:rsid w:val="00E7646C"/>
    <w:rsid w:val="00EB1A6A"/>
    <w:rsid w:val="00EB7DEE"/>
    <w:rsid w:val="00ED6809"/>
    <w:rsid w:val="00EF03B0"/>
    <w:rsid w:val="00F0675E"/>
    <w:rsid w:val="00F266C6"/>
    <w:rsid w:val="00F34ADE"/>
    <w:rsid w:val="00F7372D"/>
    <w:rsid w:val="00FD09DB"/>
    <w:rsid w:val="00FD5CA3"/>
    <w:rsid w:val="01031B1E"/>
    <w:rsid w:val="017329C9"/>
    <w:rsid w:val="08EE4380"/>
    <w:rsid w:val="0BEE2EAF"/>
    <w:rsid w:val="0E700F99"/>
    <w:rsid w:val="10D01FFF"/>
    <w:rsid w:val="1141038C"/>
    <w:rsid w:val="14BD5016"/>
    <w:rsid w:val="16A94FA9"/>
    <w:rsid w:val="178D0A09"/>
    <w:rsid w:val="187B15AD"/>
    <w:rsid w:val="1C2F27CE"/>
    <w:rsid w:val="1F631E38"/>
    <w:rsid w:val="21DB0EE4"/>
    <w:rsid w:val="22D926B5"/>
    <w:rsid w:val="289B18DE"/>
    <w:rsid w:val="29B8755A"/>
    <w:rsid w:val="2B6B38F0"/>
    <w:rsid w:val="2CEE41BC"/>
    <w:rsid w:val="302A5605"/>
    <w:rsid w:val="30D30E5D"/>
    <w:rsid w:val="37F97CC3"/>
    <w:rsid w:val="3AEB4AE9"/>
    <w:rsid w:val="3D815243"/>
    <w:rsid w:val="415D6DD8"/>
    <w:rsid w:val="41B24674"/>
    <w:rsid w:val="41B634B6"/>
    <w:rsid w:val="43D820FF"/>
    <w:rsid w:val="45A57D2E"/>
    <w:rsid w:val="47A53D2A"/>
    <w:rsid w:val="48047C4F"/>
    <w:rsid w:val="4A750FFF"/>
    <w:rsid w:val="52BD5A47"/>
    <w:rsid w:val="52C05DBB"/>
    <w:rsid w:val="52D5704F"/>
    <w:rsid w:val="54BA4F6B"/>
    <w:rsid w:val="5874389A"/>
    <w:rsid w:val="5AB43429"/>
    <w:rsid w:val="5B7846DC"/>
    <w:rsid w:val="5BF10418"/>
    <w:rsid w:val="5C8D749D"/>
    <w:rsid w:val="63321B1D"/>
    <w:rsid w:val="63B37EC4"/>
    <w:rsid w:val="66414D12"/>
    <w:rsid w:val="67392EF0"/>
    <w:rsid w:val="67E1053B"/>
    <w:rsid w:val="69DD0B5B"/>
    <w:rsid w:val="6B2869AA"/>
    <w:rsid w:val="6FD27249"/>
    <w:rsid w:val="774211B4"/>
    <w:rsid w:val="78423286"/>
    <w:rsid w:val="7AA40352"/>
    <w:rsid w:val="7B241064"/>
    <w:rsid w:val="7F380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宋体" w:hAnsi="宋体" w:eastAsia="宋体" w:cs="Times New Roman"/>
      <w:bCs/>
      <w:iCs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bCs w:val="0"/>
      <w:iCs w:val="0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bCs/>
      <w:iCs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bCs/>
      <w:iCs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99</Words>
  <Characters>567</Characters>
  <Lines>4</Lines>
  <Paragraphs>1</Paragraphs>
  <ScaleCrop>false</ScaleCrop>
  <LinksUpToDate>false</LinksUpToDate>
  <CharactersWithSpaces>665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2016-12-16T09:02:00Z</dcterms:created>
  <dc:creator>黄伟</dc:creator>
  <cp:lastModifiedBy>刘狄菲</cp:lastModifiedBy>
  <cp:lastPrinted>2022-08-16T08:27:00Z</cp:lastPrinted>
  <dcterms:modified xsi:type="dcterms:W3CDTF">2025-03-20T05:25:37Z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