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r>
        <w:rPr>
          <w:rFonts w:hint="eastAsia" w:eastAsia="方正小标宋_GBK"/>
          <w:b/>
          <w:bCs/>
          <w:sz w:val="44"/>
          <w:szCs w:val="44"/>
        </w:rPr>
        <w:t>朝阳区“十四五”时期智慧城市建设规划</w:t>
      </w:r>
    </w:p>
    <w:p>
      <w:pPr>
        <w:spacing w:line="570" w:lineRule="exact"/>
        <w:jc w:val="center"/>
        <w:rPr>
          <w:rFonts w:eastAsia="黑体"/>
          <w:sz w:val="44"/>
          <w:szCs w:val="44"/>
        </w:rPr>
      </w:pPr>
    </w:p>
    <w:p>
      <w:pPr>
        <w:spacing w:line="570" w:lineRule="exact"/>
        <w:jc w:val="center"/>
        <w:rPr>
          <w:rFonts w:eastAsia="黑体"/>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both"/>
        <w:rPr>
          <w:rFonts w:eastAsia="方正小标宋_GBK"/>
          <w:b/>
          <w:bCs/>
          <w:sz w:val="44"/>
          <w:szCs w:val="44"/>
        </w:rPr>
      </w:pPr>
    </w:p>
    <w:p>
      <w:pPr>
        <w:spacing w:line="570" w:lineRule="exact"/>
        <w:jc w:val="center"/>
        <w:rPr>
          <w:rFonts w:hint="eastAsia" w:eastAsia="黑体"/>
          <w:sz w:val="36"/>
          <w:szCs w:val="36"/>
          <w:lang w:eastAsia="zh-CN"/>
        </w:rPr>
      </w:pPr>
      <w:r>
        <w:rPr>
          <w:rFonts w:hint="eastAsia" w:eastAsia="黑体"/>
          <w:sz w:val="36"/>
          <w:szCs w:val="36"/>
          <w:lang w:eastAsia="zh-CN"/>
        </w:rPr>
        <w:t>北京市朝阳区发展改革委</w:t>
      </w:r>
    </w:p>
    <w:p>
      <w:pPr>
        <w:spacing w:line="570" w:lineRule="exact"/>
        <w:jc w:val="center"/>
        <w:rPr>
          <w:rFonts w:hint="eastAsia" w:eastAsia="黑体"/>
          <w:sz w:val="36"/>
          <w:szCs w:val="36"/>
          <w:lang w:eastAsia="zh-CN"/>
        </w:rPr>
      </w:pPr>
      <w:r>
        <w:rPr>
          <w:rFonts w:hint="eastAsia" w:eastAsia="黑体"/>
          <w:sz w:val="36"/>
          <w:szCs w:val="36"/>
          <w:lang w:eastAsia="zh-CN"/>
        </w:rPr>
        <w:t>北京市朝阳区科学技术和信息化局</w:t>
      </w:r>
    </w:p>
    <w:p>
      <w:pPr>
        <w:spacing w:line="570" w:lineRule="exact"/>
        <w:jc w:val="center"/>
        <w:rPr>
          <w:rFonts w:hint="eastAsia" w:eastAsia="黑体"/>
          <w:sz w:val="36"/>
          <w:szCs w:val="36"/>
          <w:lang w:val="en-US" w:eastAsia="zh-CN"/>
        </w:rPr>
        <w:sectPr>
          <w:pgSz w:w="11906" w:h="16838"/>
          <w:pgMar w:top="1440" w:right="1588" w:bottom="1440" w:left="1588" w:header="851" w:footer="992" w:gutter="0"/>
          <w:cols w:space="425" w:num="1"/>
          <w:docGrid w:type="lines" w:linePitch="312" w:charSpace="0"/>
        </w:sectPr>
      </w:pPr>
      <w:r>
        <w:rPr>
          <w:rFonts w:hint="eastAsia" w:eastAsia="黑体"/>
          <w:sz w:val="36"/>
          <w:szCs w:val="36"/>
          <w:lang w:val="en-US" w:eastAsia="zh-CN"/>
        </w:rPr>
        <w:t>（北京市朝阳</w:t>
      </w:r>
      <w:bookmarkStart w:id="221" w:name="_GoBack"/>
      <w:bookmarkEnd w:id="221"/>
      <w:r>
        <w:rPr>
          <w:rFonts w:hint="eastAsia" w:eastAsia="黑体"/>
          <w:sz w:val="36"/>
          <w:szCs w:val="36"/>
          <w:lang w:val="en-US" w:eastAsia="zh-CN"/>
        </w:rPr>
        <w:t>区大数据管理局）</w:t>
      </w:r>
    </w:p>
    <w:p>
      <w:pPr>
        <w:spacing w:line="570" w:lineRule="exact"/>
        <w:jc w:val="center"/>
        <w:rPr>
          <w:rFonts w:eastAsia="黑体"/>
          <w:bCs/>
          <w:kern w:val="0"/>
          <w:sz w:val="36"/>
          <w:szCs w:val="36"/>
        </w:rPr>
      </w:pPr>
      <w:bookmarkStart w:id="0" w:name="_Toc444266646"/>
      <w:bookmarkStart w:id="1" w:name="_Toc462757489"/>
      <w:bookmarkStart w:id="2" w:name="_Toc462756982"/>
      <w:bookmarkStart w:id="3" w:name="_Toc462754828"/>
      <w:bookmarkStart w:id="4" w:name="_Toc439632297"/>
      <w:bookmarkStart w:id="5" w:name="_Toc448059820"/>
      <w:bookmarkStart w:id="6" w:name="_Toc449918414"/>
      <w:bookmarkStart w:id="7" w:name="_Toc446343736"/>
      <w:bookmarkStart w:id="8" w:name="_Toc441841834"/>
      <w:bookmarkStart w:id="9" w:name="_Toc441832685"/>
      <w:bookmarkStart w:id="10" w:name="_Toc442098855"/>
      <w:bookmarkStart w:id="11" w:name="_Toc462757293"/>
      <w:bookmarkStart w:id="12" w:name="_Toc440150226"/>
      <w:r>
        <w:rPr>
          <w:rFonts w:hint="eastAsia" w:eastAsia="黑体"/>
          <w:bCs/>
          <w:kern w:val="0"/>
          <w:sz w:val="36"/>
          <w:szCs w:val="36"/>
        </w:rPr>
        <w:t xml:space="preserve">目 </w:t>
      </w:r>
      <w:r>
        <w:rPr>
          <w:rFonts w:eastAsia="黑体"/>
          <w:bCs/>
          <w:kern w:val="0"/>
          <w:sz w:val="36"/>
          <w:szCs w:val="36"/>
        </w:rPr>
        <w:t xml:space="preserve"> </w:t>
      </w:r>
      <w:r>
        <w:rPr>
          <w:rFonts w:hint="eastAsia" w:eastAsia="黑体"/>
          <w:bCs/>
          <w:kern w:val="0"/>
          <w:sz w:val="36"/>
          <w:szCs w:val="36"/>
        </w:rPr>
        <w:t>录</w:t>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caps w:val="0"/>
          <w:kern w:val="44"/>
          <w:sz w:val="30"/>
          <w:szCs w:val="30"/>
        </w:rPr>
        <w:fldChar w:fldCharType="begin"/>
      </w:r>
      <w:r>
        <w:rPr>
          <w:rFonts w:ascii="Times New Roman" w:eastAsia="黑体"/>
          <w:b w:val="0"/>
          <w:caps w:val="0"/>
          <w:kern w:val="44"/>
          <w:sz w:val="30"/>
          <w:szCs w:val="30"/>
        </w:rPr>
        <w:instrText xml:space="preserve"> TOC \o "1-2" \u </w:instrText>
      </w:r>
      <w:r>
        <w:rPr>
          <w:rFonts w:ascii="Times New Roman" w:eastAsia="黑体"/>
          <w:b w:val="0"/>
          <w:caps w:val="0"/>
          <w:kern w:val="44"/>
          <w:sz w:val="30"/>
          <w:szCs w:val="30"/>
        </w:rPr>
        <w:fldChar w:fldCharType="separate"/>
      </w:r>
      <w:r>
        <w:rPr>
          <w:rFonts w:ascii="Times New Roman" w:eastAsia="黑体"/>
          <w:b w:val="0"/>
          <w:kern w:val="44"/>
          <w:sz w:val="30"/>
          <w:szCs w:val="30"/>
        </w:rPr>
        <w:t>一、“十三五”发展回顾</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_Toc79136594 \h </w:instrText>
      </w:r>
      <w:r>
        <w:rPr>
          <w:rFonts w:ascii="Times New Roman"/>
          <w:b w:val="0"/>
          <w:sz w:val="30"/>
          <w:szCs w:val="30"/>
        </w:rPr>
        <w:fldChar w:fldCharType="separate"/>
      </w:r>
      <w:r>
        <w:rPr>
          <w:rFonts w:ascii="Times New Roman"/>
          <w:b w:val="0"/>
          <w:sz w:val="30"/>
          <w:szCs w:val="30"/>
        </w:rPr>
        <w:t>1</w:t>
      </w:r>
      <w:r>
        <w:rPr>
          <w:rFonts w:ascii="Times New Roman"/>
          <w:b w:val="0"/>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二、“十四五”发展环境</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_Toc79136595 \h </w:instrText>
      </w:r>
      <w:r>
        <w:rPr>
          <w:rFonts w:ascii="Times New Roman"/>
          <w:b w:val="0"/>
          <w:sz w:val="30"/>
          <w:szCs w:val="30"/>
        </w:rPr>
        <w:fldChar w:fldCharType="separate"/>
      </w:r>
      <w:r>
        <w:rPr>
          <w:rFonts w:ascii="Times New Roman"/>
          <w:b w:val="0"/>
          <w:sz w:val="30"/>
          <w:szCs w:val="30"/>
        </w:rPr>
        <w:t>3</w:t>
      </w:r>
      <w:r>
        <w:rPr>
          <w:rFonts w:ascii="Times New Roman"/>
          <w:b w:val="0"/>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三、指导思想、基本原则和发展目标</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_Toc79136596 \h </w:instrText>
      </w:r>
      <w:r>
        <w:rPr>
          <w:rFonts w:ascii="Times New Roman"/>
          <w:b w:val="0"/>
          <w:sz w:val="30"/>
          <w:szCs w:val="30"/>
        </w:rPr>
        <w:fldChar w:fldCharType="separate"/>
      </w:r>
      <w:r>
        <w:rPr>
          <w:rFonts w:ascii="Times New Roman"/>
          <w:b w:val="0"/>
          <w:sz w:val="30"/>
          <w:szCs w:val="30"/>
        </w:rPr>
        <w:t>5</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（一）指导思想</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_Toc79136597 \h </w:instrText>
      </w:r>
      <w:r>
        <w:rPr>
          <w:rFonts w:ascii="Times New Roman"/>
          <w:sz w:val="30"/>
          <w:szCs w:val="30"/>
        </w:rPr>
        <w:fldChar w:fldCharType="separate"/>
      </w:r>
      <w:r>
        <w:rPr>
          <w:rFonts w:ascii="Times New Roman"/>
          <w:sz w:val="30"/>
          <w:szCs w:val="30"/>
        </w:rPr>
        <w:t>5</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（二）战略定位</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_Toc79136598 \h </w:instrText>
      </w:r>
      <w:r>
        <w:rPr>
          <w:rFonts w:ascii="Times New Roman"/>
          <w:sz w:val="30"/>
          <w:szCs w:val="30"/>
        </w:rPr>
        <w:fldChar w:fldCharType="separate"/>
      </w:r>
      <w:r>
        <w:rPr>
          <w:rFonts w:ascii="Times New Roman"/>
          <w:sz w:val="30"/>
          <w:szCs w:val="30"/>
        </w:rPr>
        <w:t>5</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（三）基本原则</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_Toc79136599 \h </w:instrText>
      </w:r>
      <w:r>
        <w:rPr>
          <w:rFonts w:ascii="Times New Roman"/>
          <w:sz w:val="30"/>
          <w:szCs w:val="30"/>
        </w:rPr>
        <w:fldChar w:fldCharType="separate"/>
      </w:r>
      <w:r>
        <w:rPr>
          <w:rFonts w:ascii="Times New Roman"/>
          <w:sz w:val="30"/>
          <w:szCs w:val="30"/>
        </w:rPr>
        <w:t>6</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（四）发展目标</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_Toc79136600 \h </w:instrText>
      </w:r>
      <w:r>
        <w:rPr>
          <w:rFonts w:ascii="Times New Roman"/>
          <w:sz w:val="30"/>
          <w:szCs w:val="30"/>
        </w:rPr>
        <w:fldChar w:fldCharType="separate"/>
      </w:r>
      <w:r>
        <w:rPr>
          <w:rFonts w:ascii="Times New Roman"/>
          <w:sz w:val="30"/>
          <w:szCs w:val="30"/>
        </w:rPr>
        <w:t>7</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四、汇聚智慧城市“新要素”</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_Toc79136601 \h </w:instrText>
      </w:r>
      <w:r>
        <w:rPr>
          <w:rFonts w:ascii="Times New Roman"/>
          <w:b w:val="0"/>
          <w:sz w:val="30"/>
          <w:szCs w:val="30"/>
        </w:rPr>
        <w:fldChar w:fldCharType="separate"/>
      </w:r>
      <w:r>
        <w:rPr>
          <w:rFonts w:ascii="Times New Roman"/>
          <w:b w:val="0"/>
          <w:sz w:val="30"/>
          <w:szCs w:val="30"/>
        </w:rPr>
        <w:t>9</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（一）强化数据要素管理</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_Toc79136602 \h </w:instrText>
      </w:r>
      <w:r>
        <w:rPr>
          <w:rFonts w:ascii="Times New Roman"/>
          <w:sz w:val="30"/>
          <w:szCs w:val="30"/>
        </w:rPr>
        <w:fldChar w:fldCharType="separate"/>
      </w:r>
      <w:r>
        <w:rPr>
          <w:rFonts w:ascii="Times New Roman"/>
          <w:sz w:val="30"/>
          <w:szCs w:val="30"/>
        </w:rPr>
        <w:t>9</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（二）深化数据价值挖掘</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_Toc79136603 \h </w:instrText>
      </w:r>
      <w:r>
        <w:rPr>
          <w:rFonts w:ascii="Times New Roman"/>
          <w:sz w:val="30"/>
          <w:szCs w:val="30"/>
        </w:rPr>
        <w:fldChar w:fldCharType="separate"/>
      </w:r>
      <w:r>
        <w:rPr>
          <w:rFonts w:ascii="Times New Roman"/>
          <w:sz w:val="30"/>
          <w:szCs w:val="30"/>
        </w:rPr>
        <w:t>10</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五、完善智慧城市“新基建”</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_Toc79136604 \h </w:instrText>
      </w:r>
      <w:r>
        <w:rPr>
          <w:rFonts w:ascii="Times New Roman"/>
          <w:b w:val="0"/>
          <w:sz w:val="30"/>
          <w:szCs w:val="30"/>
        </w:rPr>
        <w:fldChar w:fldCharType="separate"/>
      </w:r>
      <w:r>
        <w:rPr>
          <w:rFonts w:ascii="Times New Roman"/>
          <w:b w:val="0"/>
          <w:sz w:val="30"/>
          <w:szCs w:val="30"/>
        </w:rPr>
        <w:t>11</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（一）健全信息基础设施</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_Toc79136605 \h </w:instrText>
      </w:r>
      <w:r>
        <w:rPr>
          <w:rFonts w:ascii="Times New Roman"/>
          <w:sz w:val="30"/>
          <w:szCs w:val="30"/>
        </w:rPr>
        <w:fldChar w:fldCharType="separate"/>
      </w:r>
      <w:r>
        <w:rPr>
          <w:rFonts w:ascii="Times New Roman"/>
          <w:sz w:val="30"/>
          <w:szCs w:val="30"/>
        </w:rPr>
        <w:t>11</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（二）提升融合基础设施</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_Toc79136606 \h </w:instrText>
      </w:r>
      <w:r>
        <w:rPr>
          <w:rFonts w:ascii="Times New Roman"/>
          <w:sz w:val="30"/>
          <w:szCs w:val="30"/>
        </w:rPr>
        <w:fldChar w:fldCharType="separate"/>
      </w:r>
      <w:r>
        <w:rPr>
          <w:rFonts w:ascii="Times New Roman"/>
          <w:sz w:val="30"/>
          <w:szCs w:val="30"/>
        </w:rPr>
        <w:t>12</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（三）建设创新基础设施</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_Toc79136607 \h </w:instrText>
      </w:r>
      <w:r>
        <w:rPr>
          <w:rFonts w:ascii="Times New Roman"/>
          <w:sz w:val="30"/>
          <w:szCs w:val="30"/>
        </w:rPr>
        <w:fldChar w:fldCharType="separate"/>
      </w:r>
      <w:r>
        <w:rPr>
          <w:rFonts w:ascii="Times New Roman"/>
          <w:sz w:val="30"/>
          <w:szCs w:val="30"/>
        </w:rPr>
        <w:t>13</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六、构建智慧城市“新底座”</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_Toc79136608 \h </w:instrText>
      </w:r>
      <w:r>
        <w:rPr>
          <w:rFonts w:ascii="Times New Roman"/>
          <w:b w:val="0"/>
          <w:sz w:val="30"/>
          <w:szCs w:val="30"/>
        </w:rPr>
        <w:fldChar w:fldCharType="separate"/>
      </w:r>
      <w:r>
        <w:rPr>
          <w:rFonts w:ascii="Times New Roman"/>
          <w:b w:val="0"/>
          <w:sz w:val="30"/>
          <w:szCs w:val="30"/>
        </w:rPr>
        <w:t>14</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（一）搭建共性基础平台</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_Toc79136609 \h </w:instrText>
      </w:r>
      <w:r>
        <w:rPr>
          <w:rFonts w:ascii="Times New Roman"/>
          <w:sz w:val="30"/>
          <w:szCs w:val="30"/>
        </w:rPr>
        <w:fldChar w:fldCharType="separate"/>
      </w:r>
      <w:r>
        <w:rPr>
          <w:rFonts w:ascii="Times New Roman"/>
          <w:sz w:val="30"/>
          <w:szCs w:val="30"/>
        </w:rPr>
        <w:t>14</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（二）建设城市智慧大脑体系</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_Toc79136610 \h </w:instrText>
      </w:r>
      <w:r>
        <w:rPr>
          <w:rFonts w:ascii="Times New Roman"/>
          <w:sz w:val="30"/>
          <w:szCs w:val="30"/>
        </w:rPr>
        <w:fldChar w:fldCharType="separate"/>
      </w:r>
      <w:r>
        <w:rPr>
          <w:rFonts w:ascii="Times New Roman"/>
          <w:sz w:val="30"/>
          <w:szCs w:val="30"/>
        </w:rPr>
        <w:t>16</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（三）提升综合展示和决策支撑能力</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_Toc79136611 \h </w:instrText>
      </w:r>
      <w:r>
        <w:rPr>
          <w:rFonts w:ascii="Times New Roman"/>
          <w:sz w:val="30"/>
          <w:szCs w:val="30"/>
        </w:rPr>
        <w:fldChar w:fldCharType="separate"/>
      </w:r>
      <w:r>
        <w:rPr>
          <w:rFonts w:ascii="Times New Roman"/>
          <w:sz w:val="30"/>
          <w:szCs w:val="30"/>
        </w:rPr>
        <w:t>17</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（四）加强网络信息安全防护</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_Toc79136612 \h </w:instrText>
      </w:r>
      <w:r>
        <w:rPr>
          <w:rFonts w:ascii="Times New Roman"/>
          <w:sz w:val="30"/>
          <w:szCs w:val="30"/>
        </w:rPr>
        <w:fldChar w:fldCharType="separate"/>
      </w:r>
      <w:r>
        <w:rPr>
          <w:rFonts w:ascii="Times New Roman"/>
          <w:sz w:val="30"/>
          <w:szCs w:val="30"/>
        </w:rPr>
        <w:t>18</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七、推动智慧城市“新应用”</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_Toc79136613 \h </w:instrText>
      </w:r>
      <w:r>
        <w:rPr>
          <w:rFonts w:ascii="Times New Roman"/>
          <w:b w:val="0"/>
          <w:sz w:val="30"/>
          <w:szCs w:val="30"/>
        </w:rPr>
        <w:fldChar w:fldCharType="separate"/>
      </w:r>
      <w:r>
        <w:rPr>
          <w:rFonts w:ascii="Times New Roman"/>
          <w:b w:val="0"/>
          <w:sz w:val="30"/>
          <w:szCs w:val="30"/>
        </w:rPr>
        <w:t>19</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（一）打造精细敏捷的社会治理能力</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_Toc79136614 \h </w:instrText>
      </w:r>
      <w:r>
        <w:rPr>
          <w:rFonts w:ascii="Times New Roman"/>
          <w:sz w:val="30"/>
          <w:szCs w:val="30"/>
        </w:rPr>
        <w:fldChar w:fldCharType="separate"/>
      </w:r>
      <w:r>
        <w:rPr>
          <w:rFonts w:ascii="Times New Roman"/>
          <w:sz w:val="30"/>
          <w:szCs w:val="30"/>
        </w:rPr>
        <w:t>19</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（二）保障便捷优质的民生服务供给</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_Toc79136615 \h </w:instrText>
      </w:r>
      <w:r>
        <w:rPr>
          <w:rFonts w:ascii="Times New Roman"/>
          <w:sz w:val="30"/>
          <w:szCs w:val="30"/>
        </w:rPr>
        <w:fldChar w:fldCharType="separate"/>
      </w:r>
      <w:r>
        <w:rPr>
          <w:rFonts w:ascii="Times New Roman"/>
          <w:sz w:val="30"/>
          <w:szCs w:val="30"/>
        </w:rPr>
        <w:t>22</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八、布局智慧城市“新场景”</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_Toc79136616 \h </w:instrText>
      </w:r>
      <w:r>
        <w:rPr>
          <w:rFonts w:ascii="Times New Roman"/>
          <w:b w:val="0"/>
          <w:sz w:val="30"/>
          <w:szCs w:val="30"/>
        </w:rPr>
        <w:fldChar w:fldCharType="separate"/>
      </w:r>
      <w:r>
        <w:rPr>
          <w:rFonts w:ascii="Times New Roman"/>
          <w:b w:val="0"/>
          <w:sz w:val="30"/>
          <w:szCs w:val="30"/>
        </w:rPr>
        <w:t>25</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（一）数字化消费场景</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_Toc79136617 \h </w:instrText>
      </w:r>
      <w:r>
        <w:rPr>
          <w:rFonts w:ascii="Times New Roman"/>
          <w:sz w:val="30"/>
          <w:szCs w:val="30"/>
        </w:rPr>
        <w:fldChar w:fldCharType="separate"/>
      </w:r>
      <w:r>
        <w:rPr>
          <w:rFonts w:ascii="Times New Roman"/>
          <w:sz w:val="30"/>
          <w:szCs w:val="30"/>
        </w:rPr>
        <w:t>25</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（二）智慧化公园场景</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_Toc79136618 \h </w:instrText>
      </w:r>
      <w:r>
        <w:rPr>
          <w:rFonts w:ascii="Times New Roman"/>
          <w:sz w:val="30"/>
          <w:szCs w:val="30"/>
        </w:rPr>
        <w:fldChar w:fldCharType="separate"/>
      </w:r>
      <w:r>
        <w:rPr>
          <w:rFonts w:ascii="Times New Roman"/>
          <w:sz w:val="30"/>
          <w:szCs w:val="30"/>
        </w:rPr>
        <w:t>26</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（三）智能化园区场景</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_Toc79136619 \h </w:instrText>
      </w:r>
      <w:r>
        <w:rPr>
          <w:rFonts w:ascii="Times New Roman"/>
          <w:sz w:val="30"/>
          <w:szCs w:val="30"/>
        </w:rPr>
        <w:fldChar w:fldCharType="separate"/>
      </w:r>
      <w:r>
        <w:rPr>
          <w:rFonts w:ascii="Times New Roman"/>
          <w:sz w:val="30"/>
          <w:szCs w:val="30"/>
        </w:rPr>
        <w:t>26</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九、提振智慧城市“新动能”</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_Toc79136620 \h </w:instrText>
      </w:r>
      <w:r>
        <w:rPr>
          <w:rFonts w:ascii="Times New Roman"/>
          <w:b w:val="0"/>
          <w:sz w:val="30"/>
          <w:szCs w:val="30"/>
        </w:rPr>
        <w:fldChar w:fldCharType="separate"/>
      </w:r>
      <w:r>
        <w:rPr>
          <w:rFonts w:ascii="Times New Roman"/>
          <w:b w:val="0"/>
          <w:sz w:val="30"/>
          <w:szCs w:val="30"/>
        </w:rPr>
        <w:t>28</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（一）加快数字产业化</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_Toc79136621 \h </w:instrText>
      </w:r>
      <w:r>
        <w:rPr>
          <w:rFonts w:ascii="Times New Roman"/>
          <w:sz w:val="30"/>
          <w:szCs w:val="30"/>
        </w:rPr>
        <w:fldChar w:fldCharType="separate"/>
      </w:r>
      <w:r>
        <w:rPr>
          <w:rFonts w:ascii="Times New Roman"/>
          <w:sz w:val="30"/>
          <w:szCs w:val="30"/>
        </w:rPr>
        <w:t>28</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（二）推动产业数字化</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_Toc79136622 \h </w:instrText>
      </w:r>
      <w:r>
        <w:rPr>
          <w:rFonts w:ascii="Times New Roman"/>
          <w:sz w:val="30"/>
          <w:szCs w:val="30"/>
        </w:rPr>
        <w:fldChar w:fldCharType="separate"/>
      </w:r>
      <w:r>
        <w:rPr>
          <w:rFonts w:ascii="Times New Roman"/>
          <w:sz w:val="30"/>
          <w:szCs w:val="30"/>
        </w:rPr>
        <w:t>28</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十、保障措施</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_Toc79136623 \h </w:instrText>
      </w:r>
      <w:r>
        <w:rPr>
          <w:rFonts w:ascii="Times New Roman"/>
          <w:b w:val="0"/>
          <w:sz w:val="30"/>
          <w:szCs w:val="30"/>
        </w:rPr>
        <w:fldChar w:fldCharType="separate"/>
      </w:r>
      <w:r>
        <w:rPr>
          <w:rFonts w:ascii="Times New Roman"/>
          <w:b w:val="0"/>
          <w:sz w:val="30"/>
          <w:szCs w:val="30"/>
        </w:rPr>
        <w:t>29</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（一）强化组织协调机制</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_Toc79136624 \h </w:instrText>
      </w:r>
      <w:r>
        <w:rPr>
          <w:rFonts w:ascii="Times New Roman"/>
          <w:sz w:val="30"/>
          <w:szCs w:val="30"/>
        </w:rPr>
        <w:fldChar w:fldCharType="separate"/>
      </w:r>
      <w:r>
        <w:rPr>
          <w:rFonts w:ascii="Times New Roman"/>
          <w:sz w:val="30"/>
          <w:szCs w:val="30"/>
        </w:rPr>
        <w:t>29</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（二）完善政策标准体系</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_Toc79136625 \h </w:instrText>
      </w:r>
      <w:r>
        <w:rPr>
          <w:rFonts w:ascii="Times New Roman"/>
          <w:sz w:val="30"/>
          <w:szCs w:val="30"/>
        </w:rPr>
        <w:fldChar w:fldCharType="separate"/>
      </w:r>
      <w:r>
        <w:rPr>
          <w:rFonts w:ascii="Times New Roman"/>
          <w:sz w:val="30"/>
          <w:szCs w:val="30"/>
        </w:rPr>
        <w:t>30</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（三）强化网络安全保障</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_Toc79136626 \h </w:instrText>
      </w:r>
      <w:r>
        <w:rPr>
          <w:rFonts w:ascii="Times New Roman"/>
          <w:sz w:val="30"/>
          <w:szCs w:val="30"/>
        </w:rPr>
        <w:fldChar w:fldCharType="separate"/>
      </w:r>
      <w:r>
        <w:rPr>
          <w:rFonts w:ascii="Times New Roman"/>
          <w:sz w:val="30"/>
          <w:szCs w:val="30"/>
        </w:rPr>
        <w:t>30</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（四）创新运营管理机制</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_Toc79136627 \h </w:instrText>
      </w:r>
      <w:r>
        <w:rPr>
          <w:rFonts w:ascii="Times New Roman"/>
          <w:sz w:val="30"/>
          <w:szCs w:val="30"/>
        </w:rPr>
        <w:fldChar w:fldCharType="separate"/>
      </w:r>
      <w:r>
        <w:rPr>
          <w:rFonts w:ascii="Times New Roman"/>
          <w:sz w:val="30"/>
          <w:szCs w:val="30"/>
        </w:rPr>
        <w:t>30</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（五）建立常态宣传机制</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_Toc79136628 \h </w:instrText>
      </w:r>
      <w:r>
        <w:rPr>
          <w:rFonts w:ascii="Times New Roman"/>
          <w:sz w:val="30"/>
          <w:szCs w:val="30"/>
        </w:rPr>
        <w:fldChar w:fldCharType="separate"/>
      </w:r>
      <w:r>
        <w:rPr>
          <w:rFonts w:ascii="Times New Roman"/>
          <w:sz w:val="30"/>
          <w:szCs w:val="30"/>
        </w:rPr>
        <w:t>31</w:t>
      </w:r>
      <w:r>
        <w:rPr>
          <w:rFonts w:ascii="Times New Roman"/>
          <w:sz w:val="30"/>
          <w:szCs w:val="30"/>
        </w:rPr>
        <w:fldChar w:fldCharType="end"/>
      </w:r>
    </w:p>
    <w:p>
      <w:pPr>
        <w:widowControl/>
        <w:spacing w:line="570" w:lineRule="exact"/>
        <w:jc w:val="left"/>
        <w:rPr>
          <w:rFonts w:eastAsia="黑体"/>
          <w:bCs/>
          <w:kern w:val="44"/>
          <w:sz w:val="24"/>
        </w:rPr>
      </w:pPr>
      <w:r>
        <w:rPr>
          <w:rFonts w:eastAsia="黑体"/>
          <w:caps/>
          <w:kern w:val="44"/>
          <w:sz w:val="30"/>
          <w:szCs w:val="30"/>
        </w:rPr>
        <w:fldChar w:fldCharType="end"/>
      </w:r>
      <w:r>
        <w:rPr>
          <w:rFonts w:eastAsia="黑体"/>
          <w:bCs/>
          <w:kern w:val="44"/>
          <w:sz w:val="24"/>
        </w:rPr>
        <w:br w:type="page"/>
      </w:r>
    </w:p>
    <w:p>
      <w:pPr>
        <w:jc w:val="center"/>
        <w:rPr>
          <w:rFonts w:eastAsia="黑体"/>
          <w:sz w:val="36"/>
          <w:szCs w:val="36"/>
        </w:rPr>
      </w:pPr>
      <w:r>
        <w:rPr>
          <w:rFonts w:hint="eastAsia" w:eastAsia="黑体"/>
          <w:sz w:val="36"/>
          <w:szCs w:val="36"/>
        </w:rPr>
        <w:t>序</w:t>
      </w:r>
      <w:r>
        <w:rPr>
          <w:rFonts w:eastAsia="黑体"/>
          <w:sz w:val="36"/>
          <w:szCs w:val="36"/>
        </w:rPr>
        <w:t xml:space="preserve">  言</w:t>
      </w:r>
    </w:p>
    <w:p>
      <w:pPr>
        <w:widowControl/>
        <w:spacing w:line="570" w:lineRule="exact"/>
        <w:ind w:firstLine="640" w:firstLineChars="200"/>
        <w:rPr>
          <w:rFonts w:eastAsia="仿宋_GB2312" w:cs="微软雅黑"/>
          <w:kern w:val="0"/>
          <w:sz w:val="32"/>
          <w:szCs w:val="32"/>
        </w:rPr>
      </w:pPr>
      <w:r>
        <w:rPr>
          <w:rFonts w:hint="eastAsia" w:eastAsia="仿宋_GB2312" w:cs="微软雅黑"/>
          <w:kern w:val="0"/>
          <w:sz w:val="32"/>
          <w:szCs w:val="32"/>
        </w:rPr>
        <w:t>智慧城市建设是新一代信息技术与新型城镇化发展深度融合，促进城市发展方式转型升级、引领经济高质量发展的新路径、新模式、新形态，体现了以人为本、统筹协调的发展理念，代表了城市发展的高端形态和未来趋势。党的十九大报告提出要“推进国家治理体系和治理能力现代化”“善于运用互联网技术和信息化手段开展工作”“建设网络强国、数字中国、智慧社会”，《中华人民共和国国民经济和社会发展第十四个五年规划和2035年远景目标纲要</w:t>
      </w:r>
      <w:r>
        <w:rPr>
          <w:rFonts w:hint="eastAsia" w:eastAsia="仿宋_GB2312" w:cs="仿宋_GB2312"/>
          <w:kern w:val="0"/>
          <w:sz w:val="32"/>
          <w:szCs w:val="32"/>
        </w:rPr>
        <w:t>》</w:t>
      </w:r>
      <w:r>
        <w:rPr>
          <w:rFonts w:hint="eastAsia" w:eastAsia="仿宋_GB2312" w:cs="微软雅黑"/>
          <w:kern w:val="0"/>
          <w:sz w:val="32"/>
          <w:szCs w:val="32"/>
        </w:rPr>
        <w:t>提出要“加快建设数字经济、数字社会、数字政府，以数字化转型整体驱动生产方式、生活方式和治理方式变革”，为我国智慧城市建设发展指明了方向。</w:t>
      </w:r>
    </w:p>
    <w:p>
      <w:pPr>
        <w:spacing w:line="570" w:lineRule="exact"/>
        <w:ind w:firstLine="640" w:firstLineChars="200"/>
        <w:rPr>
          <w:rFonts w:eastAsia="仿宋_GB2312"/>
          <w:sz w:val="32"/>
          <w:szCs w:val="32"/>
        </w:rPr>
      </w:pPr>
      <w:r>
        <w:rPr>
          <w:rFonts w:hint="eastAsia" w:eastAsia="仿宋_GB2312"/>
          <w:sz w:val="32"/>
          <w:szCs w:val="32"/>
        </w:rPr>
        <w:t>朝阳区在“十三五”时期智慧城市建设中已取得一定成绩，共性基础支撑持续领先、数据要素红利逐步显现、城市治理更加现代智能、公共服务供给特色凸显、经济发展愈益高端协调、信息化体制机制更加健全，但仍存在统筹管理机制不充分、标准规范体系待完善、信息基础设施需升级、数据共享利用待提高等问题。为积极应对“十四五”时期转型攻坚的重大现实需求，朝阳区亟需立足超大城市中心城区特点，当好首都“四个中心”功能建设和“四个服务”水平提升的“排头兵”，充分发挥数据要素的基础性战略资源作用，推进信息技术与经济社会各领域建设的深度融合发展，以新型基础设施为牵引，以数据要素为核心，以城市智慧大脑为枢纽，以应用场景为突破，整合、优化、提升现有智慧城市建设成果，推进技术融合、业务融合、数据融合，提升跨层级、跨地域、跨系统、跨部门、跨业务的系统管理和服务水平，从而实现治理能力现代化、提升民众获得感。</w:t>
      </w:r>
    </w:p>
    <w:p>
      <w:pPr>
        <w:spacing w:line="570" w:lineRule="exact"/>
        <w:ind w:firstLine="640" w:firstLineChars="200"/>
        <w:rPr>
          <w:rFonts w:eastAsia="仿宋_GB2312"/>
          <w:sz w:val="32"/>
          <w:szCs w:val="32"/>
        </w:rPr>
      </w:pPr>
      <w:r>
        <w:rPr>
          <w:rFonts w:hint="eastAsia" w:eastAsia="仿宋_GB2312"/>
          <w:sz w:val="32"/>
          <w:szCs w:val="32"/>
        </w:rPr>
        <w:t>为更好发挥智慧城市对数字政府、数字社会和数字经济的引领、支撑和驱动作用，打造具有朝阳特色的新型智慧城市，依据《</w:t>
      </w:r>
      <w:r>
        <w:rPr>
          <w:rFonts w:hint="eastAsia" w:eastAsia="仿宋_GB2312" w:cs="微软雅黑"/>
          <w:kern w:val="0"/>
          <w:sz w:val="32"/>
          <w:szCs w:val="32"/>
        </w:rPr>
        <w:t>中共中央关于制定国民经济和社会发展第十四个五年规划和二</w:t>
      </w:r>
      <w:r>
        <w:rPr>
          <w:rFonts w:hint="eastAsia" w:eastAsia="微软雅黑" w:cs="微软雅黑"/>
          <w:kern w:val="0"/>
          <w:sz w:val="32"/>
          <w:szCs w:val="32"/>
        </w:rPr>
        <w:t>〇</w:t>
      </w:r>
      <w:r>
        <w:rPr>
          <w:rFonts w:hint="eastAsia" w:eastAsia="仿宋_GB2312" w:cs="仿宋_GB2312"/>
          <w:kern w:val="0"/>
          <w:sz w:val="32"/>
          <w:szCs w:val="32"/>
        </w:rPr>
        <w:t>三五年远景目标的建议</w:t>
      </w:r>
      <w:r>
        <w:rPr>
          <w:rFonts w:hint="eastAsia" w:eastAsia="仿宋_GB2312"/>
          <w:sz w:val="32"/>
          <w:szCs w:val="32"/>
        </w:rPr>
        <w:t>》《北京市“十四五”时期智慧城市发展行动纲要》《北京市朝阳区国民经济和社会发展第十四个五年规划和二</w:t>
      </w:r>
      <w:r>
        <w:rPr>
          <w:rFonts w:hint="eastAsia" w:eastAsia="微软雅黑" w:cs="微软雅黑"/>
          <w:kern w:val="0"/>
          <w:sz w:val="32"/>
          <w:szCs w:val="32"/>
        </w:rPr>
        <w:t>〇</w:t>
      </w:r>
      <w:r>
        <w:rPr>
          <w:rFonts w:hint="eastAsia" w:eastAsia="仿宋_GB2312"/>
          <w:sz w:val="32"/>
          <w:szCs w:val="32"/>
        </w:rPr>
        <w:t>三五年远景目标纲要》以及国家、北京市、朝阳区发布的其他重要文件，特制定《朝阳区“十四五”时期智慧城市总体规划》。本规划是“十四五”时期朝阳区智慧城市发展的指导性文件，规划期限为20</w:t>
      </w:r>
      <w:r>
        <w:rPr>
          <w:rFonts w:eastAsia="仿宋_GB2312"/>
          <w:sz w:val="32"/>
          <w:szCs w:val="32"/>
        </w:rPr>
        <w:t>21</w:t>
      </w:r>
      <w:r>
        <w:rPr>
          <w:rFonts w:hint="eastAsia" w:eastAsia="仿宋_GB2312"/>
          <w:sz w:val="32"/>
          <w:szCs w:val="32"/>
        </w:rPr>
        <w:t>年至202</w:t>
      </w:r>
      <w:r>
        <w:rPr>
          <w:rFonts w:eastAsia="仿宋_GB2312"/>
          <w:sz w:val="32"/>
          <w:szCs w:val="32"/>
        </w:rPr>
        <w:t>5</w:t>
      </w:r>
      <w:r>
        <w:rPr>
          <w:rFonts w:hint="eastAsia" w:eastAsia="仿宋_GB2312"/>
          <w:sz w:val="32"/>
          <w:szCs w:val="32"/>
        </w:rPr>
        <w:t>年。在规划期内，本规划随区“十四五”政策方向、产业方向的变化同步进行动态更新调整。</w:t>
      </w:r>
    </w:p>
    <w:p>
      <w:pPr>
        <w:spacing w:line="570" w:lineRule="exact"/>
        <w:jc w:val="center"/>
        <w:rPr>
          <w:rFonts w:eastAsia="黑体"/>
          <w:bCs/>
          <w:kern w:val="0"/>
          <w:sz w:val="30"/>
          <w:szCs w:val="30"/>
        </w:rPr>
      </w:pPr>
    </w:p>
    <w:p>
      <w:pPr>
        <w:spacing w:line="570" w:lineRule="exact"/>
        <w:jc w:val="center"/>
        <w:rPr>
          <w:rFonts w:eastAsia="黑体"/>
          <w:bCs/>
          <w:kern w:val="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pgNumType w:fmt="numberInDash" w:start="1"/>
          <w:cols w:space="425"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bookmarkEnd w:id="12"/>
    <w:p>
      <w:pPr>
        <w:keepNext/>
        <w:keepLines/>
        <w:spacing w:line="570" w:lineRule="exact"/>
        <w:ind w:firstLine="640" w:firstLineChars="200"/>
        <w:jc w:val="left"/>
        <w:outlineLvl w:val="0"/>
        <w:rPr>
          <w:rFonts w:eastAsia="黑体"/>
          <w:bCs/>
          <w:kern w:val="44"/>
          <w:sz w:val="32"/>
          <w:szCs w:val="44"/>
        </w:rPr>
      </w:pPr>
      <w:bookmarkStart w:id="13" w:name="_Toc78985223"/>
      <w:bookmarkStart w:id="14" w:name="_Toc79136123"/>
      <w:bookmarkStart w:id="15" w:name="_Toc462757490"/>
      <w:bookmarkStart w:id="16" w:name="_Toc79136594"/>
      <w:r>
        <w:rPr>
          <w:rFonts w:eastAsia="黑体"/>
          <w:bCs/>
          <w:kern w:val="44"/>
          <w:sz w:val="32"/>
          <w:szCs w:val="44"/>
        </w:rPr>
        <w:t>一、</w:t>
      </w:r>
      <w:r>
        <w:rPr>
          <w:rFonts w:hint="eastAsia" w:eastAsia="黑体"/>
          <w:bCs/>
          <w:kern w:val="44"/>
          <w:sz w:val="32"/>
          <w:szCs w:val="44"/>
        </w:rPr>
        <w:t>“十三五”发展回顾</w:t>
      </w:r>
      <w:bookmarkEnd w:id="13"/>
      <w:bookmarkEnd w:id="14"/>
      <w:bookmarkEnd w:id="15"/>
      <w:bookmarkEnd w:id="16"/>
    </w:p>
    <w:p>
      <w:pPr>
        <w:spacing w:line="570" w:lineRule="exact"/>
        <w:ind w:firstLine="640" w:firstLineChars="200"/>
        <w:rPr>
          <w:rFonts w:eastAsia="仿宋_GB2312"/>
          <w:sz w:val="32"/>
          <w:szCs w:val="32"/>
        </w:rPr>
      </w:pPr>
      <w:r>
        <w:rPr>
          <w:rFonts w:hint="eastAsia" w:eastAsia="仿宋_GB2312"/>
          <w:sz w:val="32"/>
          <w:szCs w:val="32"/>
        </w:rPr>
        <w:t>“十三五”以来，朝阳区以提升信息化对城市运行的支撑、引领、带动作用为核心，以推进智慧朝阳建设为主线，统筹推进城市管理、民生服务、产业发展、基础设施建设、信息安全保障等各项工作，为“十四五”时期全区智慧城市发展奠定良好基础。</w:t>
      </w:r>
    </w:p>
    <w:p>
      <w:pPr>
        <w:spacing w:line="570" w:lineRule="exact"/>
        <w:ind w:firstLine="643" w:firstLineChars="200"/>
        <w:rPr>
          <w:rFonts w:eastAsia="仿宋_GB2312" w:cs="仿宋"/>
          <w:b/>
          <w:bCs/>
          <w:sz w:val="32"/>
          <w:szCs w:val="32"/>
        </w:rPr>
      </w:pPr>
      <w:bookmarkStart w:id="17" w:name="_Hlk38486159"/>
      <w:bookmarkStart w:id="18" w:name="_Toc38274976"/>
      <w:r>
        <w:rPr>
          <w:rFonts w:hint="eastAsia" w:eastAsia="楷体_GB2312"/>
          <w:b/>
          <w:bCs/>
          <w:sz w:val="32"/>
          <w:szCs w:val="32"/>
        </w:rPr>
        <w:t>共性基础支撑持续领先。</w:t>
      </w:r>
      <w:r>
        <w:rPr>
          <w:rFonts w:hint="eastAsia" w:eastAsia="仿宋_GB2312" w:cs="仿宋"/>
          <w:bCs/>
          <w:sz w:val="32"/>
          <w:szCs w:val="32"/>
        </w:rPr>
        <w:t>信息基础设施建设领跑全市，</w:t>
      </w:r>
      <w:r>
        <w:rPr>
          <w:rFonts w:hint="eastAsia" w:eastAsia="仿宋_GB2312" w:cs="仿宋"/>
          <w:sz w:val="32"/>
          <w:szCs w:val="32"/>
        </w:rPr>
        <w:t>光进铜退、光网提速成效显著，家庭用户和社区光纤宽带接入分别实现“百兆入户”“千兆到社区”。完成400余个社区（村）的政务网络互联互通和光纤升级改造工作，43个街乡和各重要委办局共约130个节点单位达到1000M宽带接入能力。4G网络实现五环内全覆盖。累计建成5G基站4021个，数量居全市第一。</w:t>
      </w:r>
      <w:r>
        <w:rPr>
          <w:rFonts w:eastAsia="仿宋_GB2312"/>
          <w:sz w:val="32"/>
          <w:szCs w:val="32"/>
        </w:rPr>
        <w:t>5G信号</w:t>
      </w:r>
      <w:r>
        <w:rPr>
          <w:rFonts w:hint="eastAsia" w:eastAsia="仿宋_GB2312"/>
          <w:sz w:val="32"/>
          <w:szCs w:val="32"/>
        </w:rPr>
        <w:t>基本</w:t>
      </w:r>
      <w:r>
        <w:rPr>
          <w:rFonts w:eastAsia="仿宋_GB2312"/>
          <w:sz w:val="32"/>
          <w:szCs w:val="32"/>
        </w:rPr>
        <w:t>实现五环内室外连续覆盖，五环外重点地区、重点场景精准覆盖，</w:t>
      </w:r>
      <w:r>
        <w:rPr>
          <w:rFonts w:hint="eastAsia" w:eastAsia="仿宋_GB2312" w:cs="仿宋"/>
          <w:sz w:val="32"/>
          <w:szCs w:val="32"/>
        </w:rPr>
        <w:t>长安街延长线、CBD核心区、奥林匹克公园</w:t>
      </w:r>
      <w:r>
        <w:rPr>
          <w:rFonts w:eastAsia="仿宋_GB2312" w:cs="仿宋"/>
          <w:sz w:val="32"/>
          <w:szCs w:val="32"/>
        </w:rPr>
        <w:t>、</w:t>
      </w:r>
      <w:r>
        <w:rPr>
          <w:rFonts w:hint="eastAsia" w:eastAsia="仿宋_GB2312" w:cs="仿宋"/>
          <w:sz w:val="32"/>
          <w:szCs w:val="32"/>
        </w:rPr>
        <w:t>温榆河公园、望京小街、丽都街区、朝阳公园区域、机场高速沿线、工体周边等重点区域、典型应用场景实现专项覆盖。</w:t>
      </w:r>
    </w:p>
    <w:p>
      <w:pPr>
        <w:spacing w:line="570" w:lineRule="exact"/>
        <w:ind w:firstLine="643" w:firstLineChars="200"/>
        <w:rPr>
          <w:rFonts w:eastAsia="仿宋_GB2312" w:cs="仿宋"/>
          <w:sz w:val="32"/>
          <w:szCs w:val="32"/>
        </w:rPr>
      </w:pPr>
      <w:r>
        <w:rPr>
          <w:rFonts w:hint="eastAsia" w:eastAsia="楷体_GB2312"/>
          <w:b/>
          <w:bCs/>
          <w:sz w:val="32"/>
          <w:szCs w:val="32"/>
        </w:rPr>
        <w:t>数据要素红利逐步显现。</w:t>
      </w:r>
      <w:bookmarkEnd w:id="17"/>
      <w:bookmarkEnd w:id="18"/>
      <w:bookmarkStart w:id="19" w:name="_Hlk38486171"/>
      <w:r>
        <w:rPr>
          <w:rFonts w:hint="eastAsia" w:eastAsia="仿宋_GB2312" w:cs="仿宋"/>
          <w:sz w:val="32"/>
          <w:szCs w:val="32"/>
        </w:rPr>
        <w:t>建成国内领先的区级电子政务云平台，已有80余个业务系统在平台稳定运行。政务信息资源三级目录体系建设有序推进，依托区数据共享交换平台实现了社会保障、工商登记、社会信用等数据的深度整合，并与市数据资源中心</w:t>
      </w:r>
      <w:r>
        <w:rPr>
          <w:rFonts w:hint="eastAsia" w:eastAsia="仿宋_GB2312" w:cs="仿宋"/>
          <w:kern w:val="0"/>
          <w:sz w:val="32"/>
          <w:szCs w:val="32"/>
        </w:rPr>
        <w:t>实现</w:t>
      </w:r>
      <w:r>
        <w:rPr>
          <w:rFonts w:hint="eastAsia" w:eastAsia="仿宋_GB2312" w:cs="仿宋"/>
          <w:sz w:val="32"/>
          <w:szCs w:val="32"/>
        </w:rPr>
        <w:t>对接。初步形成“城市智慧大脑”“一个中心、三大平台、五大基础库、三大体系、三大专项、N个智慧应用”的总体架构。建成全区地理信息数据承载“一张图”，GIS平台已更新35万条兴趣点及地名地址数据，迁移100多个业务图层数据，并与市信息资源中心地图</w:t>
      </w:r>
      <w:r>
        <w:rPr>
          <w:rFonts w:hint="eastAsia" w:eastAsia="仿宋_GB2312" w:cs="仿宋"/>
          <w:kern w:val="0"/>
          <w:sz w:val="32"/>
          <w:szCs w:val="32"/>
        </w:rPr>
        <w:t>实现</w:t>
      </w:r>
      <w:r>
        <w:rPr>
          <w:rFonts w:hint="eastAsia" w:eastAsia="仿宋_GB2312" w:cs="仿宋"/>
          <w:sz w:val="32"/>
          <w:szCs w:val="32"/>
        </w:rPr>
        <w:t>对接，为20多个部门的专题应用提供了高性能和稳定的空间信息基础服务。</w:t>
      </w:r>
    </w:p>
    <w:bookmarkEnd w:id="19"/>
    <w:p>
      <w:pPr>
        <w:spacing w:line="570" w:lineRule="exact"/>
        <w:ind w:firstLine="643" w:firstLineChars="200"/>
        <w:rPr>
          <w:rFonts w:eastAsia="仿宋_GB2312" w:cs="仿宋"/>
          <w:sz w:val="32"/>
          <w:szCs w:val="32"/>
        </w:rPr>
      </w:pPr>
      <w:r>
        <w:rPr>
          <w:rFonts w:hint="eastAsia" w:eastAsia="楷体_GB2312"/>
          <w:b/>
          <w:bCs/>
          <w:sz w:val="32"/>
          <w:szCs w:val="32"/>
        </w:rPr>
        <w:t>城市治理更加现代智能。</w:t>
      </w:r>
      <w:r>
        <w:rPr>
          <w:rFonts w:hint="eastAsia" w:eastAsia="仿宋_GB2312"/>
          <w:sz w:val="32"/>
          <w:szCs w:val="32"/>
        </w:rPr>
        <w:t>运用大数据、物联网等技术手段，推动形成全区“多网融合”的网格化管理服务新格局</w:t>
      </w:r>
      <w:r>
        <w:rPr>
          <w:rFonts w:hint="eastAsia" w:eastAsia="仿宋_GB2312" w:cs="仿宋"/>
          <w:kern w:val="0"/>
          <w:sz w:val="32"/>
          <w:szCs w:val="32"/>
        </w:rPr>
        <w:t>。</w:t>
      </w:r>
      <w:r>
        <w:rPr>
          <w:rFonts w:eastAsia="仿宋_GB2312"/>
          <w:sz w:val="32"/>
          <w:szCs w:val="32"/>
        </w:rPr>
        <w:t>新建基层综合执法基础模块，</w:t>
      </w:r>
      <w:r>
        <w:rPr>
          <w:rFonts w:hint="eastAsia" w:eastAsia="仿宋_GB2312"/>
          <w:sz w:val="32"/>
          <w:szCs w:val="32"/>
        </w:rPr>
        <w:t>形成</w:t>
      </w:r>
      <w:r>
        <w:rPr>
          <w:rFonts w:eastAsia="仿宋_GB2312"/>
          <w:sz w:val="32"/>
          <w:szCs w:val="32"/>
        </w:rPr>
        <w:t>从</w:t>
      </w:r>
      <w:r>
        <w:rPr>
          <w:rFonts w:hint="eastAsia" w:eastAsia="仿宋_GB2312"/>
          <w:sz w:val="32"/>
          <w:szCs w:val="32"/>
        </w:rPr>
        <w:t>小区</w:t>
      </w:r>
      <w:r>
        <w:rPr>
          <w:rFonts w:eastAsia="仿宋_GB2312"/>
          <w:sz w:val="32"/>
          <w:szCs w:val="32"/>
        </w:rPr>
        <w:t>、社区（村）、街乡到区级的逐级处理反馈闭环体系，实现群众诉求收集全覆盖，大幅提升</w:t>
      </w:r>
      <w:r>
        <w:rPr>
          <w:rFonts w:hint="eastAsia" w:eastAsia="仿宋_GB2312"/>
          <w:sz w:val="32"/>
          <w:szCs w:val="32"/>
        </w:rPr>
        <w:t>“</w:t>
      </w:r>
      <w:r>
        <w:rPr>
          <w:rFonts w:eastAsia="仿宋_GB2312"/>
          <w:sz w:val="32"/>
          <w:szCs w:val="32"/>
        </w:rPr>
        <w:t>接诉即办、未诉先办</w:t>
      </w:r>
      <w:r>
        <w:rPr>
          <w:rFonts w:hint="eastAsia" w:eastAsia="仿宋_GB2312"/>
          <w:sz w:val="32"/>
          <w:szCs w:val="32"/>
        </w:rPr>
        <w:t>”</w:t>
      </w:r>
      <w:r>
        <w:rPr>
          <w:rFonts w:eastAsia="仿宋_GB2312"/>
          <w:sz w:val="32"/>
          <w:szCs w:val="32"/>
        </w:rPr>
        <w:t>效率。</w:t>
      </w:r>
      <w:r>
        <w:rPr>
          <w:rFonts w:hint="eastAsia" w:eastAsia="仿宋_GB2312" w:cs="仿宋"/>
          <w:sz w:val="32"/>
          <w:szCs w:val="32"/>
        </w:rPr>
        <w:t>汇集全区超过7000路视频监控信息并进行智能行为分析，依托区人口大数据服务、智慧物业管理、信用信息、舆情感知、群租房居住密度、市场疏解监测、地理信息公共服务等全区共性平台，实现了全区各类社会治理要素的标准化、可视化</w:t>
      </w:r>
      <w:r>
        <w:rPr>
          <w:rFonts w:hint="eastAsia" w:eastAsia="仿宋_GB2312" w:cs="仿宋"/>
          <w:kern w:val="0"/>
          <w:sz w:val="32"/>
          <w:szCs w:val="32"/>
        </w:rPr>
        <w:t>管理</w:t>
      </w:r>
      <w:r>
        <w:rPr>
          <w:rFonts w:hint="eastAsia" w:eastAsia="仿宋_GB2312" w:cs="仿宋"/>
          <w:sz w:val="32"/>
          <w:szCs w:val="32"/>
        </w:rPr>
        <w:t>，</w:t>
      </w:r>
      <w:r>
        <w:rPr>
          <w:rFonts w:hint="eastAsia" w:eastAsia="仿宋_GB2312" w:cs="仿宋"/>
          <w:kern w:val="0"/>
          <w:sz w:val="32"/>
          <w:szCs w:val="32"/>
        </w:rPr>
        <w:t>社会运行态势的全天候、全方位感知，有力支撑了</w:t>
      </w:r>
      <w:r>
        <w:rPr>
          <w:rFonts w:hint="eastAsia" w:eastAsia="仿宋_GB2312" w:cs="仿宋"/>
          <w:sz w:val="32"/>
          <w:szCs w:val="32"/>
        </w:rPr>
        <w:t>全区基层社会治理向“智理”转变。</w:t>
      </w:r>
    </w:p>
    <w:p>
      <w:pPr>
        <w:spacing w:line="570" w:lineRule="exact"/>
        <w:ind w:firstLine="643" w:firstLineChars="200"/>
        <w:rPr>
          <w:rFonts w:eastAsia="仿宋_GB2312" w:cs="仿宋"/>
          <w:sz w:val="32"/>
          <w:szCs w:val="32"/>
        </w:rPr>
      </w:pPr>
      <w:r>
        <w:rPr>
          <w:rFonts w:hint="eastAsia" w:eastAsia="楷体_GB2312"/>
          <w:b/>
          <w:bCs/>
          <w:sz w:val="32"/>
          <w:szCs w:val="32"/>
        </w:rPr>
        <w:t>公共服务供给特色凸显。</w:t>
      </w:r>
      <w:r>
        <w:rPr>
          <w:rFonts w:hint="eastAsia" w:eastAsia="仿宋_GB2312" w:cs="仿宋"/>
          <w:sz w:val="32"/>
          <w:szCs w:val="32"/>
        </w:rPr>
        <w:t>建成“1+3+N”的“全网通”一体化政务服务平台，1685个区级事项全部实现网上可办，政务服务大厅实现“一事一号一次办”。建成社区公共服务综合信息平台，区级公共服务事项下沉到街（乡）、社区（村）。养老服务综合信息平台实现对所有户籍老人基本信息、10.3万名老人需求信息和2000余家服务商的动态管理。“一刻钟社区服务圈”智能升级，引入智能快递、再回收机等各类便民智能终端1800处，建成（改造）各类生活性便民服务业网点</w:t>
      </w:r>
      <w:r>
        <w:rPr>
          <w:rFonts w:eastAsia="仿宋_GB2312" w:cs="仿宋"/>
          <w:sz w:val="32"/>
          <w:szCs w:val="32"/>
        </w:rPr>
        <w:t>800</w:t>
      </w:r>
      <w:r>
        <w:rPr>
          <w:rFonts w:hint="eastAsia" w:eastAsia="仿宋_GB2312" w:cs="仿宋"/>
          <w:sz w:val="32"/>
          <w:szCs w:val="32"/>
        </w:rPr>
        <w:t>余处。</w:t>
      </w:r>
      <w:r>
        <w:rPr>
          <w:rFonts w:hint="eastAsia" w:eastAsia="仿宋_GB2312" w:cs="仿宋"/>
          <w:kern w:val="0"/>
          <w:sz w:val="32"/>
          <w:szCs w:val="32"/>
        </w:rPr>
        <w:t>通过“朝阳e学习”APP客户端共享社区教育资源</w:t>
      </w:r>
      <w:r>
        <w:rPr>
          <w:rFonts w:hint="eastAsia" w:eastAsia="仿宋_GB2312" w:cs="仿宋"/>
          <w:sz w:val="32"/>
          <w:szCs w:val="32"/>
        </w:rPr>
        <w:t>，朝阳区教育资源云平台实现中小职全学段、全学科、全体师生“三个全覆盖”。多家医院在疫情期间启用新冠肺炎远程会诊云平台，朝阳医院利用5G技术与武汉协和医院西院区实现远程病理讨论，双桥医院部署5G+AI语音电梯助力医院实现免接触接诊。</w:t>
      </w:r>
    </w:p>
    <w:p>
      <w:pPr>
        <w:widowControl/>
        <w:spacing w:line="570" w:lineRule="exact"/>
        <w:ind w:firstLine="643" w:firstLineChars="200"/>
        <w:rPr>
          <w:rFonts w:eastAsia="仿宋_GB2312" w:cs="仿宋"/>
          <w:sz w:val="32"/>
          <w:szCs w:val="32"/>
        </w:rPr>
      </w:pPr>
      <w:r>
        <w:rPr>
          <w:rFonts w:hint="eastAsia" w:eastAsia="楷体_GB2312"/>
          <w:b/>
          <w:bCs/>
          <w:sz w:val="32"/>
          <w:szCs w:val="32"/>
        </w:rPr>
        <w:t>经济发展愈益高端协调。</w:t>
      </w:r>
      <w:bookmarkStart w:id="20" w:name="_Toc38274978"/>
      <w:bookmarkStart w:id="21" w:name="_Toc462757503"/>
      <w:r>
        <w:rPr>
          <w:rFonts w:hint="eastAsia" w:eastAsia="仿宋_GB2312"/>
          <w:sz w:val="32"/>
          <w:szCs w:val="32"/>
        </w:rPr>
        <w:t>“十三五”期间信息传输、软件和信息服务业及科学研究和技术服务业营业收入年均增速分别达到31.9%</w:t>
      </w:r>
      <w:r>
        <w:rPr>
          <w:rFonts w:eastAsia="仿宋_GB2312"/>
          <w:sz w:val="32"/>
          <w:szCs w:val="32"/>
        </w:rPr>
        <w:t>和10.5%，增加值合计占全区比重达到21.0%，</w:t>
      </w:r>
      <w:r>
        <w:rPr>
          <w:rFonts w:hint="eastAsia" w:eastAsia="仿宋_GB2312"/>
          <w:sz w:val="32"/>
          <w:szCs w:val="32"/>
        </w:rPr>
        <w:t>比“十二五”末提高</w:t>
      </w:r>
      <w:r>
        <w:rPr>
          <w:rFonts w:eastAsia="仿宋_GB2312"/>
          <w:sz w:val="32"/>
          <w:szCs w:val="32"/>
        </w:rPr>
        <w:t>7.3个百分点。</w:t>
      </w:r>
      <w:r>
        <w:rPr>
          <w:rFonts w:hint="eastAsia" w:eastAsia="仿宋_GB2312" w:cs="仿宋"/>
          <w:sz w:val="32"/>
          <w:szCs w:val="32"/>
        </w:rPr>
        <w:t>建成国内首个同时拥有三大运营商、主要5G行业资源和应用资源的5G创新生态示范区和全国首个5G公共开放试验平台</w:t>
      </w:r>
      <w:r>
        <w:rPr>
          <w:rFonts w:hint="eastAsia" w:eastAsia="仿宋_GB2312" w:cs="仿宋"/>
          <w:bCs/>
          <w:sz w:val="32"/>
          <w:szCs w:val="32"/>
        </w:rPr>
        <w:t>。</w:t>
      </w:r>
      <w:r>
        <w:rPr>
          <w:rFonts w:hint="eastAsia" w:eastAsia="仿宋_GB2312" w:cs="仿宋"/>
          <w:sz w:val="32"/>
          <w:szCs w:val="32"/>
        </w:rPr>
        <w:t>人工智能+医疗影像、大数据健康管理平台等新业态、新模式不断涌现，成为区域发展的新增长极。数字内容、移动新媒体、电子竞技等科技含量高、创意程度高、附加值高的文化核心领域“十三五”末收入达到</w:t>
      </w:r>
      <w:r>
        <w:rPr>
          <w:rFonts w:eastAsia="仿宋_GB2312" w:cs="仿宋"/>
          <w:sz w:val="32"/>
          <w:szCs w:val="32"/>
        </w:rPr>
        <w:t>1684.0</w:t>
      </w:r>
      <w:r>
        <w:rPr>
          <w:rFonts w:hint="eastAsia" w:eastAsia="仿宋_GB2312" w:cs="仿宋"/>
          <w:sz w:val="32"/>
          <w:szCs w:val="32"/>
        </w:rPr>
        <w:t>亿元，占全区文化产业收入的</w:t>
      </w:r>
      <w:r>
        <w:rPr>
          <w:rFonts w:eastAsia="仿宋_GB2312" w:cs="仿宋"/>
          <w:sz w:val="32"/>
          <w:szCs w:val="32"/>
        </w:rPr>
        <w:t>77.2</w:t>
      </w:r>
      <w:r>
        <w:rPr>
          <w:rFonts w:hint="eastAsia" w:eastAsia="仿宋_GB2312" w:cs="仿宋"/>
          <w:sz w:val="32"/>
          <w:szCs w:val="32"/>
        </w:rPr>
        <w:t>%。</w:t>
      </w:r>
    </w:p>
    <w:p>
      <w:pPr>
        <w:widowControl/>
        <w:spacing w:line="570" w:lineRule="exact"/>
        <w:ind w:firstLine="643" w:firstLineChars="200"/>
        <w:rPr>
          <w:rFonts w:eastAsia="仿宋_GB2312"/>
          <w:sz w:val="32"/>
          <w:szCs w:val="32"/>
        </w:rPr>
      </w:pPr>
      <w:r>
        <w:rPr>
          <w:rFonts w:hint="eastAsia" w:eastAsia="楷体_GB2312"/>
          <w:b/>
          <w:bCs/>
          <w:sz w:val="32"/>
          <w:szCs w:val="32"/>
        </w:rPr>
        <w:t>信息化体制机制更加健全</w:t>
      </w:r>
      <w:bookmarkEnd w:id="20"/>
      <w:bookmarkEnd w:id="21"/>
      <w:r>
        <w:rPr>
          <w:rFonts w:hint="eastAsia" w:eastAsia="楷体_GB2312"/>
          <w:b/>
          <w:bCs/>
          <w:sz w:val="32"/>
          <w:szCs w:val="32"/>
        </w:rPr>
        <w:t>。</w:t>
      </w:r>
      <w:r>
        <w:rPr>
          <w:rFonts w:hint="eastAsia" w:eastAsia="仿宋_GB2312" w:cs="仿宋"/>
          <w:sz w:val="32"/>
          <w:szCs w:val="32"/>
        </w:rPr>
        <w:t>政策体系和标准规范不断丰富，完善基础设施建设运维、网络与信息安全、政务信息资源开放共享、专项政务平台、公共服务系统5个方面30项管理办法和技术规范。“城市智慧大脑”</w:t>
      </w:r>
      <w:r>
        <w:rPr>
          <w:rFonts w:eastAsia="仿宋_GB2312" w:cs="仿宋"/>
          <w:sz w:val="32"/>
          <w:szCs w:val="32"/>
        </w:rPr>
        <w:t>专班</w:t>
      </w:r>
      <w:r>
        <w:rPr>
          <w:rFonts w:hint="eastAsia" w:eastAsia="仿宋_GB2312" w:cs="仿宋"/>
          <w:sz w:val="32"/>
          <w:szCs w:val="32"/>
        </w:rPr>
        <w:t>正式组建，联合协同驻区企业共同推动“城市智慧大脑”建设。建成网络安全态势感知平台，实现海量数据存储、数据深度分析挖掘。建立了信息系统安全检查机制、审核机制、定期进行漏洞扫描机制、信息安全事件处置机制和监控预警定期通报机制，全区“十三五”时期未发生重大信息安全事件。网络信息安全管理体系建设成效显著，创新利用机器人宣传网络安全，得到市级媒体的大力宣传报道。</w:t>
      </w:r>
    </w:p>
    <w:p>
      <w:pPr>
        <w:keepNext/>
        <w:keepLines/>
        <w:spacing w:line="570" w:lineRule="exact"/>
        <w:ind w:firstLine="640" w:firstLineChars="200"/>
        <w:jc w:val="left"/>
        <w:outlineLvl w:val="0"/>
        <w:rPr>
          <w:rFonts w:eastAsia="黑体"/>
          <w:bCs/>
          <w:kern w:val="44"/>
          <w:sz w:val="32"/>
          <w:szCs w:val="44"/>
        </w:rPr>
      </w:pPr>
      <w:bookmarkStart w:id="22" w:name="_Toc79136124"/>
      <w:bookmarkStart w:id="23" w:name="_Toc78985224"/>
      <w:bookmarkStart w:id="24" w:name="_Toc79136595"/>
      <w:bookmarkStart w:id="25" w:name="_Toc462757492"/>
      <w:r>
        <w:rPr>
          <w:rFonts w:hint="eastAsia" w:eastAsia="黑体"/>
          <w:bCs/>
          <w:kern w:val="44"/>
          <w:sz w:val="32"/>
          <w:szCs w:val="44"/>
        </w:rPr>
        <w:t>二</w:t>
      </w:r>
      <w:r>
        <w:rPr>
          <w:rFonts w:eastAsia="黑体"/>
          <w:bCs/>
          <w:kern w:val="44"/>
          <w:sz w:val="32"/>
          <w:szCs w:val="44"/>
        </w:rPr>
        <w:t>、</w:t>
      </w:r>
      <w:r>
        <w:rPr>
          <w:rFonts w:hint="eastAsia" w:eastAsia="黑体"/>
          <w:bCs/>
          <w:kern w:val="44"/>
          <w:sz w:val="32"/>
          <w:szCs w:val="44"/>
        </w:rPr>
        <w:t>“十四五”发展环境</w:t>
      </w:r>
      <w:bookmarkEnd w:id="22"/>
      <w:bookmarkEnd w:id="23"/>
      <w:bookmarkEnd w:id="24"/>
    </w:p>
    <w:bookmarkEnd w:id="25"/>
    <w:p>
      <w:pPr>
        <w:spacing w:line="570" w:lineRule="exact"/>
        <w:ind w:firstLine="643" w:firstLineChars="200"/>
        <w:rPr>
          <w:rFonts w:eastAsia="仿宋_GB2312"/>
          <w:sz w:val="32"/>
          <w:szCs w:val="32"/>
        </w:rPr>
      </w:pPr>
      <w:bookmarkStart w:id="26" w:name="_Hlk47959559"/>
      <w:r>
        <w:rPr>
          <w:rFonts w:hint="eastAsia" w:eastAsia="楷体_GB2312"/>
          <w:b/>
          <w:bCs/>
          <w:sz w:val="32"/>
          <w:szCs w:val="32"/>
        </w:rPr>
        <w:t>信息技术变革为朝阳区智慧城市发展提供新动力。</w:t>
      </w:r>
      <w:r>
        <w:rPr>
          <w:rFonts w:hint="eastAsia" w:eastAsia="仿宋_GB2312"/>
          <w:sz w:val="32"/>
          <w:szCs w:val="32"/>
        </w:rPr>
        <w:t>当前，物联网、云计算、大数据、移动互联网、5G、区块链等新一代信息技术迅猛发展，新型基础设施和新一代信息技术支撑的新消费、新场景成为撬动经济社会发展的新引擎，正在推动生产方式、生活方式和政府治理模式发生前所未有的深刻变革。朝阳区应积极抢抓新一轮信息技术变革带来的新机遇，以数据要素流动带动资金流、物质流、人才流，发挥“双循环”交汇点优势，强化国际国内资源要素配置枢纽功能。通过智慧城市建设推进基础设施建设、数据开放共享、重点场景应用等方面创新，可更加充分发挥信息化的核心引领作用，驱动“四化”互促共进、融合发展，带动朝阳区经济社会实现跨越式发展，实现“稳增长、调结构、促转型”。</w:t>
      </w:r>
      <w:bookmarkEnd w:id="26"/>
    </w:p>
    <w:p>
      <w:pPr>
        <w:spacing w:line="570" w:lineRule="exact"/>
        <w:ind w:firstLine="643" w:firstLineChars="200"/>
        <w:rPr>
          <w:rFonts w:eastAsia="仿宋_GB2312"/>
          <w:sz w:val="32"/>
          <w:szCs w:val="32"/>
        </w:rPr>
      </w:pPr>
      <w:r>
        <w:rPr>
          <w:rFonts w:hint="eastAsia" w:eastAsia="楷体_GB2312"/>
          <w:b/>
          <w:bCs/>
          <w:sz w:val="32"/>
          <w:szCs w:val="32"/>
        </w:rPr>
        <w:t>城市发展定位对朝阳区智慧城市提出新要求。</w:t>
      </w:r>
      <w:r>
        <w:rPr>
          <w:rFonts w:hint="eastAsia" w:eastAsia="仿宋_GB2312"/>
          <w:sz w:val="32"/>
          <w:szCs w:val="32"/>
        </w:rPr>
        <w:t>随着新版《北京城市总体规划》深入实施和首都“四个中心”功能建设、“四个服务”水平提升深入推进，以及城市副中心、“三城一区”、南部地区等区域建设加快推进，朝阳区面临着比较优势逐渐弱化的巨大挑战，亟需紧抓国家服务业扩大开放综合示范区和中国（北京）自由贸易试验区国际商务服务片区建设契机，在承载首都功能、服务首都大局的基础上寻找增强竞争力的突破口，做好发展转型攻坚。同时，京津冀协同发展战略纵深推进对朝阳区提出了</w:t>
      </w:r>
      <w:r>
        <w:rPr>
          <w:rFonts w:eastAsia="仿宋_GB2312"/>
          <w:sz w:val="32"/>
          <w:szCs w:val="32"/>
        </w:rPr>
        <w:t>产业结构调整和经济增长方式创新布局的新要求</w:t>
      </w:r>
      <w:r>
        <w:rPr>
          <w:rFonts w:hint="eastAsia" w:eastAsia="仿宋_GB2312"/>
          <w:sz w:val="32"/>
          <w:szCs w:val="32"/>
        </w:rPr>
        <w:t>，朝阳区亟需依托智慧城市建设优化营商环境、推动产业协同创新，提升C</w:t>
      </w:r>
      <w:r>
        <w:rPr>
          <w:rFonts w:eastAsia="仿宋_GB2312"/>
          <w:sz w:val="32"/>
          <w:szCs w:val="32"/>
        </w:rPr>
        <w:t>BD</w:t>
      </w:r>
      <w:r>
        <w:rPr>
          <w:rFonts w:hint="eastAsia" w:eastAsia="仿宋_GB2312"/>
          <w:sz w:val="32"/>
          <w:szCs w:val="32"/>
        </w:rPr>
        <w:t>、中关村朝阳园、奥林匹克中心区、金盏国际合作服务区、国家文创试验区等特色节点的发展能级。</w:t>
      </w:r>
    </w:p>
    <w:p>
      <w:pPr>
        <w:spacing w:line="570" w:lineRule="exact"/>
        <w:ind w:firstLine="643" w:firstLineChars="200"/>
        <w:rPr>
          <w:rFonts w:eastAsia="仿宋_GB2312"/>
          <w:sz w:val="32"/>
          <w:szCs w:val="32"/>
        </w:rPr>
      </w:pPr>
      <w:r>
        <w:rPr>
          <w:rFonts w:hint="eastAsia" w:eastAsia="楷体_GB2312"/>
          <w:b/>
          <w:bCs/>
          <w:sz w:val="32"/>
          <w:szCs w:val="32"/>
        </w:rPr>
        <w:t>城市治理需求为朝阳区智慧城市带来新挑战。</w:t>
      </w:r>
      <w:r>
        <w:rPr>
          <w:rFonts w:hint="eastAsia" w:eastAsia="仿宋_GB2312"/>
          <w:sz w:val="32"/>
          <w:szCs w:val="32"/>
        </w:rPr>
        <w:t>朝阳区是超大城市中心城区和高密度、高流量、多元化的人口大区，也是</w:t>
      </w:r>
      <w:r>
        <w:rPr>
          <w:rFonts w:hint="eastAsia" w:eastAsia="仿宋_GB2312"/>
          <w:kern w:val="0"/>
          <w:sz w:val="32"/>
          <w:szCs w:val="32"/>
        </w:rPr>
        <w:t>首都功能的重要承载区和国际交往的重要窗口</w:t>
      </w:r>
      <w:r>
        <w:rPr>
          <w:rFonts w:hint="eastAsia" w:eastAsia="仿宋_GB2312"/>
          <w:sz w:val="32"/>
          <w:szCs w:val="32"/>
        </w:rPr>
        <w:t>，承载冬奥会举办、第四使馆区建设、金盏国际合作服务区建设等关键任务。随着城市治理问题的日益复杂和人民群众美好生活需求的逐步提升，朝阳区需对标“七有”“五性”要求提高社会民生事业服务水平，积极推进治理体系与治理能力现代化，进一步增强后疫情时代应对重大公共卫生等突发事件的保障机制。朝阳区需以弥补城市运行短板、破解“大城市病”问题为导向，推进新一代信息技术与经济社会深度融合发展，依托“城市智慧大脑”运用智慧化手段在城市治理、民生服务、产业发展等多种场景开展敏捷高效、平战结合、具有朝阳特色的大数据创新应用实践。</w:t>
      </w:r>
    </w:p>
    <w:p>
      <w:pPr>
        <w:keepNext/>
        <w:keepLines/>
        <w:spacing w:line="570" w:lineRule="exact"/>
        <w:ind w:firstLine="640" w:firstLineChars="200"/>
        <w:jc w:val="left"/>
        <w:outlineLvl w:val="0"/>
        <w:rPr>
          <w:rFonts w:eastAsia="黑体"/>
          <w:bCs/>
          <w:kern w:val="44"/>
          <w:sz w:val="32"/>
          <w:szCs w:val="44"/>
        </w:rPr>
      </w:pPr>
      <w:bookmarkStart w:id="27" w:name="_Toc79136596"/>
      <w:bookmarkStart w:id="28" w:name="_Toc78985225"/>
      <w:bookmarkStart w:id="29" w:name="_Toc79136125"/>
      <w:bookmarkStart w:id="30" w:name="_Toc462757493"/>
      <w:r>
        <w:rPr>
          <w:rFonts w:hint="eastAsia" w:eastAsia="黑体"/>
          <w:bCs/>
          <w:kern w:val="44"/>
          <w:sz w:val="32"/>
          <w:szCs w:val="44"/>
        </w:rPr>
        <w:t>三</w:t>
      </w:r>
      <w:r>
        <w:rPr>
          <w:rFonts w:eastAsia="黑体"/>
          <w:bCs/>
          <w:kern w:val="44"/>
          <w:sz w:val="32"/>
          <w:szCs w:val="44"/>
        </w:rPr>
        <w:t>、指导思想、基本原则和发展目标</w:t>
      </w:r>
      <w:bookmarkEnd w:id="27"/>
      <w:bookmarkEnd w:id="28"/>
      <w:bookmarkEnd w:id="29"/>
      <w:bookmarkEnd w:id="30"/>
    </w:p>
    <w:p>
      <w:pPr>
        <w:keepNext/>
        <w:keepLines/>
        <w:spacing w:line="570" w:lineRule="exact"/>
        <w:ind w:firstLine="643" w:firstLineChars="200"/>
        <w:outlineLvl w:val="1"/>
        <w:rPr>
          <w:rFonts w:eastAsia="楷体_GB2312"/>
          <w:b/>
          <w:bCs/>
          <w:sz w:val="32"/>
          <w:szCs w:val="32"/>
        </w:rPr>
      </w:pPr>
      <w:bookmarkStart w:id="31" w:name="_Toc462757494"/>
      <w:bookmarkStart w:id="32" w:name="_Toc79136597"/>
      <w:bookmarkStart w:id="33" w:name="_Toc79136126"/>
      <w:bookmarkStart w:id="34" w:name="_Toc78985226"/>
      <w:r>
        <w:rPr>
          <w:rFonts w:eastAsia="楷体_GB2312"/>
          <w:b/>
          <w:bCs/>
          <w:sz w:val="32"/>
          <w:szCs w:val="32"/>
        </w:rPr>
        <w:t>（一）指导思想</w:t>
      </w:r>
      <w:bookmarkEnd w:id="31"/>
      <w:bookmarkEnd w:id="32"/>
      <w:bookmarkEnd w:id="33"/>
      <w:bookmarkEnd w:id="34"/>
    </w:p>
    <w:p>
      <w:pPr>
        <w:spacing w:line="570" w:lineRule="exact"/>
        <w:ind w:firstLine="640" w:firstLineChars="200"/>
        <w:rPr>
          <w:rFonts w:eastAsia="仿宋_GB2312"/>
          <w:sz w:val="32"/>
          <w:szCs w:val="32"/>
        </w:rPr>
      </w:pPr>
      <w:bookmarkStart w:id="35" w:name="_Toc462757495"/>
      <w:r>
        <w:rPr>
          <w:rFonts w:hint="eastAsia" w:eastAsia="仿宋_GB2312"/>
          <w:sz w:val="32"/>
          <w:szCs w:val="32"/>
        </w:rPr>
        <w:t>坚持以习近平新时代中国特色社会主义思想为指导，</w:t>
      </w:r>
      <w:r>
        <w:rPr>
          <w:rFonts w:eastAsia="仿宋_GB2312"/>
          <w:sz w:val="32"/>
          <w:szCs w:val="32"/>
        </w:rPr>
        <w:t>深入贯彻党的</w:t>
      </w:r>
      <w:r>
        <w:rPr>
          <w:rFonts w:hint="eastAsia" w:eastAsia="仿宋_GB2312"/>
          <w:sz w:val="32"/>
          <w:szCs w:val="32"/>
        </w:rPr>
        <w:t>十九</w:t>
      </w:r>
      <w:r>
        <w:rPr>
          <w:rFonts w:eastAsia="仿宋_GB2312"/>
          <w:sz w:val="32"/>
          <w:szCs w:val="32"/>
        </w:rPr>
        <w:t>大</w:t>
      </w:r>
      <w:r>
        <w:rPr>
          <w:rFonts w:hint="eastAsia" w:eastAsia="仿宋_GB2312"/>
          <w:sz w:val="32"/>
          <w:szCs w:val="32"/>
        </w:rPr>
        <w:t>和十九届二中、三中、四中、五中全会精神，全面落实</w:t>
      </w:r>
      <w:r>
        <w:rPr>
          <w:rFonts w:eastAsia="仿宋_GB2312"/>
          <w:sz w:val="32"/>
          <w:szCs w:val="32"/>
        </w:rPr>
        <w:t>习总书记系列重要讲话</w:t>
      </w:r>
      <w:r>
        <w:rPr>
          <w:rFonts w:hint="eastAsia" w:eastAsia="仿宋_GB2312"/>
          <w:sz w:val="32"/>
          <w:szCs w:val="32"/>
        </w:rPr>
        <w:t>和对北京重要指示</w:t>
      </w:r>
      <w:r>
        <w:rPr>
          <w:rFonts w:eastAsia="仿宋_GB2312"/>
          <w:sz w:val="32"/>
          <w:szCs w:val="32"/>
        </w:rPr>
        <w:t>精神，</w:t>
      </w:r>
      <w:r>
        <w:rPr>
          <w:rFonts w:hint="eastAsia" w:eastAsia="仿宋_GB2312"/>
          <w:sz w:val="32"/>
          <w:szCs w:val="32"/>
        </w:rPr>
        <w:t>紧紧围绕“四个贯彻始终”，落实首都“四个中心”战略定位，聚焦“三化”方向、对标“四区”</w:t>
      </w:r>
      <w:r>
        <w:rPr>
          <w:rFonts w:eastAsia="仿宋_GB2312"/>
          <w:sz w:val="32"/>
          <w:szCs w:val="32"/>
        </w:rPr>
        <w:t>目标</w:t>
      </w:r>
      <w:r>
        <w:rPr>
          <w:rFonts w:hint="eastAsia" w:eastAsia="仿宋_GB2312"/>
          <w:sz w:val="32"/>
          <w:szCs w:val="32"/>
        </w:rPr>
        <w:t>、实施“双五”</w:t>
      </w:r>
      <w:r>
        <w:rPr>
          <w:rFonts w:eastAsia="仿宋_GB2312"/>
          <w:sz w:val="32"/>
          <w:szCs w:val="32"/>
        </w:rPr>
        <w:t>工程</w:t>
      </w:r>
      <w:r>
        <w:rPr>
          <w:rFonts w:hint="eastAsia" w:eastAsia="仿宋_GB2312"/>
          <w:sz w:val="32"/>
          <w:szCs w:val="32"/>
        </w:rPr>
        <w:t>，与朝阳区“十四五”时期科技创新发展规划同频</w:t>
      </w:r>
      <w:r>
        <w:rPr>
          <w:rFonts w:eastAsia="仿宋_GB2312"/>
          <w:sz w:val="32"/>
          <w:szCs w:val="32"/>
        </w:rPr>
        <w:t>共振</w:t>
      </w:r>
      <w:r>
        <w:rPr>
          <w:rFonts w:hint="eastAsia" w:eastAsia="仿宋_GB2312"/>
          <w:sz w:val="32"/>
          <w:szCs w:val="32"/>
        </w:rPr>
        <w:t>，推动新一代信息技术与经济社会发展深度融合，以新型基础设施为牵引，以数据要素为核心，以城市智慧大脑为枢纽，以应用场景为突破，对既有智慧城市建设成果整合、优化、提升，打造协同高效的数字政府，构建便捷惠民的数字社会，培育繁荣创新的数字经济，打造超大城市中心城区现代化治理样本。</w:t>
      </w:r>
    </w:p>
    <w:p>
      <w:pPr>
        <w:keepNext/>
        <w:keepLines/>
        <w:spacing w:line="570" w:lineRule="exact"/>
        <w:ind w:firstLine="643" w:firstLineChars="200"/>
        <w:outlineLvl w:val="1"/>
        <w:rPr>
          <w:rFonts w:eastAsia="楷体_GB2312"/>
          <w:b/>
          <w:bCs/>
          <w:sz w:val="32"/>
          <w:szCs w:val="32"/>
        </w:rPr>
      </w:pPr>
      <w:bookmarkStart w:id="36" w:name="_Toc78985227"/>
      <w:bookmarkStart w:id="37" w:name="_Toc79136127"/>
      <w:bookmarkStart w:id="38" w:name="_Toc79136598"/>
      <w:r>
        <w:rPr>
          <w:rFonts w:eastAsia="楷体_GB2312"/>
          <w:b/>
          <w:bCs/>
          <w:sz w:val="32"/>
          <w:szCs w:val="32"/>
        </w:rPr>
        <w:t>（</w:t>
      </w:r>
      <w:r>
        <w:rPr>
          <w:rFonts w:hint="eastAsia" w:eastAsia="楷体_GB2312"/>
          <w:b/>
          <w:bCs/>
          <w:sz w:val="32"/>
          <w:szCs w:val="32"/>
        </w:rPr>
        <w:t>二</w:t>
      </w:r>
      <w:r>
        <w:rPr>
          <w:rFonts w:eastAsia="楷体_GB2312"/>
          <w:b/>
          <w:bCs/>
          <w:sz w:val="32"/>
          <w:szCs w:val="32"/>
        </w:rPr>
        <w:t>）</w:t>
      </w:r>
      <w:r>
        <w:rPr>
          <w:rFonts w:hint="eastAsia" w:eastAsia="楷体_GB2312"/>
          <w:b/>
          <w:bCs/>
          <w:sz w:val="32"/>
          <w:szCs w:val="32"/>
        </w:rPr>
        <w:t>战略定位</w:t>
      </w:r>
      <w:bookmarkEnd w:id="36"/>
      <w:bookmarkEnd w:id="37"/>
      <w:bookmarkEnd w:id="38"/>
    </w:p>
    <w:p>
      <w:pPr>
        <w:spacing w:line="570" w:lineRule="exact"/>
        <w:ind w:firstLine="643" w:firstLineChars="200"/>
        <w:rPr>
          <w:rFonts w:eastAsia="仿宋_GB2312"/>
          <w:sz w:val="32"/>
          <w:szCs w:val="32"/>
        </w:rPr>
      </w:pPr>
      <w:r>
        <w:rPr>
          <w:rFonts w:hint="eastAsia" w:eastAsia="楷体_GB2312"/>
          <w:b/>
          <w:bCs/>
          <w:sz w:val="32"/>
          <w:szCs w:val="32"/>
        </w:rPr>
        <w:t>智能技术点亮场景先行区。</w:t>
      </w:r>
      <w:r>
        <w:rPr>
          <w:rFonts w:hint="eastAsia" w:eastAsia="仿宋_GB2312"/>
          <w:sz w:val="32"/>
          <w:szCs w:val="32"/>
        </w:rPr>
        <w:t>将场景创新与新型基础设施建设和数字经济发展深度融合，引导人工智能、5G、物联网、大数据、区块链等技术在新型消费、“科技冬奥”、智慧公园、“两区”建设等特色场景中率先落地，形成以“技术牵引+场景驱动”创造新供给、激发新需求、培育新动能的朝阳模式。</w:t>
      </w:r>
    </w:p>
    <w:p>
      <w:pPr>
        <w:spacing w:line="570" w:lineRule="exact"/>
        <w:ind w:firstLine="643" w:firstLineChars="200"/>
        <w:rPr>
          <w:rFonts w:eastAsia="仿宋_GB2312"/>
          <w:sz w:val="32"/>
          <w:szCs w:val="32"/>
        </w:rPr>
      </w:pPr>
      <w:r>
        <w:rPr>
          <w:rFonts w:hint="eastAsia" w:eastAsia="楷体_GB2312"/>
          <w:b/>
          <w:bCs/>
          <w:sz w:val="32"/>
          <w:szCs w:val="32"/>
        </w:rPr>
        <w:t>智慧大脑赋能治理标杆区。</w:t>
      </w:r>
      <w:r>
        <w:rPr>
          <w:rFonts w:hint="eastAsia" w:eastAsia="仿宋_GB2312"/>
          <w:sz w:val="32"/>
          <w:szCs w:val="32"/>
        </w:rPr>
        <w:t>以建设“城市智慧大脑”为主要抓手，积极推进数据“聚通用管”，集约建设共性基础平台，升级治理理念、治理方式和治理手段，实现城市运行一网统管、产业发展一网支撑、安全管理一网统筹，打造新一代信息技术全面赋能治理体系和治理能力现代化建设的朝阳标杆。</w:t>
      </w:r>
    </w:p>
    <w:p>
      <w:pPr>
        <w:spacing w:line="570" w:lineRule="exact"/>
        <w:ind w:firstLine="643" w:firstLineChars="200"/>
        <w:rPr>
          <w:rFonts w:eastAsia="仿宋_GB2312"/>
          <w:kern w:val="0"/>
          <w:sz w:val="32"/>
          <w:szCs w:val="32"/>
        </w:rPr>
      </w:pPr>
      <w:r>
        <w:rPr>
          <w:rFonts w:hint="eastAsia" w:eastAsia="楷体_GB2312"/>
          <w:b/>
          <w:bCs/>
          <w:sz w:val="32"/>
          <w:szCs w:val="32"/>
        </w:rPr>
        <w:t>数字产业融合发展领先区。</w:t>
      </w:r>
      <w:r>
        <w:rPr>
          <w:rFonts w:hint="eastAsia" w:eastAsia="仿宋_GB2312"/>
          <w:sz w:val="32"/>
          <w:szCs w:val="32"/>
        </w:rPr>
        <w:t>立足功能定位与特色优势，高水平推进“两区”建设，</w:t>
      </w:r>
      <w:r>
        <w:rPr>
          <w:rFonts w:hint="eastAsia" w:eastAsia="仿宋_GB2312"/>
          <w:kern w:val="0"/>
          <w:sz w:val="32"/>
          <w:szCs w:val="32"/>
        </w:rPr>
        <w:t>强化技术链、产业链、创新链高效协同，在重点功能区聚焦信创、人工智能、数字贸易、数字文创等领域提升核心竞争力，营造有利于区域协同和对外开放的环境，构筑以数字经济打造国内国际双循环交汇点的朝阳格局。</w:t>
      </w:r>
    </w:p>
    <w:p>
      <w:pPr>
        <w:spacing w:line="570" w:lineRule="exact"/>
        <w:ind w:firstLine="643" w:firstLineChars="200"/>
        <w:rPr>
          <w:rFonts w:eastAsia="仿宋_GB2312"/>
          <w:sz w:val="32"/>
          <w:szCs w:val="32"/>
        </w:rPr>
      </w:pPr>
      <w:r>
        <w:rPr>
          <w:rFonts w:hint="eastAsia" w:eastAsia="楷体_GB2312"/>
          <w:b/>
          <w:bCs/>
          <w:sz w:val="32"/>
          <w:szCs w:val="32"/>
        </w:rPr>
        <w:t>数字生活创新应用示范区。</w:t>
      </w:r>
      <w:r>
        <w:rPr>
          <w:rFonts w:hint="eastAsia" w:eastAsia="仿宋_GB2312"/>
          <w:sz w:val="32"/>
          <w:szCs w:val="32"/>
        </w:rPr>
        <w:t>落实以人民为中心的发展理念，补齐公共服务短板，持续丰富政务服务、教育、社会保障、医疗、养老、社区、文化旅游等智慧化服务，优化人居环境，增进民生福祉，提升生活品质，创建以智慧应用为切入点营造均等、普惠、便捷、安全生活环境的朝阳示范。</w:t>
      </w:r>
    </w:p>
    <w:p>
      <w:pPr>
        <w:keepNext/>
        <w:keepLines/>
        <w:spacing w:line="570" w:lineRule="exact"/>
        <w:ind w:firstLine="643" w:firstLineChars="200"/>
        <w:outlineLvl w:val="1"/>
        <w:rPr>
          <w:rFonts w:eastAsia="楷体_GB2312"/>
          <w:b/>
          <w:bCs/>
          <w:sz w:val="32"/>
          <w:szCs w:val="32"/>
        </w:rPr>
      </w:pPr>
      <w:bookmarkStart w:id="39" w:name="_Toc79136128"/>
      <w:bookmarkStart w:id="40" w:name="_Toc79136599"/>
      <w:bookmarkStart w:id="41" w:name="_Toc78985228"/>
      <w:r>
        <w:rPr>
          <w:rFonts w:eastAsia="楷体_GB2312"/>
          <w:b/>
          <w:bCs/>
          <w:sz w:val="32"/>
          <w:szCs w:val="32"/>
        </w:rPr>
        <w:t>（</w:t>
      </w:r>
      <w:r>
        <w:rPr>
          <w:rFonts w:hint="eastAsia" w:eastAsia="楷体_GB2312"/>
          <w:b/>
          <w:bCs/>
          <w:sz w:val="32"/>
          <w:szCs w:val="32"/>
        </w:rPr>
        <w:t>三</w:t>
      </w:r>
      <w:r>
        <w:rPr>
          <w:rFonts w:eastAsia="楷体_GB2312"/>
          <w:b/>
          <w:bCs/>
          <w:sz w:val="32"/>
          <w:szCs w:val="32"/>
        </w:rPr>
        <w:t>）基本原则</w:t>
      </w:r>
      <w:bookmarkEnd w:id="35"/>
      <w:bookmarkEnd w:id="39"/>
      <w:bookmarkEnd w:id="40"/>
      <w:bookmarkEnd w:id="41"/>
    </w:p>
    <w:p>
      <w:pPr>
        <w:spacing w:line="570" w:lineRule="exact"/>
        <w:ind w:firstLine="643" w:firstLineChars="200"/>
        <w:rPr>
          <w:rFonts w:eastAsia="仿宋_GB2312"/>
          <w:sz w:val="32"/>
          <w:szCs w:val="32"/>
        </w:rPr>
      </w:pPr>
      <w:bookmarkStart w:id="42" w:name="_Toc462757496"/>
      <w:r>
        <w:rPr>
          <w:rFonts w:hint="eastAsia" w:eastAsia="楷体_GB2312"/>
          <w:b/>
          <w:bCs/>
          <w:sz w:val="32"/>
          <w:szCs w:val="32"/>
        </w:rPr>
        <w:t>数据驱动，技术支撑。</w:t>
      </w:r>
      <w:r>
        <w:rPr>
          <w:rFonts w:hint="eastAsia" w:eastAsia="仿宋_GB2312"/>
          <w:sz w:val="32"/>
          <w:szCs w:val="32"/>
        </w:rPr>
        <w:t>突出数据要素在智慧城市建设中的基础性、全局性、战略性作用，强化数据资源规范采集、汇聚融合、共享开放和创新应用，激活数据要素价值。适度超前布局新型基础设施建设，大力推进物联网、人工智能、5</w:t>
      </w:r>
      <w:r>
        <w:rPr>
          <w:rFonts w:eastAsia="仿宋_GB2312"/>
          <w:sz w:val="32"/>
          <w:szCs w:val="32"/>
        </w:rPr>
        <w:t>G</w:t>
      </w:r>
      <w:r>
        <w:rPr>
          <w:rFonts w:hint="eastAsia" w:eastAsia="仿宋_GB2312"/>
          <w:sz w:val="32"/>
          <w:szCs w:val="32"/>
        </w:rPr>
        <w:t>、大数据、区块链等新一代信息技术与经济社会发展深度融合。</w:t>
      </w:r>
    </w:p>
    <w:p>
      <w:pPr>
        <w:spacing w:line="570" w:lineRule="exact"/>
        <w:ind w:firstLine="643" w:firstLineChars="200"/>
        <w:rPr>
          <w:rFonts w:eastAsia="仿宋_GB2312"/>
          <w:sz w:val="32"/>
          <w:szCs w:val="32"/>
        </w:rPr>
      </w:pPr>
      <w:r>
        <w:rPr>
          <w:rFonts w:hint="eastAsia" w:eastAsia="楷体_GB2312"/>
          <w:b/>
          <w:bCs/>
          <w:sz w:val="32"/>
          <w:szCs w:val="32"/>
        </w:rPr>
        <w:t>需求导向，场景突破。</w:t>
      </w:r>
      <w:r>
        <w:rPr>
          <w:rFonts w:hint="eastAsia" w:eastAsia="仿宋_GB2312"/>
          <w:sz w:val="32"/>
          <w:szCs w:val="32"/>
        </w:rPr>
        <w:t>面向经济社会发展的目标定位，聚焦“难点”“痛点”“堵点”问题，打造一批典型智慧化应用场景。深化业务协同和数据融合，着力</w:t>
      </w:r>
      <w:r>
        <w:rPr>
          <w:rFonts w:eastAsia="仿宋_GB2312"/>
          <w:sz w:val="32"/>
          <w:szCs w:val="32"/>
        </w:rPr>
        <w:t>探索建立基于数据的科学决策管理机制</w:t>
      </w:r>
      <w:r>
        <w:rPr>
          <w:rFonts w:hint="eastAsia" w:eastAsia="仿宋_GB2312"/>
          <w:sz w:val="32"/>
          <w:szCs w:val="32"/>
        </w:rPr>
        <w:t>，提高城市整体运行效率和管理服务水平，不断增强人民群众的获得感、幸福感、安全感。</w:t>
      </w:r>
    </w:p>
    <w:p>
      <w:pPr>
        <w:spacing w:line="570" w:lineRule="exact"/>
        <w:ind w:firstLine="643" w:firstLineChars="200"/>
        <w:rPr>
          <w:rFonts w:eastAsia="仿宋_GB2312"/>
          <w:sz w:val="32"/>
          <w:szCs w:val="32"/>
        </w:rPr>
      </w:pPr>
      <w:r>
        <w:rPr>
          <w:rFonts w:hint="eastAsia" w:eastAsia="楷体_GB2312"/>
          <w:b/>
          <w:bCs/>
          <w:sz w:val="32"/>
          <w:szCs w:val="32"/>
        </w:rPr>
        <w:t>健全标准，保障安全。</w:t>
      </w:r>
      <w:r>
        <w:rPr>
          <w:rFonts w:hint="eastAsia" w:eastAsia="仿宋_GB2312"/>
          <w:sz w:val="32"/>
          <w:szCs w:val="32"/>
        </w:rPr>
        <w:t>完善数据资源管理体系建设，建立健全数据共享、数据质量、隐私保护等标准规范。将安全可控作为智慧城市建设的基本底线，全面落实国家网络和信息安全要求，强化对基础设施、数据资源、信息系统的安全保护，营造自主、安全、可控、可信的网络信息安全环境。</w:t>
      </w:r>
    </w:p>
    <w:p>
      <w:pPr>
        <w:spacing w:line="570" w:lineRule="exact"/>
        <w:ind w:firstLine="643" w:firstLineChars="200"/>
        <w:rPr>
          <w:rFonts w:eastAsia="仿宋_GB2312"/>
          <w:sz w:val="32"/>
          <w:szCs w:val="32"/>
        </w:rPr>
      </w:pPr>
      <w:r>
        <w:rPr>
          <w:rFonts w:hint="eastAsia" w:eastAsia="楷体_GB2312"/>
          <w:b/>
          <w:bCs/>
          <w:sz w:val="32"/>
          <w:szCs w:val="32"/>
        </w:rPr>
        <w:t>统筹推进，多元参与。</w:t>
      </w:r>
      <w:r>
        <w:rPr>
          <w:rFonts w:hint="eastAsia" w:eastAsia="仿宋_GB2312"/>
          <w:sz w:val="32"/>
          <w:szCs w:val="32"/>
        </w:rPr>
        <w:t>强化智慧城市组织领导机制，完善跨系统、跨部门、跨业务的协同工作机制，统筹集约部署智慧城市建设，分步实施</w:t>
      </w:r>
      <w:r>
        <w:rPr>
          <w:rFonts w:hint="eastAsia" w:eastAsia="仿宋_GB2312"/>
          <w:kern w:val="0"/>
          <w:sz w:val="32"/>
          <w:szCs w:val="32"/>
        </w:rPr>
        <w:t>、</w:t>
      </w:r>
      <w:r>
        <w:rPr>
          <w:rFonts w:hint="eastAsia" w:eastAsia="仿宋_GB2312"/>
          <w:sz w:val="32"/>
          <w:szCs w:val="32"/>
        </w:rPr>
        <w:t>有序推进。推动有效市场和有为政府更好结合，</w:t>
      </w:r>
      <w:r>
        <w:rPr>
          <w:rFonts w:hint="eastAsia" w:eastAsia="仿宋_GB2312" w:cs="仿宋"/>
          <w:kern w:val="0"/>
          <w:sz w:val="32"/>
          <w:szCs w:val="32"/>
        </w:rPr>
        <w:t>建立</w:t>
      </w:r>
      <w:r>
        <w:rPr>
          <w:rFonts w:hint="eastAsia" w:eastAsia="仿宋_GB2312" w:cs="仿宋"/>
          <w:sz w:val="32"/>
          <w:szCs w:val="32"/>
        </w:rPr>
        <w:t>政府引导、市</w:t>
      </w:r>
      <w:r>
        <w:rPr>
          <w:rFonts w:hint="eastAsia" w:eastAsia="仿宋_GB2312"/>
          <w:sz w:val="32"/>
          <w:szCs w:val="32"/>
        </w:rPr>
        <w:t>场主导、多元参与、活力持续的建设运营机制，鼓励多元主体积极参与智慧城市建设。</w:t>
      </w:r>
    </w:p>
    <w:p>
      <w:pPr>
        <w:keepNext/>
        <w:keepLines/>
        <w:spacing w:line="570" w:lineRule="exact"/>
        <w:ind w:firstLine="643" w:firstLineChars="200"/>
        <w:outlineLvl w:val="1"/>
        <w:rPr>
          <w:rFonts w:eastAsia="楷体_GB2312"/>
          <w:b/>
          <w:bCs/>
          <w:sz w:val="32"/>
          <w:szCs w:val="32"/>
        </w:rPr>
      </w:pPr>
      <w:bookmarkStart w:id="43" w:name="_Toc79136129"/>
      <w:bookmarkStart w:id="44" w:name="_Toc79136600"/>
      <w:bookmarkStart w:id="45" w:name="_Toc78985229"/>
      <w:r>
        <w:rPr>
          <w:rFonts w:eastAsia="楷体_GB2312"/>
          <w:b/>
          <w:bCs/>
          <w:sz w:val="32"/>
          <w:szCs w:val="32"/>
        </w:rPr>
        <w:t>（</w:t>
      </w:r>
      <w:r>
        <w:rPr>
          <w:rFonts w:hint="eastAsia" w:eastAsia="楷体_GB2312"/>
          <w:b/>
          <w:bCs/>
          <w:sz w:val="32"/>
          <w:szCs w:val="32"/>
        </w:rPr>
        <w:t>四</w:t>
      </w:r>
      <w:r>
        <w:rPr>
          <w:rFonts w:eastAsia="楷体_GB2312"/>
          <w:b/>
          <w:bCs/>
          <w:sz w:val="32"/>
          <w:szCs w:val="32"/>
        </w:rPr>
        <w:t>）发展目标</w:t>
      </w:r>
      <w:bookmarkEnd w:id="42"/>
      <w:bookmarkEnd w:id="43"/>
      <w:bookmarkEnd w:id="44"/>
      <w:bookmarkEnd w:id="45"/>
    </w:p>
    <w:p>
      <w:pPr>
        <w:spacing w:line="570" w:lineRule="exact"/>
        <w:ind w:firstLine="640" w:firstLineChars="200"/>
        <w:rPr>
          <w:rFonts w:eastAsia="微软雅黑" w:cs="微软雅黑"/>
          <w:kern w:val="0"/>
          <w:sz w:val="22"/>
          <w:szCs w:val="22"/>
          <w:highlight w:val="yellow"/>
          <w:lang w:val="zh-CN"/>
        </w:rPr>
      </w:pPr>
      <w:r>
        <w:rPr>
          <w:rFonts w:hint="eastAsia" w:eastAsia="仿宋_GB2312"/>
          <w:sz w:val="32"/>
          <w:szCs w:val="32"/>
        </w:rPr>
        <w:t>到2</w:t>
      </w:r>
      <w:r>
        <w:rPr>
          <w:rFonts w:eastAsia="仿宋_GB2312"/>
          <w:sz w:val="32"/>
          <w:szCs w:val="32"/>
        </w:rPr>
        <w:t>025</w:t>
      </w:r>
      <w:r>
        <w:rPr>
          <w:rFonts w:hint="eastAsia" w:eastAsia="仿宋_GB2312"/>
          <w:sz w:val="32"/>
          <w:szCs w:val="32"/>
        </w:rPr>
        <w:t>年，将朝阳区建设成为数据要素价值释放，基础设施集约智能，智慧大脑全面支撑，社会治理精细敏捷，民生服务便捷优质，数字经济高端繁荣的超大城市中心城区现代化治理样本。</w:t>
      </w:r>
    </w:p>
    <w:p>
      <w:pPr>
        <w:spacing w:line="570" w:lineRule="exact"/>
        <w:ind w:firstLine="643" w:firstLineChars="200"/>
        <w:rPr>
          <w:rFonts w:eastAsia="仿宋_GB2312"/>
          <w:sz w:val="32"/>
          <w:szCs w:val="32"/>
        </w:rPr>
      </w:pPr>
      <w:bookmarkStart w:id="46" w:name="_Hlk65143344"/>
      <w:r>
        <w:rPr>
          <w:rFonts w:eastAsia="楷体_GB2312"/>
          <w:b/>
          <w:bCs/>
          <w:sz w:val="32"/>
          <w:szCs w:val="32"/>
        </w:rPr>
        <w:t>——</w:t>
      </w:r>
      <w:r>
        <w:rPr>
          <w:rFonts w:hint="eastAsia" w:eastAsia="楷体_GB2312"/>
          <w:b/>
          <w:bCs/>
          <w:sz w:val="32"/>
          <w:szCs w:val="32"/>
        </w:rPr>
        <w:t>数据要素价值释放。</w:t>
      </w:r>
      <w:r>
        <w:rPr>
          <w:rFonts w:hint="eastAsia" w:eastAsia="仿宋_GB2312"/>
          <w:sz w:val="32"/>
          <w:szCs w:val="32"/>
        </w:rPr>
        <w:t>政务数据资源全面汇通，形成逻辑统一、一数一源、动态更新、纵向贯通、横向连通、集中管控的数据资源体系。数据治理与数据共享机制更加完善，数据质量显著提升，非涉密政务数据实现100%共享。非涉密公共数据有序开放和开发利用水平明显提升，率先开展数据交易体制机制创新和商业模式探索。</w:t>
      </w:r>
    </w:p>
    <w:bookmarkEnd w:id="46"/>
    <w:p>
      <w:pPr>
        <w:spacing w:line="570" w:lineRule="exact"/>
        <w:ind w:firstLine="643" w:firstLineChars="200"/>
        <w:rPr>
          <w:rFonts w:eastAsia="仿宋_GB2312"/>
          <w:sz w:val="32"/>
          <w:szCs w:val="32"/>
        </w:rPr>
      </w:pPr>
      <w:r>
        <w:rPr>
          <w:rFonts w:hint="eastAsia" w:eastAsia="楷体_GB2312"/>
          <w:b/>
          <w:bCs/>
          <w:sz w:val="32"/>
          <w:szCs w:val="32"/>
        </w:rPr>
        <w:t>——基础设施集约智能。</w:t>
      </w:r>
      <w:r>
        <w:rPr>
          <w:rFonts w:hint="eastAsia" w:eastAsia="仿宋_GB2312"/>
          <w:sz w:val="32"/>
          <w:szCs w:val="32"/>
        </w:rPr>
        <w:t>5G核心网关键业务承载能力显著增强，支持多频段、多制式、多终端协同，建成5G基站达到5000个以上，实现全域室外信号连续覆盖和重点场景精准覆盖。5G用户普及率</w:t>
      </w:r>
      <w:bookmarkStart w:id="47" w:name="_Hlk67085403"/>
      <w:r>
        <w:rPr>
          <w:rFonts w:hint="eastAsia" w:eastAsia="仿宋_GB2312"/>
          <w:sz w:val="32"/>
          <w:szCs w:val="32"/>
        </w:rPr>
        <w:t>和</w:t>
      </w:r>
      <w:bookmarkEnd w:id="47"/>
      <w:r>
        <w:rPr>
          <w:rFonts w:hint="eastAsia" w:eastAsia="仿宋_GB2312"/>
          <w:sz w:val="32"/>
          <w:szCs w:val="32"/>
        </w:rPr>
        <w:t>千兆速率用户占比</w:t>
      </w:r>
      <w:bookmarkStart w:id="48" w:name="_Hlk67085415"/>
      <w:r>
        <w:rPr>
          <w:rFonts w:hint="eastAsia" w:eastAsia="仿宋_GB2312"/>
          <w:sz w:val="32"/>
          <w:szCs w:val="32"/>
        </w:rPr>
        <w:t>进一步提升</w:t>
      </w:r>
      <w:bookmarkEnd w:id="48"/>
      <w:r>
        <w:rPr>
          <w:rFonts w:hint="eastAsia" w:eastAsia="仿宋_GB2312"/>
          <w:sz w:val="32"/>
          <w:szCs w:val="32"/>
        </w:rPr>
        <w:t>。城市物联感知能力显著增强。区级政务区块链网络建成，在</w:t>
      </w:r>
      <w:r>
        <w:rPr>
          <w:rFonts w:eastAsia="仿宋_GB2312"/>
          <w:sz w:val="32"/>
          <w:szCs w:val="32"/>
        </w:rPr>
        <w:t>数字金融、城市管理、政务服务</w:t>
      </w:r>
      <w:r>
        <w:rPr>
          <w:rFonts w:hint="eastAsia" w:eastAsia="仿宋_GB2312"/>
          <w:sz w:val="32"/>
          <w:szCs w:val="32"/>
        </w:rPr>
        <w:t>等领域实现链上赋能。</w:t>
      </w:r>
    </w:p>
    <w:p>
      <w:pPr>
        <w:spacing w:line="570" w:lineRule="exact"/>
        <w:ind w:firstLine="643" w:firstLineChars="200"/>
        <w:rPr>
          <w:rFonts w:eastAsia="仿宋_GB2312"/>
          <w:sz w:val="32"/>
          <w:szCs w:val="32"/>
        </w:rPr>
      </w:pPr>
      <w:r>
        <w:rPr>
          <w:rFonts w:hint="eastAsia" w:eastAsia="楷体_GB2312"/>
          <w:b/>
          <w:bCs/>
          <w:sz w:val="32"/>
          <w:szCs w:val="32"/>
        </w:rPr>
        <w:t>——智慧大脑全面支撑。</w:t>
      </w:r>
      <w:r>
        <w:rPr>
          <w:rFonts w:hint="eastAsia" w:eastAsia="仿宋_GB2312"/>
          <w:sz w:val="32"/>
          <w:szCs w:val="32"/>
        </w:rPr>
        <w:t>建成上接市级、下联街乡、横向到边、纵向到底全覆盖的“城市智慧大脑”运行体系，实现全区数据服务、应用支撑、安全、标准、运维的集约化、一体化，网络信息安全体系持续完善。面向重点和特色领域建成基于“城市智慧大脑”的深度应用，基于大数据、人工智能等技术手段的感知、监测、决策、指挥能力持续提高。</w:t>
      </w:r>
    </w:p>
    <w:p>
      <w:pPr>
        <w:spacing w:line="570" w:lineRule="exact"/>
        <w:ind w:firstLine="643" w:firstLineChars="200"/>
        <w:rPr>
          <w:rFonts w:eastAsia="仿宋_GB2312"/>
          <w:sz w:val="32"/>
          <w:szCs w:val="32"/>
        </w:rPr>
      </w:pPr>
      <w:r>
        <w:rPr>
          <w:rFonts w:hint="eastAsia" w:eastAsia="楷体_GB2312"/>
          <w:b/>
          <w:bCs/>
          <w:sz w:val="32"/>
          <w:szCs w:val="32"/>
        </w:rPr>
        <w:t>——社会治理精细敏捷。</w:t>
      </w:r>
      <w:r>
        <w:rPr>
          <w:rFonts w:hint="eastAsia" w:eastAsia="仿宋_GB2312"/>
          <w:sz w:val="32"/>
          <w:szCs w:val="32"/>
        </w:rPr>
        <w:t>跨部门、跨层级的三级联动治理体系基本建成，开展街乡智慧型社会治理信息化应用项目不少于15个。城市综合管理“一网统管”水平全市领先，城市交通、生态环保、城市管理、市场监管和公共安全等领域治理能力显著提升，非现场执法处罚率大幅提高，重点区域信号灯联网率实现1</w:t>
      </w:r>
      <w:r>
        <w:rPr>
          <w:rFonts w:eastAsia="仿宋_GB2312"/>
          <w:sz w:val="32"/>
          <w:szCs w:val="32"/>
        </w:rPr>
        <w:t>00</w:t>
      </w:r>
      <w:r>
        <w:rPr>
          <w:rFonts w:hint="eastAsia" w:eastAsia="仿宋_GB2312"/>
          <w:sz w:val="32"/>
          <w:szCs w:val="32"/>
        </w:rPr>
        <w:t>%，城市重点公共区域高清视频监控覆盖率、视频监控摄像机完好率、视频监控联网率均达到</w:t>
      </w:r>
      <w:r>
        <w:rPr>
          <w:rFonts w:eastAsia="仿宋_GB2312"/>
          <w:sz w:val="32"/>
          <w:szCs w:val="32"/>
        </w:rPr>
        <w:t>99%</w:t>
      </w:r>
      <w:r>
        <w:rPr>
          <w:rFonts w:hint="eastAsia" w:eastAsia="仿宋_GB2312"/>
          <w:sz w:val="32"/>
          <w:szCs w:val="32"/>
        </w:rPr>
        <w:t>以上，城市应急管理体系进一步完善，信息化提升城市韧性的作用显著增强。</w:t>
      </w:r>
    </w:p>
    <w:p>
      <w:pPr>
        <w:spacing w:line="570" w:lineRule="exact"/>
        <w:ind w:firstLine="643" w:firstLineChars="200"/>
        <w:rPr>
          <w:rFonts w:eastAsia="仿宋_GB2312"/>
          <w:sz w:val="32"/>
          <w:szCs w:val="32"/>
        </w:rPr>
      </w:pPr>
      <w:r>
        <w:rPr>
          <w:rFonts w:hint="eastAsia" w:eastAsia="楷体_GB2312"/>
          <w:b/>
          <w:bCs/>
          <w:sz w:val="32"/>
          <w:szCs w:val="32"/>
        </w:rPr>
        <w:t>——民生服务便捷优质。</w:t>
      </w:r>
      <w:r>
        <w:rPr>
          <w:rFonts w:hint="eastAsia" w:eastAsia="仿宋_GB2312"/>
          <w:sz w:val="32"/>
          <w:szCs w:val="32"/>
        </w:rPr>
        <w:t>政府服务事项从“网上可办”到“网上深办”，</w:t>
      </w:r>
      <w:r>
        <w:rPr>
          <w:rFonts w:eastAsia="仿宋_GB2312"/>
          <w:sz w:val="32"/>
          <w:szCs w:val="32"/>
          <w:lang w:val="zh-CN"/>
        </w:rPr>
        <w:t>除涉密事项外</w:t>
      </w:r>
      <w:r>
        <w:rPr>
          <w:rFonts w:hint="eastAsia" w:eastAsia="仿宋_GB2312"/>
          <w:sz w:val="32"/>
          <w:szCs w:val="32"/>
        </w:rPr>
        <w:t>政务服务事项全程网上办理率达9</w:t>
      </w:r>
      <w:r>
        <w:rPr>
          <w:rFonts w:eastAsia="仿宋_GB2312"/>
          <w:sz w:val="32"/>
          <w:szCs w:val="32"/>
        </w:rPr>
        <w:t>5%</w:t>
      </w:r>
      <w:r>
        <w:rPr>
          <w:rFonts w:hint="eastAsia" w:eastAsia="仿宋_GB2312"/>
          <w:sz w:val="32"/>
          <w:szCs w:val="32"/>
        </w:rPr>
        <w:t>以上，综合窗口线下统一委托受理事项达80%。形成广覆盖、多渠道、智能化、个性化的智慧民生服务体系，优质</w:t>
      </w:r>
      <w:r>
        <w:rPr>
          <w:rFonts w:eastAsia="仿宋_GB2312"/>
          <w:sz w:val="32"/>
          <w:szCs w:val="32"/>
        </w:rPr>
        <w:t>教育资源数字资源共享率</w:t>
      </w:r>
      <w:r>
        <w:rPr>
          <w:rFonts w:hint="eastAsia" w:eastAsia="仿宋_GB2312"/>
          <w:sz w:val="32"/>
          <w:szCs w:val="32"/>
        </w:rPr>
        <w:t>达80</w:t>
      </w:r>
      <w:r>
        <w:rPr>
          <w:rFonts w:eastAsia="仿宋_GB2312"/>
          <w:sz w:val="32"/>
          <w:szCs w:val="32"/>
        </w:rPr>
        <w:t>%以上，</w:t>
      </w:r>
      <w:r>
        <w:rPr>
          <w:rFonts w:hint="eastAsia" w:eastAsia="仿宋_GB2312"/>
          <w:sz w:val="32"/>
          <w:szCs w:val="32"/>
        </w:rPr>
        <w:t>电子健康</w:t>
      </w:r>
      <w:r>
        <w:rPr>
          <w:rFonts w:eastAsia="仿宋_GB2312"/>
          <w:sz w:val="32"/>
          <w:szCs w:val="32"/>
        </w:rPr>
        <w:t>档案</w:t>
      </w:r>
      <w:r>
        <w:rPr>
          <w:rFonts w:hint="eastAsia" w:eastAsia="仿宋_GB2312"/>
          <w:sz w:val="32"/>
          <w:szCs w:val="32"/>
        </w:rPr>
        <w:t>、电子病历等医疗健康信息实现互联共享，社区的</w:t>
      </w:r>
      <w:r>
        <w:rPr>
          <w:rFonts w:eastAsia="仿宋_GB2312"/>
          <w:sz w:val="32"/>
          <w:szCs w:val="32"/>
        </w:rPr>
        <w:t>管理服务水平</w:t>
      </w:r>
      <w:r>
        <w:rPr>
          <w:rFonts w:hint="eastAsia" w:eastAsia="仿宋_GB2312"/>
          <w:sz w:val="32"/>
          <w:szCs w:val="32"/>
        </w:rPr>
        <w:t>明显</w:t>
      </w:r>
      <w:r>
        <w:rPr>
          <w:rFonts w:eastAsia="仿宋_GB2312"/>
          <w:sz w:val="32"/>
          <w:szCs w:val="32"/>
        </w:rPr>
        <w:t>提升</w:t>
      </w:r>
      <w:r>
        <w:rPr>
          <w:rFonts w:hint="eastAsia" w:eastAsia="仿宋_GB2312"/>
          <w:sz w:val="32"/>
          <w:szCs w:val="32"/>
        </w:rPr>
        <w:t>，形成文旅融合的智慧公共文化服务新模式。</w:t>
      </w:r>
    </w:p>
    <w:p>
      <w:pPr>
        <w:spacing w:line="570" w:lineRule="exact"/>
        <w:ind w:firstLine="643" w:firstLineChars="200"/>
        <w:rPr>
          <w:rFonts w:eastAsia="仿宋_GB2312"/>
          <w:sz w:val="32"/>
          <w:szCs w:val="32"/>
        </w:rPr>
      </w:pPr>
      <w:r>
        <w:rPr>
          <w:rFonts w:hint="eastAsia" w:eastAsia="楷体_GB2312"/>
          <w:b/>
          <w:bCs/>
          <w:sz w:val="32"/>
          <w:szCs w:val="32"/>
        </w:rPr>
        <w:t>——数字经济高端繁荣。</w:t>
      </w:r>
      <w:r>
        <w:rPr>
          <w:rFonts w:hint="eastAsia" w:eastAsia="仿宋_GB2312"/>
          <w:sz w:val="32"/>
          <w:szCs w:val="32"/>
        </w:rPr>
        <w:t>实现经济运行全面感知、动态展示和实时管理，企业综合智能管理服务水平显著提升，建成一批朝阳特色高标准智慧园区。优势产业与数字经济融合创新发展，形成一批高端化、蓬勃式发展的特色产业集群。数字经济行业领军企业力争达到1</w:t>
      </w:r>
      <w:r>
        <w:rPr>
          <w:rFonts w:eastAsia="仿宋_GB2312"/>
          <w:sz w:val="32"/>
          <w:szCs w:val="32"/>
        </w:rPr>
        <w:t>00</w:t>
      </w:r>
      <w:r>
        <w:rPr>
          <w:rFonts w:hint="eastAsia" w:eastAsia="仿宋_GB2312"/>
          <w:sz w:val="32"/>
          <w:szCs w:val="32"/>
        </w:rPr>
        <w:t>家以上，培育高成长企业</w:t>
      </w:r>
      <w:r>
        <w:rPr>
          <w:rFonts w:eastAsia="仿宋_GB2312"/>
          <w:sz w:val="32"/>
          <w:szCs w:val="32"/>
        </w:rPr>
        <w:t>300</w:t>
      </w:r>
      <w:r>
        <w:rPr>
          <w:rFonts w:hint="eastAsia" w:eastAsia="仿宋_GB2312"/>
          <w:sz w:val="32"/>
          <w:szCs w:val="32"/>
        </w:rPr>
        <w:t>家以上。数字经济增加值占G</w:t>
      </w:r>
      <w:r>
        <w:rPr>
          <w:rFonts w:eastAsia="仿宋_GB2312"/>
          <w:sz w:val="32"/>
          <w:szCs w:val="32"/>
        </w:rPr>
        <w:t>DP</w:t>
      </w:r>
      <w:r>
        <w:rPr>
          <w:rFonts w:hint="eastAsia" w:eastAsia="仿宋_GB2312"/>
          <w:sz w:val="32"/>
          <w:szCs w:val="32"/>
        </w:rPr>
        <w:t>比重大幅提升，增速高于全市平均水平。打造一批新消费场景，</w:t>
      </w:r>
      <w:r>
        <w:rPr>
          <w:rFonts w:eastAsia="仿宋_GB2312"/>
          <w:sz w:val="32"/>
          <w:szCs w:val="32"/>
        </w:rPr>
        <w:t>线上消费占比超过20%</w:t>
      </w:r>
      <w:r>
        <w:rPr>
          <w:rFonts w:hint="eastAsia" w:eastAsia="仿宋_GB2312"/>
          <w:sz w:val="32"/>
          <w:szCs w:val="32"/>
        </w:rPr>
        <w:t>。</w:t>
      </w:r>
    </w:p>
    <w:p>
      <w:pPr>
        <w:keepNext/>
        <w:keepLines/>
        <w:spacing w:line="570" w:lineRule="exact"/>
        <w:ind w:firstLine="640" w:firstLineChars="200"/>
        <w:jc w:val="left"/>
        <w:outlineLvl w:val="0"/>
        <w:rPr>
          <w:rFonts w:eastAsia="黑体"/>
          <w:bCs/>
          <w:kern w:val="44"/>
          <w:sz w:val="32"/>
          <w:szCs w:val="44"/>
        </w:rPr>
      </w:pPr>
      <w:bookmarkStart w:id="49" w:name="_Toc79136130"/>
      <w:bookmarkStart w:id="50" w:name="_Toc79136601"/>
      <w:bookmarkStart w:id="51" w:name="_Toc78985230"/>
      <w:r>
        <w:rPr>
          <w:rFonts w:hint="eastAsia" w:eastAsia="黑体"/>
          <w:bCs/>
          <w:kern w:val="44"/>
          <w:sz w:val="32"/>
          <w:szCs w:val="44"/>
        </w:rPr>
        <w:t>四、汇聚智慧城市“新要素”</w:t>
      </w:r>
      <w:bookmarkEnd w:id="49"/>
      <w:bookmarkEnd w:id="50"/>
      <w:bookmarkEnd w:id="51"/>
    </w:p>
    <w:p>
      <w:pPr>
        <w:keepNext/>
        <w:keepLines/>
        <w:spacing w:line="570" w:lineRule="exact"/>
        <w:ind w:firstLine="643" w:firstLineChars="200"/>
        <w:outlineLvl w:val="1"/>
        <w:rPr>
          <w:rFonts w:eastAsia="楷体_GB2312"/>
          <w:b/>
          <w:bCs/>
          <w:sz w:val="32"/>
          <w:szCs w:val="32"/>
        </w:rPr>
      </w:pPr>
      <w:bookmarkStart w:id="52" w:name="_Toc78985231"/>
      <w:bookmarkStart w:id="53" w:name="_Toc79136131"/>
      <w:bookmarkStart w:id="54" w:name="_Toc79136602"/>
      <w:r>
        <w:rPr>
          <w:rFonts w:hint="eastAsia" w:eastAsia="楷体_GB2312"/>
          <w:b/>
          <w:bCs/>
          <w:sz w:val="32"/>
          <w:szCs w:val="32"/>
        </w:rPr>
        <w:t>（一）强化数据要素管理</w:t>
      </w:r>
      <w:bookmarkEnd w:id="52"/>
      <w:bookmarkEnd w:id="53"/>
      <w:bookmarkEnd w:id="54"/>
    </w:p>
    <w:p>
      <w:pPr>
        <w:spacing w:line="570" w:lineRule="exact"/>
        <w:ind w:firstLine="643" w:firstLineChars="200"/>
        <w:outlineLvl w:val="2"/>
        <w:rPr>
          <w:rFonts w:eastAsia="仿宋_GB2312"/>
          <w:b/>
          <w:bCs/>
          <w:sz w:val="32"/>
          <w:szCs w:val="32"/>
        </w:rPr>
      </w:pPr>
      <w:bookmarkStart w:id="55" w:name="_Toc78985232"/>
      <w:bookmarkStart w:id="56" w:name="_Toc79136132"/>
      <w:r>
        <w:rPr>
          <w:rFonts w:hint="eastAsia" w:eastAsia="仿宋_GB2312"/>
          <w:b/>
          <w:bCs/>
          <w:sz w:val="32"/>
          <w:szCs w:val="32"/>
        </w:rPr>
        <w:t>1、完善数据资源建设</w:t>
      </w:r>
      <w:bookmarkEnd w:id="55"/>
      <w:bookmarkEnd w:id="56"/>
    </w:p>
    <w:p>
      <w:pPr>
        <w:spacing w:line="570" w:lineRule="exact"/>
        <w:ind w:firstLine="640" w:firstLineChars="200"/>
        <w:rPr>
          <w:rFonts w:eastAsia="仿宋_GB2312"/>
          <w:sz w:val="32"/>
          <w:szCs w:val="32"/>
        </w:rPr>
      </w:pPr>
      <w:r>
        <w:rPr>
          <w:rFonts w:hint="eastAsia" w:eastAsia="仿宋_GB2312"/>
          <w:sz w:val="32"/>
          <w:szCs w:val="32"/>
        </w:rPr>
        <w:t>完善空间地理基础信息库、人口资源基础数据库、产业经济数据库、区政府网站信息资源库、市区两级政务服务数据库等五大基础库，建设全区电子证照、信用信息等主题数据库，加快推进数字档案资源建设，筑牢数据共享共治根基。探索建立政府与社会互动的大数据采集形成机制，鼓励政府部门运用互联网手段和外包、众包等模式采集数据，形成数据统采共用、分采统用机制，扩展数据来源，提升数据鲜活度。</w:t>
      </w:r>
    </w:p>
    <w:p>
      <w:pPr>
        <w:spacing w:line="570" w:lineRule="exact"/>
        <w:ind w:firstLine="643" w:firstLineChars="200"/>
        <w:outlineLvl w:val="2"/>
        <w:rPr>
          <w:rFonts w:eastAsia="仿宋_GB2312"/>
          <w:b/>
          <w:bCs/>
          <w:sz w:val="32"/>
          <w:szCs w:val="32"/>
        </w:rPr>
      </w:pPr>
      <w:bookmarkStart w:id="57" w:name="_Toc78985233"/>
      <w:bookmarkStart w:id="58" w:name="_Toc79136133"/>
      <w:r>
        <w:rPr>
          <w:rFonts w:eastAsia="仿宋_GB2312"/>
          <w:b/>
          <w:bCs/>
          <w:sz w:val="32"/>
          <w:szCs w:val="32"/>
        </w:rPr>
        <w:t>2</w:t>
      </w:r>
      <w:r>
        <w:rPr>
          <w:rFonts w:hint="eastAsia" w:eastAsia="仿宋_GB2312"/>
          <w:b/>
          <w:bCs/>
          <w:sz w:val="32"/>
          <w:szCs w:val="32"/>
        </w:rPr>
        <w:t>、建立数据治理体系</w:t>
      </w:r>
      <w:bookmarkEnd w:id="57"/>
      <w:bookmarkEnd w:id="58"/>
    </w:p>
    <w:p>
      <w:pPr>
        <w:spacing w:line="570" w:lineRule="exact"/>
        <w:ind w:firstLine="640" w:firstLineChars="200"/>
        <w:rPr>
          <w:rFonts w:eastAsia="仿宋_GB2312"/>
          <w:sz w:val="32"/>
          <w:szCs w:val="32"/>
        </w:rPr>
      </w:pPr>
      <w:r>
        <w:rPr>
          <w:rFonts w:hint="eastAsia" w:eastAsia="仿宋_GB2312"/>
          <w:sz w:val="32"/>
          <w:szCs w:val="32"/>
        </w:rPr>
        <w:t>进一步推进全区政务信息资源三级目录梳理和数据整合，建立联结职责、数据、库表的“目录区块链”体系，实现全区政府数据资源目录的集中存储和统一管理。健全数据更新、监管与质量管控机制，做到“一数一源、多元校核”，构建以知识图谱为特征的底层数据关联。建立数据采集、共享、管理技术规范，完善适用于大数据环境的数据分类分级管理制度、安全保护制度、数据隐私保护制度和安全审查制度。</w:t>
      </w:r>
    </w:p>
    <w:p>
      <w:pPr>
        <w:keepNext/>
        <w:keepLines/>
        <w:spacing w:line="570" w:lineRule="exact"/>
        <w:ind w:firstLine="643" w:firstLineChars="200"/>
        <w:outlineLvl w:val="1"/>
        <w:rPr>
          <w:rFonts w:eastAsia="楷体_GB2312"/>
          <w:b/>
          <w:bCs/>
          <w:sz w:val="32"/>
          <w:szCs w:val="32"/>
        </w:rPr>
      </w:pPr>
      <w:bookmarkStart w:id="59" w:name="_Toc79136603"/>
      <w:bookmarkStart w:id="60" w:name="_Toc78985234"/>
      <w:bookmarkStart w:id="61" w:name="_Toc79136134"/>
      <w:r>
        <w:rPr>
          <w:rFonts w:hint="eastAsia" w:eastAsia="楷体_GB2312"/>
          <w:b/>
          <w:bCs/>
          <w:sz w:val="32"/>
          <w:szCs w:val="32"/>
        </w:rPr>
        <w:t>（二）深化数据价值挖掘</w:t>
      </w:r>
      <w:bookmarkEnd w:id="59"/>
      <w:bookmarkEnd w:id="60"/>
      <w:bookmarkEnd w:id="61"/>
    </w:p>
    <w:p>
      <w:pPr>
        <w:spacing w:line="570" w:lineRule="exact"/>
        <w:ind w:firstLine="643" w:firstLineChars="200"/>
        <w:outlineLvl w:val="2"/>
        <w:rPr>
          <w:rFonts w:eastAsia="仿宋_GB2312"/>
          <w:b/>
          <w:bCs/>
          <w:sz w:val="32"/>
          <w:szCs w:val="32"/>
        </w:rPr>
      </w:pPr>
      <w:bookmarkStart w:id="62" w:name="_Toc78985235"/>
      <w:bookmarkStart w:id="63" w:name="_Toc79136135"/>
      <w:r>
        <w:rPr>
          <w:rFonts w:eastAsia="仿宋_GB2312"/>
          <w:b/>
          <w:bCs/>
          <w:sz w:val="32"/>
          <w:szCs w:val="32"/>
        </w:rPr>
        <w:t>1</w:t>
      </w:r>
      <w:r>
        <w:rPr>
          <w:rFonts w:hint="eastAsia" w:eastAsia="仿宋_GB2312"/>
          <w:b/>
          <w:bCs/>
          <w:sz w:val="32"/>
          <w:szCs w:val="32"/>
        </w:rPr>
        <w:t>、促进数据融合共享</w:t>
      </w:r>
      <w:bookmarkEnd w:id="62"/>
      <w:bookmarkEnd w:id="63"/>
    </w:p>
    <w:p>
      <w:pPr>
        <w:spacing w:line="570" w:lineRule="exact"/>
        <w:ind w:firstLine="640" w:firstLineChars="200"/>
        <w:rPr>
          <w:rFonts w:eastAsia="楷体"/>
          <w:color w:val="000000" w:themeColor="text1"/>
          <w:sz w:val="32"/>
          <w:szCs w:val="32"/>
          <w14:textFill>
            <w14:solidFill>
              <w14:schemeClr w14:val="tx1"/>
            </w14:solidFill>
          </w14:textFill>
        </w:rPr>
      </w:pPr>
      <w:r>
        <w:rPr>
          <w:rFonts w:hint="eastAsia" w:eastAsia="仿宋_GB2312" w:cs="宋体"/>
          <w:bCs/>
          <w:kern w:val="0"/>
          <w:sz w:val="32"/>
          <w:szCs w:val="32"/>
        </w:rPr>
        <w:t>完善区级与市级平台间的数据共享交换机制，打通市区两级数据资源。基于区政务云平台和区级共享交换平台，加速推进基层应用数据与垂直业务系统数据的融合集成。面向政务服务、综治维稳、应急指挥、城管执法、工商管理、社会信用等具体场景，推动跨部门、跨系统、跨领域的数据融合和业务协同，深化政府数据和社会数据的深度融合，充分激发数据价值，提高政府部门数据共享的积极性。</w:t>
      </w:r>
    </w:p>
    <w:p>
      <w:pPr>
        <w:spacing w:line="570" w:lineRule="exact"/>
        <w:ind w:firstLine="643" w:firstLineChars="200"/>
        <w:outlineLvl w:val="2"/>
        <w:rPr>
          <w:rFonts w:eastAsia="仿宋_GB2312"/>
          <w:b/>
          <w:bCs/>
          <w:sz w:val="32"/>
          <w:szCs w:val="32"/>
        </w:rPr>
      </w:pPr>
      <w:bookmarkStart w:id="64" w:name="_Toc79136136"/>
      <w:bookmarkStart w:id="65" w:name="_Toc78985236"/>
      <w:r>
        <w:rPr>
          <w:rFonts w:eastAsia="仿宋_GB2312"/>
          <w:b/>
          <w:bCs/>
          <w:sz w:val="32"/>
          <w:szCs w:val="32"/>
        </w:rPr>
        <w:t>2</w:t>
      </w:r>
      <w:r>
        <w:rPr>
          <w:rFonts w:hint="eastAsia" w:eastAsia="仿宋_GB2312"/>
          <w:b/>
          <w:bCs/>
          <w:sz w:val="32"/>
          <w:szCs w:val="32"/>
        </w:rPr>
        <w:t>、有序推动数据开放</w:t>
      </w:r>
      <w:bookmarkEnd w:id="64"/>
      <w:bookmarkEnd w:id="65"/>
    </w:p>
    <w:p>
      <w:pPr>
        <w:pStyle w:val="29"/>
        <w:spacing w:line="570" w:lineRule="exact"/>
        <w:ind w:firstLine="640"/>
        <w:rPr>
          <w:rFonts w:eastAsia="仿宋_GB2312"/>
          <w:sz w:val="32"/>
          <w:szCs w:val="32"/>
        </w:rPr>
      </w:pPr>
      <w:r>
        <w:rPr>
          <w:rFonts w:hint="eastAsia" w:eastAsia="仿宋_GB2312"/>
          <w:sz w:val="32"/>
          <w:szCs w:val="32"/>
        </w:rPr>
        <w:t>构建政务数据统一开放平台，逐步探索依托数据沙箱技术开展“数据可用不可见、模型见面数据不见面”的数据流通和应用，形成一批高质量、高价值、面向场景需求的数据资源和数据产品。通过“数据开放竞赛”等创新形式，鼓励社会力量充分挖掘数据要素政用、商用、民用价值。依托北京国际大数据交易所率先开展数据交易体制机制创新和商业模式探索，推动多部门、多行业数据的有序开放和交易流通。立足金盏国际合作服务区，探索构建数字贸易跨境服务支撑体系。</w:t>
      </w:r>
    </w:p>
    <w:p>
      <w:pPr>
        <w:keepNext/>
        <w:keepLines/>
        <w:spacing w:line="570" w:lineRule="exact"/>
        <w:ind w:firstLine="640" w:firstLineChars="200"/>
        <w:jc w:val="left"/>
        <w:outlineLvl w:val="0"/>
        <w:rPr>
          <w:rFonts w:eastAsia="黑体"/>
          <w:bCs/>
          <w:kern w:val="44"/>
          <w:sz w:val="32"/>
          <w:szCs w:val="44"/>
        </w:rPr>
      </w:pPr>
      <w:bookmarkStart w:id="66" w:name="_Toc78985237"/>
      <w:bookmarkStart w:id="67" w:name="_Toc79136137"/>
      <w:bookmarkStart w:id="68" w:name="_Toc79136604"/>
      <w:r>
        <w:rPr>
          <w:rFonts w:hint="eastAsia" w:eastAsia="黑体"/>
          <w:bCs/>
          <w:kern w:val="44"/>
          <w:sz w:val="32"/>
          <w:szCs w:val="44"/>
        </w:rPr>
        <w:t>五、完善智慧城市“新基建”</w:t>
      </w:r>
      <w:bookmarkEnd w:id="66"/>
      <w:bookmarkEnd w:id="67"/>
      <w:bookmarkEnd w:id="68"/>
    </w:p>
    <w:p>
      <w:pPr>
        <w:keepNext/>
        <w:keepLines/>
        <w:spacing w:line="570" w:lineRule="exact"/>
        <w:ind w:firstLine="643" w:firstLineChars="200"/>
        <w:outlineLvl w:val="1"/>
        <w:rPr>
          <w:rFonts w:eastAsia="楷体_GB2312"/>
          <w:b/>
          <w:bCs/>
          <w:sz w:val="32"/>
          <w:szCs w:val="32"/>
        </w:rPr>
      </w:pPr>
      <w:bookmarkStart w:id="69" w:name="_Toc78985238"/>
      <w:bookmarkStart w:id="70" w:name="_Toc79136138"/>
      <w:bookmarkStart w:id="71" w:name="_Toc79136605"/>
      <w:r>
        <w:rPr>
          <w:rFonts w:hint="eastAsia" w:eastAsia="楷体_GB2312"/>
          <w:b/>
          <w:bCs/>
          <w:sz w:val="32"/>
          <w:szCs w:val="32"/>
        </w:rPr>
        <w:t>（一）健全信息基础设施</w:t>
      </w:r>
      <w:bookmarkEnd w:id="69"/>
      <w:bookmarkEnd w:id="70"/>
      <w:bookmarkEnd w:id="71"/>
    </w:p>
    <w:p>
      <w:pPr>
        <w:spacing w:line="570" w:lineRule="exact"/>
        <w:ind w:firstLine="643" w:firstLineChars="200"/>
        <w:outlineLvl w:val="2"/>
        <w:rPr>
          <w:rFonts w:eastAsia="仿宋_GB2312"/>
          <w:b/>
          <w:bCs/>
          <w:sz w:val="32"/>
          <w:szCs w:val="32"/>
        </w:rPr>
      </w:pPr>
      <w:bookmarkStart w:id="72" w:name="_Toc78985239"/>
      <w:bookmarkStart w:id="73" w:name="_Toc79136139"/>
      <w:r>
        <w:rPr>
          <w:rFonts w:hint="eastAsia" w:eastAsia="仿宋_GB2312"/>
          <w:b/>
          <w:bCs/>
          <w:sz w:val="32"/>
          <w:szCs w:val="32"/>
        </w:rPr>
        <w:t>1、建设高质量5</w:t>
      </w:r>
      <w:r>
        <w:rPr>
          <w:rFonts w:eastAsia="仿宋_GB2312"/>
          <w:b/>
          <w:bCs/>
          <w:sz w:val="32"/>
          <w:szCs w:val="32"/>
        </w:rPr>
        <w:t>G</w:t>
      </w:r>
      <w:r>
        <w:rPr>
          <w:rFonts w:hint="eastAsia" w:eastAsia="仿宋_GB2312"/>
          <w:b/>
          <w:bCs/>
          <w:sz w:val="32"/>
          <w:szCs w:val="32"/>
        </w:rPr>
        <w:t>精品网络</w:t>
      </w:r>
      <w:bookmarkEnd w:id="72"/>
      <w:bookmarkEnd w:id="73"/>
    </w:p>
    <w:p>
      <w:pPr>
        <w:spacing w:line="570" w:lineRule="exact"/>
        <w:ind w:firstLine="640" w:firstLineChars="200"/>
        <w:rPr>
          <w:rFonts w:eastAsia="仿宋_GB2312"/>
          <w:sz w:val="32"/>
          <w:szCs w:val="32"/>
        </w:rPr>
      </w:pPr>
      <w:r>
        <w:rPr>
          <w:rFonts w:hint="eastAsia" w:eastAsia="仿宋_GB2312"/>
          <w:kern w:val="0"/>
          <w:sz w:val="32"/>
          <w:szCs w:val="32"/>
        </w:rPr>
        <w:t>协同推进社会公共设施资源向</w:t>
      </w:r>
      <w:r>
        <w:rPr>
          <w:rFonts w:eastAsia="仿宋_GB2312"/>
          <w:kern w:val="0"/>
          <w:sz w:val="32"/>
          <w:szCs w:val="32"/>
        </w:rPr>
        <w:t>5G</w:t>
      </w:r>
      <w:r>
        <w:rPr>
          <w:rFonts w:hint="eastAsia" w:eastAsia="仿宋_GB2312"/>
          <w:kern w:val="0"/>
          <w:sz w:val="32"/>
          <w:szCs w:val="32"/>
        </w:rPr>
        <w:t>通信基站建设开放，全面升级</w:t>
      </w:r>
      <w:r>
        <w:rPr>
          <w:rFonts w:eastAsia="仿宋_GB2312"/>
          <w:kern w:val="0"/>
          <w:sz w:val="32"/>
          <w:szCs w:val="32"/>
        </w:rPr>
        <w:t>5G</w:t>
      </w:r>
      <w:r>
        <w:rPr>
          <w:rFonts w:hint="eastAsia" w:eastAsia="仿宋_GB2312"/>
          <w:kern w:val="0"/>
          <w:sz w:val="32"/>
          <w:szCs w:val="32"/>
        </w:rPr>
        <w:t>网络承载能力，建设网络信号优、覆盖区域广、应用落地快的高质量</w:t>
      </w:r>
      <w:r>
        <w:rPr>
          <w:rFonts w:eastAsia="仿宋_GB2312"/>
          <w:kern w:val="0"/>
          <w:sz w:val="32"/>
          <w:szCs w:val="32"/>
        </w:rPr>
        <w:t>5G</w:t>
      </w:r>
      <w:r>
        <w:rPr>
          <w:rFonts w:hint="eastAsia" w:eastAsia="仿宋_GB2312"/>
          <w:kern w:val="0"/>
          <w:sz w:val="32"/>
          <w:szCs w:val="32"/>
        </w:rPr>
        <w:t>精品网络，实现五环内</w:t>
      </w:r>
      <w:r>
        <w:rPr>
          <w:rFonts w:eastAsia="仿宋_GB2312"/>
          <w:kern w:val="0"/>
          <w:sz w:val="32"/>
          <w:szCs w:val="32"/>
        </w:rPr>
        <w:t>5G</w:t>
      </w:r>
      <w:r>
        <w:rPr>
          <w:rFonts w:hint="eastAsia" w:eastAsia="仿宋_GB2312"/>
          <w:kern w:val="0"/>
          <w:sz w:val="32"/>
          <w:szCs w:val="32"/>
        </w:rPr>
        <w:t>信号连续覆盖，五环外重点地区和场景精准覆盖，</w:t>
      </w:r>
      <w:r>
        <w:rPr>
          <w:rFonts w:hint="eastAsia" w:eastAsia="仿宋_GB2312"/>
          <w:kern w:val="0"/>
          <w:sz w:val="32"/>
          <w:szCs w:val="32"/>
          <w:lang w:val="zh-CN"/>
        </w:rPr>
        <w:t>重点推进长安街延长线、机场高速、国贸周边、朝阳公园等区域</w:t>
      </w:r>
      <w:r>
        <w:rPr>
          <w:rFonts w:eastAsia="仿宋_GB2312"/>
          <w:kern w:val="0"/>
          <w:sz w:val="32"/>
          <w:szCs w:val="32"/>
        </w:rPr>
        <w:t>5G</w:t>
      </w:r>
      <w:r>
        <w:rPr>
          <w:rFonts w:hint="eastAsia" w:eastAsia="仿宋_GB2312"/>
          <w:kern w:val="0"/>
          <w:sz w:val="32"/>
          <w:szCs w:val="32"/>
        </w:rPr>
        <w:t>商用落地进程。拓展</w:t>
      </w:r>
      <w:r>
        <w:rPr>
          <w:rFonts w:eastAsia="仿宋_GB2312"/>
          <w:kern w:val="0"/>
          <w:sz w:val="32"/>
          <w:szCs w:val="32"/>
        </w:rPr>
        <w:t>5G</w:t>
      </w:r>
      <w:r>
        <w:rPr>
          <w:rFonts w:hint="eastAsia" w:eastAsia="仿宋_GB2312"/>
          <w:kern w:val="0"/>
          <w:sz w:val="32"/>
          <w:szCs w:val="32"/>
        </w:rPr>
        <w:t>技术在全息视频会议、无人驾驶、智慧政务、智慧教育、智慧医疗、智慧环保、智慧警务、工业互联网、消费娱乐等领域的深度创新应用。</w:t>
      </w:r>
    </w:p>
    <w:p>
      <w:pPr>
        <w:spacing w:line="570" w:lineRule="exact"/>
        <w:ind w:firstLine="643" w:firstLineChars="200"/>
        <w:outlineLvl w:val="2"/>
        <w:rPr>
          <w:rFonts w:eastAsia="仿宋_GB2312"/>
          <w:b/>
          <w:bCs/>
          <w:sz w:val="32"/>
          <w:szCs w:val="32"/>
        </w:rPr>
      </w:pPr>
      <w:bookmarkStart w:id="74" w:name="_Toc79136140"/>
      <w:bookmarkStart w:id="75" w:name="_Toc78985241"/>
      <w:r>
        <w:rPr>
          <w:rFonts w:eastAsia="仿宋_GB2312"/>
          <w:b/>
          <w:bCs/>
          <w:sz w:val="32"/>
          <w:szCs w:val="32"/>
        </w:rPr>
        <w:t>2</w:t>
      </w:r>
      <w:r>
        <w:rPr>
          <w:rFonts w:hint="eastAsia" w:eastAsia="仿宋_GB2312"/>
          <w:b/>
          <w:bCs/>
          <w:sz w:val="32"/>
          <w:szCs w:val="32"/>
        </w:rPr>
        <w:t>、打造全域全光千兆网络</w:t>
      </w:r>
      <w:bookmarkEnd w:id="74"/>
    </w:p>
    <w:p>
      <w:pPr>
        <w:spacing w:line="570" w:lineRule="exact"/>
        <w:ind w:firstLine="640" w:firstLineChars="200"/>
        <w:rPr>
          <w:rFonts w:eastAsia="仿宋_GB2312"/>
          <w:sz w:val="32"/>
          <w:szCs w:val="32"/>
        </w:rPr>
      </w:pPr>
      <w:r>
        <w:rPr>
          <w:rFonts w:hint="eastAsia" w:eastAsia="仿宋_GB2312"/>
          <w:sz w:val="32"/>
          <w:szCs w:val="32"/>
        </w:rPr>
        <w:t>鼓励电信运营企业加快推进</w:t>
      </w:r>
      <w:r>
        <w:rPr>
          <w:rFonts w:eastAsia="仿宋_GB2312"/>
          <w:sz w:val="32"/>
          <w:szCs w:val="32"/>
        </w:rPr>
        <w:t>F5G</w:t>
      </w:r>
      <w:r>
        <w:rPr>
          <w:rFonts w:hint="eastAsia" w:eastAsia="仿宋_GB2312"/>
          <w:sz w:val="32"/>
          <w:szCs w:val="32"/>
        </w:rPr>
        <w:t>千兆光纤网络建设，提高光纤覆盖率，在冬奥会（北京赛区）等重点区域开展大规模光缆建设。面向家庭、企业、工厂、医院等室内或固定场景提供高性能宽带服务，实现家庭用户体验速率达百兆，家庭光纤宽带网络接入能力超千兆，商务楼宇光纤宽带网络接入能力达万兆。建设千兆固网智慧家居集成应用示范小区，促进千兆固网应用落地。拓展无线网络覆盖和</w:t>
      </w:r>
      <w:r>
        <w:rPr>
          <w:rFonts w:eastAsia="仿宋_GB2312"/>
          <w:sz w:val="32"/>
          <w:szCs w:val="32"/>
        </w:rPr>
        <w:t>Wi-Fi6</w:t>
      </w:r>
      <w:r>
        <w:rPr>
          <w:rFonts w:hint="eastAsia" w:eastAsia="仿宋_GB2312"/>
          <w:sz w:val="32"/>
          <w:szCs w:val="32"/>
        </w:rPr>
        <w:t>新技术应用，发展</w:t>
      </w:r>
      <w:r>
        <w:rPr>
          <w:rFonts w:eastAsia="仿宋_GB2312"/>
          <w:sz w:val="32"/>
          <w:szCs w:val="32"/>
        </w:rPr>
        <w:t>3D</w:t>
      </w:r>
      <w:r>
        <w:rPr>
          <w:rFonts w:hint="eastAsia" w:eastAsia="仿宋_GB2312"/>
          <w:sz w:val="32"/>
          <w:szCs w:val="32"/>
        </w:rPr>
        <w:t>影视、超高清视频、网络游戏、</w:t>
      </w:r>
      <w:r>
        <w:rPr>
          <w:rFonts w:eastAsia="仿宋_GB2312"/>
          <w:sz w:val="32"/>
          <w:szCs w:val="32"/>
        </w:rPr>
        <w:t>VR</w:t>
      </w:r>
      <w:r>
        <w:rPr>
          <w:rFonts w:hint="eastAsia" w:eastAsia="仿宋_GB2312"/>
          <w:sz w:val="32"/>
          <w:szCs w:val="32"/>
        </w:rPr>
        <w:t>、</w:t>
      </w:r>
      <w:r>
        <w:rPr>
          <w:rFonts w:eastAsia="仿宋_GB2312"/>
          <w:sz w:val="32"/>
          <w:szCs w:val="32"/>
        </w:rPr>
        <w:t>AR</w:t>
      </w:r>
      <w:r>
        <w:rPr>
          <w:rFonts w:hint="eastAsia" w:eastAsia="仿宋_GB2312"/>
          <w:sz w:val="32"/>
          <w:szCs w:val="32"/>
        </w:rPr>
        <w:t>等高带宽内容。</w:t>
      </w:r>
    </w:p>
    <w:p>
      <w:pPr>
        <w:spacing w:line="570" w:lineRule="exact"/>
        <w:ind w:firstLine="643" w:firstLineChars="200"/>
        <w:outlineLvl w:val="2"/>
        <w:rPr>
          <w:rFonts w:eastAsia="仿宋_GB2312"/>
          <w:b/>
          <w:bCs/>
          <w:sz w:val="32"/>
          <w:szCs w:val="32"/>
        </w:rPr>
      </w:pPr>
      <w:bookmarkStart w:id="76" w:name="_Toc79136141"/>
      <w:r>
        <w:rPr>
          <w:rFonts w:hint="eastAsia" w:eastAsia="仿宋_GB2312"/>
          <w:b/>
          <w:bCs/>
          <w:sz w:val="32"/>
          <w:szCs w:val="32"/>
        </w:rPr>
        <w:t>3、探索部署边缘计算节点</w:t>
      </w:r>
      <w:bookmarkEnd w:id="75"/>
      <w:bookmarkEnd w:id="76"/>
    </w:p>
    <w:p>
      <w:pPr>
        <w:spacing w:line="570" w:lineRule="exact"/>
        <w:ind w:firstLine="640" w:firstLineChars="200"/>
        <w:rPr>
          <w:rFonts w:eastAsia="仿宋_GB2312"/>
          <w:sz w:val="32"/>
          <w:szCs w:val="32"/>
        </w:rPr>
      </w:pPr>
      <w:r>
        <w:rPr>
          <w:rFonts w:hint="eastAsia" w:eastAsia="仿宋_GB2312"/>
          <w:sz w:val="32"/>
          <w:szCs w:val="32"/>
        </w:rPr>
        <w:t>推进数据中心从“云+端”集中式架构向“云+边+端”分布式架构演变，按需优先在城市核心区域布局集内容、网络、存储、计算为一体的边缘计算节点。探索构建形成技术超前、规模适度的边缘计算节点布局，实现本地快速智能解析功能，满足智慧园区、轨道交通、应急保障和智慧水务等5</w:t>
      </w:r>
      <w:r>
        <w:rPr>
          <w:rFonts w:eastAsia="仿宋_GB2312"/>
          <w:sz w:val="32"/>
          <w:szCs w:val="32"/>
        </w:rPr>
        <w:t>G</w:t>
      </w:r>
      <w:r>
        <w:rPr>
          <w:rFonts w:hint="eastAsia" w:eastAsia="仿宋_GB2312"/>
          <w:sz w:val="32"/>
          <w:szCs w:val="32"/>
        </w:rPr>
        <w:t>应用场景的敏捷连接需求，促进边缘计算和相关产品在各行业应用落地。</w:t>
      </w:r>
    </w:p>
    <w:p>
      <w:pPr>
        <w:spacing w:line="570" w:lineRule="exact"/>
        <w:ind w:firstLine="643" w:firstLineChars="200"/>
        <w:outlineLvl w:val="2"/>
        <w:rPr>
          <w:rFonts w:eastAsia="仿宋_GB2312"/>
          <w:b/>
          <w:bCs/>
          <w:sz w:val="32"/>
          <w:szCs w:val="32"/>
        </w:rPr>
      </w:pPr>
      <w:bookmarkStart w:id="77" w:name="_Toc78985242"/>
      <w:bookmarkStart w:id="78" w:name="_Toc79136142"/>
      <w:r>
        <w:rPr>
          <w:rFonts w:eastAsia="仿宋_GB2312"/>
          <w:b/>
          <w:bCs/>
          <w:sz w:val="32"/>
          <w:szCs w:val="32"/>
        </w:rPr>
        <w:t>4</w:t>
      </w:r>
      <w:r>
        <w:rPr>
          <w:rFonts w:hint="eastAsia" w:eastAsia="仿宋_GB2312"/>
          <w:b/>
          <w:bCs/>
          <w:sz w:val="32"/>
          <w:szCs w:val="32"/>
        </w:rPr>
        <w:t>、持续完善政务基础设施</w:t>
      </w:r>
      <w:bookmarkEnd w:id="77"/>
      <w:bookmarkEnd w:id="78"/>
    </w:p>
    <w:p>
      <w:pPr>
        <w:spacing w:line="570" w:lineRule="exact"/>
        <w:ind w:firstLine="640" w:firstLineChars="200"/>
        <w:rPr>
          <w:rFonts w:eastAsia="仿宋_GB2312"/>
          <w:sz w:val="32"/>
          <w:szCs w:val="32"/>
        </w:rPr>
      </w:pPr>
      <w:r>
        <w:rPr>
          <w:rFonts w:hint="eastAsia" w:eastAsia="仿宋_GB2312"/>
          <w:sz w:val="32"/>
          <w:szCs w:val="32"/>
        </w:rPr>
        <w:t>完善政务外网骨干网建设，为高清视频会议和高清图像监控等流媒</w:t>
      </w:r>
      <w:r>
        <w:rPr>
          <w:rFonts w:hint="eastAsia" w:eastAsia="仿宋_GB2312" w:cs="仿宋_GB2312"/>
          <w:sz w:val="32"/>
          <w:szCs w:val="32"/>
        </w:rPr>
        <w:t>体业务提供高速可靠</w:t>
      </w:r>
      <w:r>
        <w:rPr>
          <w:rFonts w:hint="eastAsia" w:eastAsia="仿宋_GB2312"/>
          <w:sz w:val="32"/>
          <w:szCs w:val="32"/>
        </w:rPr>
        <w:t>的专用传输通道。持续加大政务网络覆盖力度，保障社区（村）等三级政务节点全接入，助力提升政府行政效率和公共服务能力。根据市、区统一要求，推进金财、卫生、工商等专网的整合工作。进一步实施政务网络机房升级改造、对核心机房供电、环控、消防、监控实施安全加固，保障政务网络接入安全。</w:t>
      </w:r>
    </w:p>
    <w:p>
      <w:pPr>
        <w:spacing w:line="570" w:lineRule="exact"/>
        <w:ind w:firstLine="643" w:firstLineChars="200"/>
        <w:outlineLvl w:val="2"/>
        <w:rPr>
          <w:rFonts w:eastAsia="仿宋_GB2312"/>
          <w:b/>
          <w:bCs/>
          <w:sz w:val="32"/>
          <w:szCs w:val="32"/>
        </w:rPr>
      </w:pPr>
      <w:bookmarkStart w:id="79" w:name="_Toc78985243"/>
      <w:bookmarkStart w:id="80" w:name="_Toc79136143"/>
      <w:r>
        <w:rPr>
          <w:rFonts w:eastAsia="仿宋_GB2312"/>
          <w:b/>
          <w:bCs/>
          <w:sz w:val="32"/>
          <w:szCs w:val="32"/>
        </w:rPr>
        <w:t>5</w:t>
      </w:r>
      <w:r>
        <w:rPr>
          <w:rFonts w:hint="eastAsia" w:eastAsia="仿宋_GB2312"/>
          <w:b/>
          <w:bCs/>
          <w:sz w:val="32"/>
          <w:szCs w:val="32"/>
        </w:rPr>
        <w:t>、建设区块链基础设施</w:t>
      </w:r>
      <w:bookmarkEnd w:id="79"/>
      <w:bookmarkEnd w:id="80"/>
    </w:p>
    <w:p>
      <w:pPr>
        <w:spacing w:line="570" w:lineRule="exact"/>
        <w:ind w:firstLine="640" w:firstLineChars="200"/>
        <w:rPr>
          <w:rFonts w:eastAsia="楷体_GB2312"/>
          <w:sz w:val="32"/>
          <w:szCs w:val="32"/>
        </w:rPr>
      </w:pPr>
      <w:r>
        <w:rPr>
          <w:rFonts w:hint="eastAsia" w:eastAsia="仿宋_GB2312"/>
          <w:sz w:val="32"/>
          <w:szCs w:val="32"/>
        </w:rPr>
        <w:t>建设区级政务区块链网络，</w:t>
      </w:r>
      <w:r>
        <w:rPr>
          <w:rFonts w:eastAsia="仿宋_GB2312"/>
          <w:kern w:val="0"/>
          <w:sz w:val="32"/>
          <w:szCs w:val="32"/>
        </w:rPr>
        <w:t>加快布局区块链底层开源平台</w:t>
      </w:r>
      <w:r>
        <w:rPr>
          <w:rFonts w:hint="eastAsia" w:eastAsia="仿宋_GB2312"/>
          <w:kern w:val="0"/>
          <w:sz w:val="32"/>
          <w:szCs w:val="32"/>
        </w:rPr>
        <w:t>，</w:t>
      </w:r>
      <w:r>
        <w:rPr>
          <w:rFonts w:hint="eastAsia" w:eastAsia="仿宋_GB2312"/>
          <w:sz w:val="32"/>
          <w:szCs w:val="32"/>
        </w:rPr>
        <w:t>着力打造基于安全可靠区块链技术的联盟链和公有链等基础平台，建设区块链开放服务平台。深化政务服务领域区块链技术应用，对接市统一身份认证平台推进数据共享和信息匹配。探索电子商务交易、民生服务、公共安全、社会信用等重点领域区块链技术应用。统一区块链数据标准、管理规范和操作规则，加强区块链政务专网的公共节点接入、用户和权限、专网内应用、CA证书等管理。</w:t>
      </w:r>
    </w:p>
    <w:p>
      <w:pPr>
        <w:keepNext/>
        <w:keepLines/>
        <w:spacing w:line="570" w:lineRule="exact"/>
        <w:ind w:firstLine="643" w:firstLineChars="200"/>
        <w:outlineLvl w:val="1"/>
        <w:rPr>
          <w:rFonts w:eastAsia="楷体_GB2312"/>
          <w:b/>
          <w:bCs/>
          <w:sz w:val="32"/>
          <w:szCs w:val="32"/>
        </w:rPr>
      </w:pPr>
      <w:bookmarkStart w:id="81" w:name="_Toc78985244"/>
      <w:bookmarkStart w:id="82" w:name="_Toc79136606"/>
      <w:bookmarkStart w:id="83" w:name="_Toc79136144"/>
      <w:r>
        <w:rPr>
          <w:rFonts w:hint="eastAsia" w:eastAsia="楷体_GB2312"/>
          <w:b/>
          <w:bCs/>
          <w:sz w:val="32"/>
          <w:szCs w:val="32"/>
        </w:rPr>
        <w:t>（二）提升融合基础设施</w:t>
      </w:r>
      <w:bookmarkEnd w:id="81"/>
      <w:bookmarkEnd w:id="82"/>
      <w:bookmarkEnd w:id="83"/>
    </w:p>
    <w:p>
      <w:pPr>
        <w:spacing w:line="570" w:lineRule="exact"/>
        <w:ind w:firstLine="643" w:firstLineChars="200"/>
        <w:outlineLvl w:val="2"/>
        <w:rPr>
          <w:rFonts w:eastAsia="仿宋_GB2312"/>
          <w:b/>
          <w:bCs/>
          <w:sz w:val="32"/>
          <w:szCs w:val="32"/>
        </w:rPr>
      </w:pPr>
      <w:bookmarkStart w:id="84" w:name="_Toc79136145"/>
      <w:bookmarkStart w:id="85" w:name="_Toc78985245"/>
      <w:r>
        <w:rPr>
          <w:rFonts w:hint="eastAsia" w:eastAsia="仿宋_GB2312"/>
          <w:b/>
          <w:bCs/>
          <w:sz w:val="32"/>
          <w:szCs w:val="32"/>
        </w:rPr>
        <w:t>1、部署城市智能感知终端</w:t>
      </w:r>
      <w:bookmarkEnd w:id="84"/>
      <w:bookmarkEnd w:id="85"/>
    </w:p>
    <w:p>
      <w:pPr>
        <w:spacing w:line="570" w:lineRule="exact"/>
        <w:ind w:firstLine="640" w:firstLineChars="200"/>
        <w:rPr>
          <w:rFonts w:eastAsia="仿宋_GB2312"/>
          <w:sz w:val="32"/>
          <w:szCs w:val="32"/>
        </w:rPr>
      </w:pPr>
      <w:r>
        <w:rPr>
          <w:rFonts w:eastAsia="仿宋_GB2312"/>
          <w:sz w:val="32"/>
          <w:szCs w:val="32"/>
        </w:rPr>
        <w:t>统筹推进</w:t>
      </w:r>
      <w:r>
        <w:rPr>
          <w:rFonts w:hint="eastAsia" w:eastAsia="仿宋_GB2312"/>
          <w:sz w:val="32"/>
          <w:szCs w:val="32"/>
        </w:rPr>
        <w:t>NB-IoT、</w:t>
      </w:r>
      <w:r>
        <w:rPr>
          <w:rFonts w:eastAsia="仿宋_GB2312"/>
          <w:sz w:val="32"/>
          <w:szCs w:val="32"/>
        </w:rPr>
        <w:t>视频专网等感知</w:t>
      </w:r>
      <w:r>
        <w:rPr>
          <w:rFonts w:hint="eastAsia" w:eastAsia="仿宋_GB2312"/>
          <w:sz w:val="32"/>
          <w:szCs w:val="32"/>
        </w:rPr>
        <w:t>网络</w:t>
      </w:r>
      <w:r>
        <w:rPr>
          <w:rFonts w:eastAsia="仿宋_GB2312"/>
          <w:sz w:val="32"/>
          <w:szCs w:val="32"/>
        </w:rPr>
        <w:t>建设，</w:t>
      </w:r>
      <w:r>
        <w:rPr>
          <w:rFonts w:hint="eastAsia" w:eastAsia="仿宋_GB2312"/>
          <w:sz w:val="32"/>
          <w:szCs w:val="32"/>
        </w:rPr>
        <w:t>完善</w:t>
      </w:r>
      <w:r>
        <w:rPr>
          <w:rFonts w:eastAsia="仿宋_GB2312"/>
          <w:sz w:val="32"/>
          <w:szCs w:val="32"/>
        </w:rPr>
        <w:t>感知数据网络传输通路</w:t>
      </w:r>
      <w:r>
        <w:rPr>
          <w:rFonts w:hint="eastAsia" w:eastAsia="仿宋_GB2312"/>
          <w:sz w:val="32"/>
          <w:szCs w:val="32"/>
        </w:rPr>
        <w:t>。建成全区物联感知终端“一套台账”，</w:t>
      </w:r>
      <w:r>
        <w:rPr>
          <w:rFonts w:eastAsia="仿宋_GB2312"/>
          <w:sz w:val="32"/>
          <w:szCs w:val="32"/>
        </w:rPr>
        <w:t>逐步实现</w:t>
      </w:r>
      <w:r>
        <w:rPr>
          <w:rFonts w:hint="eastAsia" w:eastAsia="仿宋_GB2312"/>
          <w:sz w:val="32"/>
          <w:szCs w:val="32"/>
        </w:rPr>
        <w:t>对全区物联网设备</w:t>
      </w:r>
      <w:r>
        <w:rPr>
          <w:rFonts w:eastAsia="仿宋_GB2312"/>
          <w:sz w:val="32"/>
          <w:szCs w:val="32"/>
        </w:rPr>
        <w:t>点位和监测数据的统筹管理。</w:t>
      </w:r>
      <w:r>
        <w:rPr>
          <w:rFonts w:hint="eastAsia" w:eastAsia="仿宋_GB2312"/>
          <w:sz w:val="32"/>
          <w:szCs w:val="32"/>
        </w:rPr>
        <w:t>持续推进公共安全视频监控增点扩面，加强背街小巷、城乡结合部、老旧小区的监控布点，更新升级视频图像采集设备，增设高清摄像头和智能摄像头。在</w:t>
      </w:r>
      <w:r>
        <w:rPr>
          <w:rFonts w:eastAsia="仿宋_GB2312"/>
          <w:sz w:val="32"/>
          <w:szCs w:val="32"/>
        </w:rPr>
        <w:t>人流密集区推进电子围栏技术应用</w:t>
      </w:r>
      <w:r>
        <w:rPr>
          <w:rFonts w:hint="eastAsia" w:eastAsia="仿宋_GB2312"/>
          <w:sz w:val="32"/>
          <w:szCs w:val="32"/>
        </w:rPr>
        <w:t>，部署智能灯杆、智能井盖等低功耗物联感知终端，提高城市智能感知能力和运行监测保障水平。</w:t>
      </w:r>
    </w:p>
    <w:p>
      <w:pPr>
        <w:spacing w:line="570" w:lineRule="exact"/>
        <w:ind w:firstLine="643" w:firstLineChars="200"/>
        <w:outlineLvl w:val="2"/>
        <w:rPr>
          <w:rFonts w:eastAsia="仿宋_GB2312"/>
          <w:b/>
          <w:bCs/>
          <w:sz w:val="32"/>
          <w:szCs w:val="32"/>
        </w:rPr>
      </w:pPr>
      <w:bookmarkStart w:id="86" w:name="_Toc78985246"/>
      <w:bookmarkStart w:id="87" w:name="_Toc79136146"/>
      <w:r>
        <w:rPr>
          <w:rFonts w:hint="eastAsia" w:eastAsia="仿宋_GB2312"/>
          <w:b/>
          <w:bCs/>
          <w:sz w:val="32"/>
          <w:szCs w:val="32"/>
        </w:rPr>
        <w:t>2、推动传统基础设施升级改造</w:t>
      </w:r>
      <w:bookmarkEnd w:id="86"/>
      <w:bookmarkEnd w:id="87"/>
    </w:p>
    <w:p>
      <w:pPr>
        <w:spacing w:line="570" w:lineRule="exact"/>
        <w:ind w:firstLine="640" w:firstLineChars="200"/>
        <w:rPr>
          <w:rFonts w:eastAsia="楷体_GB2312"/>
          <w:sz w:val="32"/>
          <w:szCs w:val="32"/>
        </w:rPr>
      </w:pPr>
      <w:r>
        <w:rPr>
          <w:rFonts w:hint="eastAsia" w:eastAsia="仿宋_GB2312"/>
          <w:sz w:val="32"/>
          <w:szCs w:val="32"/>
        </w:rPr>
        <w:t>结合“城市双修”工作，全面摸排全区城市部件基础信息，为城市公共设施配置二维码。</w:t>
      </w:r>
      <w:r>
        <w:rPr>
          <w:rFonts w:hint="eastAsia" w:eastAsia="仿宋_GB2312"/>
          <w:kern w:val="0"/>
          <w:sz w:val="32"/>
          <w:szCs w:val="32"/>
          <w:lang w:val="zh-CN"/>
        </w:rPr>
        <w:t>重点围绕城市道路、轨道交通、水务建设、环保环卫等领域推进市政设施管理感知网络和</w:t>
      </w:r>
      <w:r>
        <w:rPr>
          <w:rFonts w:hint="eastAsia" w:eastAsia="仿宋_GB2312"/>
          <w:kern w:val="0"/>
          <w:sz w:val="32"/>
          <w:szCs w:val="32"/>
        </w:rPr>
        <w:t>感知设备部署</w:t>
      </w:r>
      <w:r>
        <w:rPr>
          <w:rFonts w:hint="eastAsia" w:eastAsia="仿宋_GB2312"/>
          <w:kern w:val="0"/>
          <w:sz w:val="32"/>
          <w:szCs w:val="32"/>
          <w:lang w:val="zh-CN"/>
        </w:rPr>
        <w:t>。</w:t>
      </w:r>
      <w:r>
        <w:rPr>
          <w:rFonts w:hint="eastAsia" w:eastAsia="仿宋_GB2312"/>
          <w:kern w:val="0"/>
          <w:sz w:val="32"/>
          <w:szCs w:val="32"/>
        </w:rPr>
        <w:t>推进管廊管线等设施的智能化改造，开展无人巡检、数字管廊等应用建设，强化水、电、气、热等能源供应、运行保障和应急处置预案。加快建设可以支持高级别自动驾驶（</w:t>
      </w:r>
      <w:r>
        <w:rPr>
          <w:rFonts w:eastAsia="仿宋_GB2312"/>
          <w:kern w:val="0"/>
          <w:sz w:val="32"/>
          <w:szCs w:val="32"/>
        </w:rPr>
        <w:t>L4</w:t>
      </w:r>
      <w:r>
        <w:rPr>
          <w:rFonts w:hint="eastAsia" w:eastAsia="仿宋_GB2312"/>
          <w:kern w:val="0"/>
          <w:sz w:val="32"/>
          <w:szCs w:val="32"/>
        </w:rPr>
        <w:t>级别以上）运行的高可靠、低时延专用网络，加快实施自动驾驶示范区车路协同信息化设施建设</w:t>
      </w:r>
      <w:r>
        <w:rPr>
          <w:rFonts w:hint="eastAsia" w:eastAsia="仿宋_GB2312"/>
          <w:sz w:val="32"/>
          <w:szCs w:val="32"/>
        </w:rPr>
        <w:t>改造。</w:t>
      </w:r>
    </w:p>
    <w:p>
      <w:pPr>
        <w:keepNext/>
        <w:keepLines/>
        <w:spacing w:line="570" w:lineRule="exact"/>
        <w:ind w:firstLine="643" w:firstLineChars="200"/>
        <w:outlineLvl w:val="1"/>
        <w:rPr>
          <w:rFonts w:eastAsia="楷体_GB2312"/>
          <w:b/>
          <w:bCs/>
          <w:sz w:val="32"/>
          <w:szCs w:val="32"/>
        </w:rPr>
      </w:pPr>
      <w:bookmarkStart w:id="88" w:name="_Toc78985247"/>
      <w:bookmarkStart w:id="89" w:name="_Toc79136607"/>
      <w:bookmarkStart w:id="90" w:name="_Toc79136147"/>
      <w:r>
        <w:rPr>
          <w:rFonts w:hint="eastAsia" w:eastAsia="楷体_GB2312"/>
          <w:b/>
          <w:bCs/>
          <w:sz w:val="32"/>
          <w:szCs w:val="32"/>
        </w:rPr>
        <w:t>（三）建设创新基础设施</w:t>
      </w:r>
      <w:bookmarkEnd w:id="88"/>
      <w:bookmarkEnd w:id="89"/>
      <w:bookmarkEnd w:id="90"/>
    </w:p>
    <w:p>
      <w:pPr>
        <w:spacing w:line="570" w:lineRule="exact"/>
        <w:ind w:firstLine="643" w:firstLineChars="200"/>
        <w:outlineLvl w:val="2"/>
        <w:rPr>
          <w:rFonts w:eastAsia="仿宋_GB2312"/>
          <w:b/>
          <w:bCs/>
          <w:sz w:val="32"/>
          <w:szCs w:val="32"/>
        </w:rPr>
      </w:pPr>
      <w:bookmarkStart w:id="91" w:name="_Toc78985248"/>
      <w:bookmarkStart w:id="92" w:name="_Toc79136148"/>
      <w:r>
        <w:rPr>
          <w:rFonts w:hint="eastAsia" w:eastAsia="仿宋_GB2312"/>
          <w:b/>
          <w:bCs/>
          <w:sz w:val="32"/>
          <w:szCs w:val="32"/>
        </w:rPr>
        <w:t>1、推动智慧城市共享开源平台建设</w:t>
      </w:r>
      <w:bookmarkEnd w:id="91"/>
      <w:bookmarkEnd w:id="92"/>
    </w:p>
    <w:p>
      <w:pPr>
        <w:spacing w:line="570" w:lineRule="exact"/>
        <w:ind w:firstLine="640" w:firstLineChars="200"/>
        <w:rPr>
          <w:rFonts w:eastAsia="楷体_GB2312"/>
          <w:sz w:val="32"/>
          <w:szCs w:val="32"/>
        </w:rPr>
      </w:pPr>
      <w:r>
        <w:rPr>
          <w:rFonts w:hint="eastAsia" w:eastAsia="仿宋_GB2312"/>
          <w:bCs/>
          <w:kern w:val="0"/>
          <w:sz w:val="32"/>
          <w:szCs w:val="32"/>
        </w:rPr>
        <w:t>创建共享开源创新中心，依托阿里达摩院、北京鲲鹏联合创新中心、</w:t>
      </w:r>
      <w:r>
        <w:rPr>
          <w:rFonts w:eastAsia="仿宋_GB2312"/>
          <w:bCs/>
          <w:kern w:val="0"/>
          <w:sz w:val="32"/>
          <w:szCs w:val="32"/>
        </w:rPr>
        <w:t>360</w:t>
      </w:r>
      <w:r>
        <w:rPr>
          <w:rFonts w:hint="eastAsia" w:eastAsia="仿宋_GB2312"/>
          <w:bCs/>
          <w:kern w:val="0"/>
          <w:sz w:val="32"/>
          <w:szCs w:val="32"/>
        </w:rPr>
        <w:t>安全平台、东方国信、超图软件等优势主体，建设覆盖多领域的工业级开源操作系统、开源数据库和开源人工智能推理框架，支持开放硬件、开源软件、智能算法、工业控制、网络安全等应用创新，为区内企业数字化转型提供可信安全基础设施底座。联合高等院校、科研机构、平台型企业等主体，建设一批新型创新服务平台，整合研发、中试等环节创新资源，构建产品协同研发、快速迭代创新的良好生态。</w:t>
      </w:r>
    </w:p>
    <w:p>
      <w:pPr>
        <w:spacing w:line="570" w:lineRule="exact"/>
        <w:ind w:firstLine="643" w:firstLineChars="200"/>
        <w:outlineLvl w:val="2"/>
        <w:rPr>
          <w:rFonts w:eastAsia="仿宋_GB2312"/>
          <w:b/>
          <w:bCs/>
          <w:sz w:val="32"/>
          <w:szCs w:val="32"/>
        </w:rPr>
      </w:pPr>
      <w:bookmarkStart w:id="93" w:name="_Toc79136149"/>
      <w:bookmarkStart w:id="94" w:name="_Toc78985249"/>
      <w:r>
        <w:rPr>
          <w:rFonts w:hint="eastAsia" w:eastAsia="仿宋_GB2312"/>
          <w:b/>
          <w:bCs/>
          <w:sz w:val="32"/>
          <w:szCs w:val="32"/>
        </w:rPr>
        <w:t>2、推动公共技术服务平台建设</w:t>
      </w:r>
      <w:bookmarkEnd w:id="93"/>
      <w:bookmarkEnd w:id="94"/>
    </w:p>
    <w:p>
      <w:pPr>
        <w:spacing w:line="570" w:lineRule="exact"/>
        <w:ind w:firstLine="640" w:firstLineChars="200"/>
        <w:rPr>
          <w:rFonts w:eastAsia="仿宋_GB2312"/>
          <w:sz w:val="32"/>
          <w:szCs w:val="32"/>
        </w:rPr>
      </w:pPr>
      <w:r>
        <w:rPr>
          <w:rFonts w:hint="eastAsia" w:eastAsia="仿宋_GB2312"/>
          <w:bCs/>
          <w:kern w:val="0"/>
          <w:sz w:val="32"/>
          <w:szCs w:val="32"/>
        </w:rPr>
        <w:t>夯实公共技术基础设施服务，加快吸纳和集聚各类创新要素资源，实现公共技术资源的统筹管理、一站服务、开放共享。建立企业服务清单，建设集科研条件、研发资源共享、技术开发、产品设计、孵化育成、检验检测、技术交易、知识产权等于一体的公共技术服务平台。面向中小型创新创业企业，强化创业基金、科技金融、创业服务、知识产权、成果转化等领域配套服务，促进重点产业领域共性与关键性技术协同研发与共享、成果转化和工程化。</w:t>
      </w:r>
    </w:p>
    <w:p>
      <w:pPr>
        <w:keepNext/>
        <w:keepLines/>
        <w:spacing w:line="570" w:lineRule="exact"/>
        <w:ind w:firstLine="640" w:firstLineChars="200"/>
        <w:jc w:val="left"/>
        <w:outlineLvl w:val="0"/>
        <w:rPr>
          <w:rFonts w:eastAsia="黑体"/>
          <w:bCs/>
          <w:kern w:val="44"/>
          <w:sz w:val="32"/>
          <w:szCs w:val="44"/>
        </w:rPr>
      </w:pPr>
      <w:bookmarkStart w:id="95" w:name="_Toc79136150"/>
      <w:bookmarkStart w:id="96" w:name="_Toc78985250"/>
      <w:bookmarkStart w:id="97" w:name="_Toc79136608"/>
      <w:r>
        <w:rPr>
          <w:rFonts w:hint="eastAsia" w:eastAsia="黑体"/>
          <w:bCs/>
          <w:kern w:val="44"/>
          <w:sz w:val="32"/>
          <w:szCs w:val="44"/>
        </w:rPr>
        <w:t>六、构建智慧城市“新底座”</w:t>
      </w:r>
      <w:bookmarkEnd w:id="95"/>
      <w:bookmarkEnd w:id="96"/>
      <w:bookmarkEnd w:id="97"/>
    </w:p>
    <w:p>
      <w:pPr>
        <w:keepNext/>
        <w:keepLines/>
        <w:spacing w:line="570" w:lineRule="exact"/>
        <w:ind w:firstLine="643" w:firstLineChars="200"/>
        <w:outlineLvl w:val="1"/>
        <w:rPr>
          <w:rFonts w:eastAsia="楷体_GB2312"/>
          <w:b/>
          <w:bCs/>
          <w:sz w:val="32"/>
          <w:szCs w:val="32"/>
        </w:rPr>
      </w:pPr>
      <w:bookmarkStart w:id="98" w:name="_Toc78985251"/>
      <w:bookmarkStart w:id="99" w:name="_Toc79136609"/>
      <w:bookmarkStart w:id="100" w:name="_Toc79136151"/>
      <w:r>
        <w:rPr>
          <w:rFonts w:hint="eastAsia" w:eastAsia="楷体_GB2312"/>
          <w:b/>
          <w:bCs/>
          <w:sz w:val="32"/>
          <w:szCs w:val="32"/>
        </w:rPr>
        <w:t>（一）搭建共性基础平台</w:t>
      </w:r>
      <w:bookmarkEnd w:id="98"/>
      <w:bookmarkEnd w:id="99"/>
      <w:bookmarkEnd w:id="100"/>
    </w:p>
    <w:p>
      <w:pPr>
        <w:spacing w:line="570" w:lineRule="exact"/>
        <w:ind w:firstLine="643" w:firstLineChars="200"/>
        <w:outlineLvl w:val="2"/>
        <w:rPr>
          <w:rFonts w:eastAsia="仿宋_GB2312"/>
          <w:b/>
          <w:bCs/>
          <w:sz w:val="32"/>
          <w:szCs w:val="32"/>
        </w:rPr>
      </w:pPr>
      <w:bookmarkStart w:id="101" w:name="_Toc78985252"/>
      <w:bookmarkStart w:id="102" w:name="_Toc79136152"/>
      <w:r>
        <w:rPr>
          <w:rFonts w:hint="eastAsia" w:eastAsia="仿宋_GB2312"/>
          <w:b/>
          <w:bCs/>
          <w:sz w:val="32"/>
          <w:szCs w:val="32"/>
        </w:rPr>
        <w:t>1、建设完善区政务云平台</w:t>
      </w:r>
      <w:bookmarkEnd w:id="101"/>
      <w:bookmarkEnd w:id="102"/>
    </w:p>
    <w:p>
      <w:pPr>
        <w:spacing w:line="570" w:lineRule="exact"/>
        <w:ind w:firstLine="640" w:firstLineChars="200"/>
        <w:rPr>
          <w:rFonts w:eastAsia="楷体"/>
          <w:sz w:val="32"/>
          <w:szCs w:val="32"/>
        </w:rPr>
      </w:pPr>
      <w:r>
        <w:rPr>
          <w:rFonts w:hint="eastAsia" w:eastAsia="仿宋_GB2312"/>
          <w:sz w:val="32"/>
          <w:szCs w:val="32"/>
        </w:rPr>
        <w:t>以“上云为常态、不上云为例外”为原则，持续推动区级重点应用、基础平台迁移入云，依托区政务云平台为区属行政事业单位提供统一的云存储、云部署、云安全服务，依托市信息安全容灾备份中心资源提供容灾备份服务。加强平台使用管理，健全政务云平台资源申请和安全管理机制，明确划分云服务商和使用单位的安全责任边界，加强对政务云平台基础环境和入云信息系统的运维管理、安全保障和监控预警。</w:t>
      </w:r>
    </w:p>
    <w:p>
      <w:pPr>
        <w:spacing w:line="570" w:lineRule="exact"/>
        <w:ind w:firstLine="643" w:firstLineChars="200"/>
        <w:outlineLvl w:val="2"/>
        <w:rPr>
          <w:rFonts w:eastAsia="仿宋_GB2312"/>
          <w:b/>
          <w:bCs/>
          <w:sz w:val="32"/>
          <w:szCs w:val="32"/>
        </w:rPr>
      </w:pPr>
      <w:bookmarkStart w:id="103" w:name="_Toc79136153"/>
      <w:bookmarkStart w:id="104" w:name="_Toc78985253"/>
      <w:r>
        <w:rPr>
          <w:rFonts w:eastAsia="仿宋_GB2312"/>
          <w:b/>
          <w:bCs/>
          <w:sz w:val="32"/>
          <w:szCs w:val="32"/>
        </w:rPr>
        <w:t>2</w:t>
      </w:r>
      <w:r>
        <w:rPr>
          <w:rFonts w:hint="eastAsia" w:eastAsia="仿宋_GB2312"/>
          <w:b/>
          <w:bCs/>
          <w:sz w:val="32"/>
          <w:szCs w:val="32"/>
        </w:rPr>
        <w:t>、升级区级共享交换平台</w:t>
      </w:r>
      <w:bookmarkEnd w:id="103"/>
      <w:bookmarkEnd w:id="104"/>
    </w:p>
    <w:p>
      <w:pPr>
        <w:spacing w:line="570" w:lineRule="exact"/>
        <w:ind w:firstLine="640" w:firstLineChars="200"/>
        <w:rPr>
          <w:rFonts w:eastAsia="楷体"/>
          <w:sz w:val="32"/>
          <w:szCs w:val="32"/>
        </w:rPr>
      </w:pPr>
      <w:r>
        <w:rPr>
          <w:rFonts w:hint="eastAsia" w:eastAsia="仿宋_GB2312"/>
          <w:sz w:val="32"/>
          <w:szCs w:val="32"/>
        </w:rPr>
        <w:t>各部门数据资源库及业务信息系统统一接入区级共享交换平台，通过共享交换平台实现各领域数据的深度融合，并与市级数据资源中心进行对接。丰富现有区级共享交换平台功能，提供数据资源目录管理，以多种数据交换模式提供多源数据的接入与共享交换，定义数据资源的分类、存储标准和系统接入的管理维护标准，实现平台资源的统一安全管理和集中维护，为政务数据的统一管理和统一共享交换提供核心支撑能力。</w:t>
      </w:r>
    </w:p>
    <w:p>
      <w:pPr>
        <w:spacing w:line="570" w:lineRule="exact"/>
        <w:ind w:firstLine="643" w:firstLineChars="200"/>
        <w:outlineLvl w:val="2"/>
        <w:rPr>
          <w:rFonts w:eastAsia="仿宋_GB2312"/>
          <w:b/>
          <w:bCs/>
          <w:sz w:val="32"/>
          <w:szCs w:val="32"/>
        </w:rPr>
      </w:pPr>
      <w:bookmarkStart w:id="105" w:name="_Toc79136154"/>
      <w:bookmarkStart w:id="106" w:name="_Toc78985254"/>
      <w:r>
        <w:rPr>
          <w:rFonts w:eastAsia="仿宋_GB2312"/>
          <w:b/>
          <w:bCs/>
          <w:sz w:val="32"/>
          <w:szCs w:val="32"/>
        </w:rPr>
        <w:t>3</w:t>
      </w:r>
      <w:r>
        <w:rPr>
          <w:rFonts w:hint="eastAsia" w:eastAsia="仿宋_GB2312"/>
          <w:b/>
          <w:bCs/>
          <w:sz w:val="32"/>
          <w:szCs w:val="32"/>
        </w:rPr>
        <w:t>、建成大数据基础平台</w:t>
      </w:r>
      <w:bookmarkEnd w:id="105"/>
      <w:bookmarkEnd w:id="106"/>
    </w:p>
    <w:p>
      <w:pPr>
        <w:spacing w:line="570" w:lineRule="exact"/>
        <w:ind w:firstLine="640" w:firstLineChars="200"/>
        <w:rPr>
          <w:rFonts w:eastAsia="仿宋_GB2312"/>
          <w:sz w:val="32"/>
          <w:szCs w:val="32"/>
        </w:rPr>
      </w:pPr>
      <w:r>
        <w:rPr>
          <w:rFonts w:hint="eastAsia" w:eastAsia="仿宋_GB2312"/>
          <w:sz w:val="32"/>
          <w:szCs w:val="32"/>
        </w:rPr>
        <w:t>建设集数据智能分析、数据服务、数据管理和数据安全于一体的大数据分析平台及其配套运行管理体系，构建统一分类、统一元数据、统一数据格式、统一调用、统一监管的数据资源管理格局。依托</w:t>
      </w:r>
      <w:bookmarkStart w:id="107" w:name="_Hlk67083844"/>
      <w:r>
        <w:rPr>
          <w:rFonts w:hint="eastAsia" w:eastAsia="仿宋_GB2312"/>
          <w:sz w:val="32"/>
          <w:szCs w:val="32"/>
        </w:rPr>
        <w:t>大数据基础</w:t>
      </w:r>
      <w:bookmarkEnd w:id="107"/>
      <w:r>
        <w:rPr>
          <w:rFonts w:hint="eastAsia" w:eastAsia="仿宋_GB2312"/>
          <w:sz w:val="32"/>
          <w:szCs w:val="32"/>
        </w:rPr>
        <w:t>平台为各部门提供统一的大数据处理架构和资源工具，提升大数据基础平台在数据模型、分析工具、算法等方面的共性支撑能力，降低各部门大数据应用开发部署成本。</w:t>
      </w:r>
    </w:p>
    <w:p>
      <w:pPr>
        <w:spacing w:line="570" w:lineRule="exact"/>
        <w:ind w:firstLine="643" w:firstLineChars="200"/>
        <w:outlineLvl w:val="2"/>
        <w:rPr>
          <w:rFonts w:eastAsia="仿宋_GB2312"/>
          <w:b/>
          <w:bCs/>
          <w:sz w:val="32"/>
          <w:szCs w:val="32"/>
        </w:rPr>
      </w:pPr>
      <w:bookmarkStart w:id="108" w:name="_Toc79136155"/>
      <w:bookmarkStart w:id="109" w:name="_Toc78985255"/>
      <w:r>
        <w:rPr>
          <w:rFonts w:eastAsia="仿宋_GB2312"/>
          <w:b/>
          <w:bCs/>
          <w:sz w:val="32"/>
          <w:szCs w:val="32"/>
        </w:rPr>
        <w:t>4</w:t>
      </w:r>
      <w:r>
        <w:rPr>
          <w:rFonts w:hint="eastAsia" w:eastAsia="仿宋_GB2312"/>
          <w:b/>
          <w:bCs/>
          <w:sz w:val="32"/>
          <w:szCs w:val="32"/>
        </w:rPr>
        <w:t>、建设人工智能算力平台</w:t>
      </w:r>
      <w:bookmarkEnd w:id="108"/>
      <w:bookmarkEnd w:id="109"/>
    </w:p>
    <w:p>
      <w:pPr>
        <w:spacing w:line="570" w:lineRule="exact"/>
        <w:ind w:firstLine="640" w:firstLineChars="200"/>
        <w:rPr>
          <w:rFonts w:eastAsia="楷体"/>
          <w:sz w:val="32"/>
          <w:szCs w:val="32"/>
        </w:rPr>
      </w:pPr>
      <w:r>
        <w:rPr>
          <w:rFonts w:hint="eastAsia" w:eastAsia="仿宋_GB2312"/>
          <w:sz w:val="32"/>
          <w:szCs w:val="32"/>
        </w:rPr>
        <w:t>依托北京市人工智能智算中心，构建视频识别、图像识别、文字分析识别、语音处理、语言处理等功能模块，积极融入北京市“共性</w:t>
      </w:r>
      <w:r>
        <w:rPr>
          <w:rFonts w:eastAsia="仿宋_GB2312"/>
          <w:sz w:val="32"/>
          <w:szCs w:val="32"/>
        </w:rPr>
        <w:t>AI</w:t>
      </w:r>
      <w:r>
        <w:rPr>
          <w:rFonts w:hint="eastAsia" w:eastAsia="仿宋_GB2312"/>
          <w:sz w:val="32"/>
          <w:szCs w:val="32"/>
        </w:rPr>
        <w:t>能力统建共用”和“个性</w:t>
      </w:r>
      <w:r>
        <w:rPr>
          <w:rFonts w:eastAsia="仿宋_GB2312"/>
          <w:sz w:val="32"/>
          <w:szCs w:val="32"/>
        </w:rPr>
        <w:t>AI</w:t>
      </w:r>
      <w:r>
        <w:rPr>
          <w:rFonts w:hint="eastAsia" w:eastAsia="仿宋_GB2312"/>
          <w:sz w:val="32"/>
          <w:szCs w:val="32"/>
        </w:rPr>
        <w:t>能力分建统用”体系。在各领域业务经验、领域知识、标准案例的基础上，结合部门管理服务内在逻辑，提炼、融合形成业务模型、知识图谱、领域知识、规则引擎，为区内政府部门和创新主体提供“积木式”共性AI算力支撑服务。</w:t>
      </w:r>
    </w:p>
    <w:p>
      <w:pPr>
        <w:spacing w:line="570" w:lineRule="exact"/>
        <w:ind w:firstLine="643" w:firstLineChars="200"/>
        <w:outlineLvl w:val="2"/>
        <w:rPr>
          <w:rFonts w:eastAsia="仿宋_GB2312"/>
          <w:b/>
          <w:bCs/>
          <w:sz w:val="32"/>
          <w:szCs w:val="32"/>
        </w:rPr>
      </w:pPr>
      <w:bookmarkStart w:id="110" w:name="_Toc78985256"/>
      <w:bookmarkStart w:id="111" w:name="_Toc79136156"/>
      <w:r>
        <w:rPr>
          <w:rFonts w:hint="eastAsia" w:eastAsia="仿宋_GB2312"/>
          <w:b/>
          <w:bCs/>
          <w:sz w:val="32"/>
          <w:szCs w:val="32"/>
        </w:rPr>
        <w:t>5、构建统一时空底座</w:t>
      </w:r>
      <w:bookmarkEnd w:id="110"/>
      <w:bookmarkEnd w:id="111"/>
    </w:p>
    <w:p>
      <w:pPr>
        <w:spacing w:line="570" w:lineRule="exact"/>
        <w:ind w:firstLine="640" w:firstLineChars="200"/>
        <w:rPr>
          <w:rFonts w:eastAsia="仿宋_GB2312" w:cs="仿宋"/>
          <w:sz w:val="32"/>
          <w:szCs w:val="32"/>
        </w:rPr>
      </w:pPr>
      <w:r>
        <w:rPr>
          <w:rFonts w:hint="eastAsia" w:eastAsia="仿宋_GB2312" w:cs="仿宋"/>
          <w:sz w:val="32"/>
          <w:szCs w:val="32"/>
        </w:rPr>
        <w:t>基于全区地理信息数据承载“一张图”，汇聚多源异构时空数据，建立全区统一“时空一张图”数字底座。以BIM、GIS、IoT技术为核心，集成建筑物、构筑物、道路、地下管线、地址、水体和地表等地理信息数据和物联感知数据</w:t>
      </w:r>
      <w:r>
        <w:rPr>
          <w:rFonts w:eastAsia="仿宋_GB2312" w:cs="仿宋"/>
          <w:sz w:val="32"/>
          <w:szCs w:val="32"/>
        </w:rPr>
        <w:t>资源，</w:t>
      </w:r>
      <w:r>
        <w:rPr>
          <w:rFonts w:hint="eastAsia" w:eastAsia="仿宋_GB2312" w:cs="仿宋"/>
          <w:sz w:val="32"/>
          <w:szCs w:val="32"/>
        </w:rPr>
        <w:t>统筹建设城市信息模型（C</w:t>
      </w:r>
      <w:r>
        <w:rPr>
          <w:rFonts w:eastAsia="仿宋_GB2312" w:cs="仿宋"/>
          <w:sz w:val="32"/>
          <w:szCs w:val="32"/>
        </w:rPr>
        <w:t>IM</w:t>
      </w:r>
      <w:r>
        <w:rPr>
          <w:rFonts w:hint="eastAsia" w:eastAsia="仿宋_GB2312" w:cs="仿宋"/>
          <w:sz w:val="32"/>
          <w:szCs w:val="32"/>
        </w:rPr>
        <w:t>）数据库，开展数字孪生城市应用试点，构建高精度三维地图虚拟实景，为建设项目审批、基础设施布局、建筑设计施工、应急指挥调度等应用场景提供直观、动态支撑。</w:t>
      </w:r>
    </w:p>
    <w:p>
      <w:pPr>
        <w:keepNext/>
        <w:keepLines/>
        <w:spacing w:line="570" w:lineRule="exact"/>
        <w:ind w:left="640"/>
        <w:outlineLvl w:val="1"/>
        <w:rPr>
          <w:rFonts w:eastAsia="楷体_GB2312"/>
          <w:b/>
          <w:bCs/>
          <w:sz w:val="32"/>
          <w:szCs w:val="32"/>
        </w:rPr>
      </w:pPr>
      <w:bookmarkStart w:id="112" w:name="_Toc78985257"/>
      <w:bookmarkStart w:id="113" w:name="_Toc79136610"/>
      <w:bookmarkStart w:id="114" w:name="_Toc79136157"/>
      <w:r>
        <w:rPr>
          <w:rFonts w:hint="eastAsia" w:eastAsia="楷体_GB2312"/>
          <w:b/>
          <w:bCs/>
          <w:sz w:val="32"/>
          <w:szCs w:val="32"/>
        </w:rPr>
        <w:t>（二）建设城市智慧大脑体系</w:t>
      </w:r>
      <w:bookmarkEnd w:id="112"/>
      <w:bookmarkEnd w:id="113"/>
      <w:bookmarkEnd w:id="114"/>
    </w:p>
    <w:p>
      <w:pPr>
        <w:spacing w:line="570" w:lineRule="exact"/>
        <w:ind w:firstLine="643" w:firstLineChars="200"/>
        <w:outlineLvl w:val="2"/>
        <w:rPr>
          <w:rFonts w:eastAsia="仿宋_GB2312"/>
          <w:b/>
          <w:bCs/>
          <w:sz w:val="32"/>
          <w:szCs w:val="32"/>
        </w:rPr>
      </w:pPr>
      <w:bookmarkStart w:id="115" w:name="_Toc79136158"/>
      <w:bookmarkStart w:id="116" w:name="_Toc78985258"/>
      <w:r>
        <w:rPr>
          <w:rFonts w:hint="eastAsia" w:eastAsia="仿宋_GB2312"/>
          <w:b/>
          <w:bCs/>
          <w:sz w:val="32"/>
          <w:szCs w:val="32"/>
        </w:rPr>
        <w:t>1、建设城市管理大脑</w:t>
      </w:r>
      <w:bookmarkEnd w:id="115"/>
      <w:bookmarkEnd w:id="116"/>
    </w:p>
    <w:p>
      <w:pPr>
        <w:spacing w:line="570" w:lineRule="exact"/>
        <w:ind w:firstLine="640" w:firstLineChars="200"/>
        <w:rPr>
          <w:rFonts w:eastAsia="楷体"/>
          <w:sz w:val="32"/>
          <w:szCs w:val="32"/>
        </w:rPr>
      </w:pPr>
      <w:r>
        <w:rPr>
          <w:rFonts w:hint="eastAsia" w:eastAsia="仿宋_GB2312"/>
          <w:sz w:val="32"/>
          <w:szCs w:val="32"/>
        </w:rPr>
        <w:t>构建全区“</w:t>
      </w:r>
      <w:r>
        <w:rPr>
          <w:rFonts w:eastAsia="仿宋_GB2312"/>
          <w:sz w:val="32"/>
          <w:szCs w:val="32"/>
        </w:rPr>
        <w:t>城市运行</w:t>
      </w:r>
      <w:r>
        <w:rPr>
          <w:rFonts w:hint="eastAsia" w:eastAsia="仿宋_GB2312"/>
          <w:sz w:val="32"/>
          <w:szCs w:val="32"/>
        </w:rPr>
        <w:t>一网统管”模式，提升城市管理科学化水平和城市日常运行管理能力。对城市运行数据进行多渠道采集、智能化处理与实时化分析，辅助调配城市资源、提升城市运行效率、提高城市管理能力。完善集移动信息采集、移动协同处置、移动督办决策、统一事件受理、统一事件处置和统一指挥调度等功能于一体的网格化城市管理平台，实现纵向与市级和各街乡系统对接，横向连通区级共性基础平台。支撑环卫管理、垃圾分类、部件管理、供热管理、门前三包、渣土治理、综合管网等主题应用。</w:t>
      </w:r>
    </w:p>
    <w:p>
      <w:pPr>
        <w:spacing w:line="570" w:lineRule="exact"/>
        <w:ind w:firstLine="643" w:firstLineChars="200"/>
        <w:outlineLvl w:val="2"/>
        <w:rPr>
          <w:rFonts w:eastAsia="仿宋_GB2312"/>
          <w:b/>
          <w:bCs/>
          <w:sz w:val="32"/>
          <w:szCs w:val="32"/>
        </w:rPr>
      </w:pPr>
      <w:bookmarkStart w:id="117" w:name="_Toc79136159"/>
      <w:bookmarkStart w:id="118" w:name="_Toc78985259"/>
      <w:r>
        <w:rPr>
          <w:rFonts w:eastAsia="仿宋_GB2312"/>
          <w:b/>
          <w:bCs/>
          <w:sz w:val="32"/>
          <w:szCs w:val="32"/>
        </w:rPr>
        <w:t>2</w:t>
      </w:r>
      <w:r>
        <w:rPr>
          <w:rFonts w:hint="eastAsia" w:eastAsia="仿宋_GB2312"/>
          <w:b/>
          <w:bCs/>
          <w:sz w:val="32"/>
          <w:szCs w:val="32"/>
        </w:rPr>
        <w:t>、建设城市经济大脑</w:t>
      </w:r>
      <w:bookmarkEnd w:id="117"/>
      <w:bookmarkEnd w:id="118"/>
    </w:p>
    <w:p>
      <w:pPr>
        <w:spacing w:line="570" w:lineRule="exact"/>
        <w:ind w:firstLine="640" w:firstLineChars="200"/>
        <w:rPr>
          <w:rFonts w:eastAsia="仿宋_GB2312"/>
          <w:sz w:val="32"/>
          <w:szCs w:val="32"/>
        </w:rPr>
      </w:pPr>
      <w:r>
        <w:rPr>
          <w:rFonts w:hint="eastAsia" w:eastAsia="仿宋_GB2312"/>
          <w:sz w:val="32"/>
          <w:szCs w:val="32"/>
        </w:rPr>
        <w:t>构建全区“</w:t>
      </w:r>
      <w:r>
        <w:rPr>
          <w:rFonts w:eastAsia="仿宋_GB2312"/>
          <w:sz w:val="32"/>
          <w:szCs w:val="32"/>
        </w:rPr>
        <w:t>产业发展一网支撑</w:t>
      </w:r>
      <w:r>
        <w:rPr>
          <w:rFonts w:hint="eastAsia" w:eastAsia="仿宋_GB2312"/>
          <w:sz w:val="32"/>
          <w:szCs w:val="32"/>
        </w:rPr>
        <w:t>”模式，提升经济发展决策科学化水平。汇聚融合政府、社会、互联网数据，构建产业聚集模型和企业全息画像等行业模型和算法库，</w:t>
      </w:r>
      <w:r>
        <w:rPr>
          <w:rFonts w:hint="eastAsia" w:eastAsia="仿宋_GB2312"/>
          <w:bCs/>
          <w:sz w:val="32"/>
          <w:szCs w:val="32"/>
        </w:rPr>
        <w:t>从经济发展、产业分布、企业表现等多方面对区域经济运行开展全面、动态、直观、基于时空信息的全域监测与全景展示，</w:t>
      </w:r>
      <w:r>
        <w:rPr>
          <w:rFonts w:hint="eastAsia" w:eastAsia="仿宋_GB2312"/>
          <w:sz w:val="32"/>
          <w:szCs w:val="32"/>
        </w:rPr>
        <w:t>有力支撑全区经济高质量发展。支撑信用信息监管、市场监管、金融风险预警、商圈监测分析、区域经济态势分析、产业结构分析等主题应用。</w:t>
      </w:r>
    </w:p>
    <w:p>
      <w:pPr>
        <w:spacing w:line="570" w:lineRule="exact"/>
        <w:ind w:firstLine="643" w:firstLineChars="200"/>
        <w:outlineLvl w:val="2"/>
        <w:rPr>
          <w:rFonts w:eastAsia="仿宋_GB2312"/>
          <w:b/>
          <w:bCs/>
          <w:sz w:val="32"/>
          <w:szCs w:val="32"/>
        </w:rPr>
      </w:pPr>
      <w:bookmarkStart w:id="119" w:name="_Toc79136160"/>
      <w:bookmarkStart w:id="120" w:name="_Toc78985260"/>
      <w:r>
        <w:rPr>
          <w:rFonts w:eastAsia="仿宋_GB2312"/>
          <w:b/>
          <w:bCs/>
          <w:sz w:val="32"/>
          <w:szCs w:val="32"/>
        </w:rPr>
        <w:t>3</w:t>
      </w:r>
      <w:r>
        <w:rPr>
          <w:rFonts w:hint="eastAsia" w:eastAsia="仿宋_GB2312"/>
          <w:b/>
          <w:bCs/>
          <w:sz w:val="32"/>
          <w:szCs w:val="32"/>
        </w:rPr>
        <w:t>、建设城市安全大脑</w:t>
      </w:r>
      <w:bookmarkEnd w:id="119"/>
      <w:bookmarkEnd w:id="120"/>
    </w:p>
    <w:p>
      <w:pPr>
        <w:spacing w:line="570" w:lineRule="exact"/>
        <w:ind w:firstLine="640" w:firstLineChars="200"/>
        <w:rPr>
          <w:rFonts w:eastAsia="仿宋_GB2312"/>
          <w:b/>
          <w:bCs/>
          <w:sz w:val="32"/>
          <w:szCs w:val="32"/>
        </w:rPr>
      </w:pPr>
      <w:r>
        <w:rPr>
          <w:rFonts w:hint="eastAsia" w:eastAsia="仿宋_GB2312"/>
          <w:sz w:val="32"/>
          <w:szCs w:val="32"/>
        </w:rPr>
        <w:t>构建全区“</w:t>
      </w:r>
      <w:r>
        <w:rPr>
          <w:rFonts w:eastAsia="仿宋_GB2312"/>
          <w:sz w:val="32"/>
          <w:szCs w:val="32"/>
        </w:rPr>
        <w:t>安全管理一网统筹</w:t>
      </w:r>
      <w:r>
        <w:rPr>
          <w:rFonts w:hint="eastAsia" w:eastAsia="仿宋_GB2312"/>
          <w:sz w:val="32"/>
          <w:szCs w:val="32"/>
        </w:rPr>
        <w:t>”模式，面向常态下安全监管和非常态智慧应急需求，提升“平战结合”的风险应对能力。加强全区应急资源的整合汇聚。与治安防控、公共卫生应急、城市防汛、环境安全、交通安全等相关智慧应用联动，实现统一指挥、联动配合、可视调度。集成城市安全运行管理、“健康大脑”、街乡精细化治理等场景应用，提供信息安全底层支撑，提升全区针对应急事件“事前、事发、事中、事后”全面感知、动态监测、智能预警、分析决策、快速处置、精准监管的</w:t>
      </w:r>
      <w:r>
        <w:rPr>
          <w:rFonts w:eastAsia="仿宋_GB2312"/>
          <w:sz w:val="32"/>
          <w:szCs w:val="32"/>
        </w:rPr>
        <w:t>能力</w:t>
      </w:r>
      <w:r>
        <w:rPr>
          <w:rFonts w:hint="eastAsia" w:eastAsia="仿宋_GB2312"/>
          <w:sz w:val="32"/>
          <w:szCs w:val="32"/>
        </w:rPr>
        <w:t>。</w:t>
      </w:r>
    </w:p>
    <w:p>
      <w:pPr>
        <w:spacing w:line="570" w:lineRule="exact"/>
        <w:ind w:firstLine="643" w:firstLineChars="200"/>
        <w:outlineLvl w:val="2"/>
        <w:rPr>
          <w:rFonts w:eastAsia="仿宋_GB2312"/>
          <w:b/>
          <w:bCs/>
          <w:sz w:val="32"/>
          <w:szCs w:val="32"/>
        </w:rPr>
      </w:pPr>
      <w:bookmarkStart w:id="121" w:name="_Toc71637767"/>
      <w:bookmarkStart w:id="122" w:name="_Toc79136161"/>
      <w:bookmarkStart w:id="123" w:name="_Toc78985261"/>
      <w:bookmarkStart w:id="124" w:name="_Toc48312021"/>
      <w:r>
        <w:rPr>
          <w:rFonts w:eastAsia="仿宋_GB2312"/>
          <w:b/>
          <w:bCs/>
          <w:sz w:val="32"/>
          <w:szCs w:val="32"/>
        </w:rPr>
        <w:t>4</w:t>
      </w:r>
      <w:r>
        <w:rPr>
          <w:rFonts w:hint="eastAsia" w:eastAsia="仿宋_GB2312"/>
          <w:b/>
          <w:bCs/>
          <w:sz w:val="32"/>
          <w:szCs w:val="32"/>
        </w:rPr>
        <w:t>、构建“城市智慧大脑”纵横连通体系</w:t>
      </w:r>
      <w:bookmarkEnd w:id="121"/>
      <w:bookmarkEnd w:id="122"/>
      <w:bookmarkEnd w:id="123"/>
      <w:bookmarkEnd w:id="124"/>
    </w:p>
    <w:p>
      <w:pPr>
        <w:spacing w:line="570" w:lineRule="exact"/>
        <w:ind w:firstLine="640" w:firstLineChars="200"/>
        <w:rPr>
          <w:rFonts w:eastAsia="仿宋_GB2312"/>
          <w:sz w:val="32"/>
          <w:szCs w:val="32"/>
        </w:rPr>
      </w:pPr>
      <w:r>
        <w:rPr>
          <w:rFonts w:hint="eastAsia" w:eastAsia="仿宋_GB2312"/>
          <w:sz w:val="32"/>
          <w:szCs w:val="32"/>
        </w:rPr>
        <w:t>预留区“城市</w:t>
      </w:r>
      <w:r>
        <w:rPr>
          <w:rFonts w:eastAsia="仿宋_GB2312"/>
          <w:sz w:val="32"/>
          <w:szCs w:val="32"/>
        </w:rPr>
        <w:t>智慧大脑</w:t>
      </w:r>
      <w:r>
        <w:rPr>
          <w:rFonts w:hint="eastAsia" w:eastAsia="仿宋_GB2312"/>
          <w:sz w:val="32"/>
          <w:szCs w:val="32"/>
        </w:rPr>
        <w:t>”</w:t>
      </w:r>
      <w:r>
        <w:rPr>
          <w:rFonts w:eastAsia="仿宋_GB2312"/>
          <w:sz w:val="32"/>
          <w:szCs w:val="32"/>
        </w:rPr>
        <w:t>与北京市“</w:t>
      </w:r>
      <w:r>
        <w:rPr>
          <w:rFonts w:hint="eastAsia" w:eastAsia="仿宋_GB2312"/>
          <w:sz w:val="32"/>
          <w:szCs w:val="32"/>
        </w:rPr>
        <w:t>城市</w:t>
      </w:r>
      <w:r>
        <w:rPr>
          <w:rFonts w:eastAsia="仿宋_GB2312"/>
          <w:sz w:val="32"/>
          <w:szCs w:val="32"/>
        </w:rPr>
        <w:t>大脑”</w:t>
      </w:r>
      <w:r>
        <w:rPr>
          <w:rFonts w:hint="eastAsia" w:eastAsia="仿宋_GB2312"/>
          <w:sz w:val="32"/>
          <w:szCs w:val="32"/>
        </w:rPr>
        <w:t>和区内各</w:t>
      </w:r>
      <w:r>
        <w:rPr>
          <w:rFonts w:eastAsia="仿宋_GB2312"/>
          <w:sz w:val="32"/>
          <w:szCs w:val="32"/>
        </w:rPr>
        <w:t>“</w:t>
      </w:r>
      <w:r>
        <w:rPr>
          <w:rFonts w:hint="eastAsia" w:eastAsia="仿宋_GB2312"/>
          <w:sz w:val="32"/>
          <w:szCs w:val="32"/>
        </w:rPr>
        <w:t>街乡</w:t>
      </w:r>
      <w:r>
        <w:rPr>
          <w:rFonts w:eastAsia="仿宋_GB2312"/>
          <w:sz w:val="32"/>
          <w:szCs w:val="32"/>
        </w:rPr>
        <w:t>小脑”</w:t>
      </w:r>
      <w:r>
        <w:rPr>
          <w:rFonts w:hint="eastAsia" w:eastAsia="仿宋_GB2312"/>
          <w:sz w:val="32"/>
          <w:szCs w:val="32"/>
        </w:rPr>
        <w:t>的接口，形成上接市级、下联街乡、横向到边、纵向到底全覆盖的“城市智慧大脑”体系</w:t>
      </w:r>
      <w:r>
        <w:rPr>
          <w:rFonts w:eastAsia="仿宋_GB2312"/>
          <w:sz w:val="32"/>
          <w:szCs w:val="32"/>
        </w:rPr>
        <w:t>。</w:t>
      </w:r>
      <w:r>
        <w:rPr>
          <w:rFonts w:hint="eastAsia" w:eastAsia="仿宋_GB2312"/>
          <w:sz w:val="32"/>
          <w:szCs w:val="32"/>
        </w:rPr>
        <w:t>依托全区统一的数据服务、基础设施、安全标准，在“城市</w:t>
      </w:r>
      <w:r>
        <w:rPr>
          <w:rFonts w:eastAsia="仿宋_GB2312"/>
          <w:sz w:val="32"/>
          <w:szCs w:val="32"/>
        </w:rPr>
        <w:t>管理大脑</w:t>
      </w:r>
      <w:r>
        <w:rPr>
          <w:rFonts w:hint="eastAsia" w:eastAsia="仿宋_GB2312"/>
          <w:sz w:val="32"/>
          <w:szCs w:val="32"/>
        </w:rPr>
        <w:t>”“城市</w:t>
      </w:r>
      <w:r>
        <w:rPr>
          <w:rFonts w:eastAsia="仿宋_GB2312"/>
          <w:sz w:val="32"/>
          <w:szCs w:val="32"/>
        </w:rPr>
        <w:t>经济大脑</w:t>
      </w:r>
      <w:r>
        <w:rPr>
          <w:rFonts w:hint="eastAsia" w:eastAsia="仿宋_GB2312"/>
          <w:sz w:val="32"/>
          <w:szCs w:val="32"/>
        </w:rPr>
        <w:t>”“城市</w:t>
      </w:r>
      <w:r>
        <w:rPr>
          <w:rFonts w:eastAsia="仿宋_GB2312"/>
          <w:sz w:val="32"/>
          <w:szCs w:val="32"/>
        </w:rPr>
        <w:t>安全大脑</w:t>
      </w:r>
      <w:r>
        <w:rPr>
          <w:rFonts w:hint="eastAsia" w:eastAsia="仿宋_GB2312"/>
          <w:sz w:val="32"/>
          <w:szCs w:val="32"/>
        </w:rPr>
        <w:t>”三大专题</w:t>
      </w:r>
      <w:r>
        <w:rPr>
          <w:rFonts w:eastAsia="仿宋_GB2312"/>
          <w:sz w:val="32"/>
          <w:szCs w:val="32"/>
        </w:rPr>
        <w:t>建设的基础上，</w:t>
      </w:r>
      <w:r>
        <w:rPr>
          <w:rFonts w:hint="eastAsia" w:eastAsia="仿宋_GB2312"/>
          <w:sz w:val="32"/>
          <w:szCs w:val="32"/>
        </w:rPr>
        <w:t>按照具体业务需求和发展战略，逐步扩展社会综治、政务服务、综合执法、信用、交通、能源、环境、人社、教育、文旅等领域“大脑”的建设。</w:t>
      </w:r>
    </w:p>
    <w:p>
      <w:pPr>
        <w:keepNext/>
        <w:keepLines/>
        <w:spacing w:line="570" w:lineRule="exact"/>
        <w:ind w:left="640"/>
        <w:outlineLvl w:val="1"/>
        <w:rPr>
          <w:rFonts w:eastAsia="楷体_GB2312"/>
          <w:b/>
          <w:bCs/>
          <w:sz w:val="32"/>
          <w:szCs w:val="32"/>
        </w:rPr>
      </w:pPr>
      <w:bookmarkStart w:id="125" w:name="_Toc78985262"/>
      <w:bookmarkStart w:id="126" w:name="_Toc79136162"/>
      <w:bookmarkStart w:id="127" w:name="_Toc79136611"/>
      <w:r>
        <w:rPr>
          <w:rFonts w:hint="eastAsia" w:eastAsia="楷体_GB2312"/>
          <w:b/>
          <w:bCs/>
          <w:sz w:val="32"/>
          <w:szCs w:val="32"/>
        </w:rPr>
        <w:t>（三）提升综合展示和决策支撑能力</w:t>
      </w:r>
      <w:bookmarkEnd w:id="125"/>
      <w:bookmarkEnd w:id="126"/>
      <w:bookmarkEnd w:id="127"/>
    </w:p>
    <w:p>
      <w:pPr>
        <w:spacing w:line="570" w:lineRule="exact"/>
        <w:ind w:firstLine="643" w:firstLineChars="200"/>
        <w:outlineLvl w:val="2"/>
        <w:rPr>
          <w:rFonts w:eastAsia="仿宋_GB2312"/>
          <w:b/>
          <w:bCs/>
          <w:sz w:val="32"/>
          <w:szCs w:val="32"/>
        </w:rPr>
      </w:pPr>
      <w:bookmarkStart w:id="128" w:name="_Toc78985263"/>
      <w:bookmarkStart w:id="129" w:name="_Toc79136163"/>
      <w:r>
        <w:rPr>
          <w:rFonts w:eastAsia="仿宋_GB2312"/>
          <w:b/>
          <w:bCs/>
          <w:sz w:val="32"/>
          <w:szCs w:val="32"/>
        </w:rPr>
        <w:t>1</w:t>
      </w:r>
      <w:r>
        <w:rPr>
          <w:rFonts w:hint="eastAsia" w:eastAsia="仿宋_GB2312"/>
          <w:b/>
          <w:bCs/>
          <w:sz w:val="32"/>
          <w:szCs w:val="32"/>
        </w:rPr>
        <w:t>、开展城市运行体征监测</w:t>
      </w:r>
      <w:bookmarkEnd w:id="128"/>
      <w:bookmarkEnd w:id="129"/>
    </w:p>
    <w:p>
      <w:pPr>
        <w:spacing w:line="570" w:lineRule="exact"/>
        <w:ind w:firstLine="640" w:firstLineChars="200"/>
        <w:rPr>
          <w:rFonts w:eastAsia="楷体"/>
          <w:sz w:val="32"/>
          <w:szCs w:val="32"/>
        </w:rPr>
      </w:pPr>
      <w:r>
        <w:rPr>
          <w:rFonts w:hint="eastAsia" w:eastAsia="仿宋_GB2312"/>
          <w:sz w:val="32"/>
          <w:szCs w:val="32"/>
        </w:rPr>
        <w:t>基于视频监控、物联感知、手机信令、政务应用系统等多源数据，对交通运行、生态环境、城市管理、公共安全等领域进行全域实时监测。研究建立城市运行关键体征指标体系，针对经济运行、人口管控、网络舆情、交通出行、政务服务等城市运行重要主题，融合实时数据和历史数据，实现实时监测、集中展示和趋势分析。提供基于真实三维地理空间的多目标同屏展示，打造可视化展现城市运行综合态势的“城市仪表盘”，实现对城市运行“全天候”“全方位”“全向量”的实时动态感知。</w:t>
      </w:r>
    </w:p>
    <w:p>
      <w:pPr>
        <w:spacing w:line="570" w:lineRule="exact"/>
        <w:ind w:firstLine="643" w:firstLineChars="200"/>
        <w:outlineLvl w:val="2"/>
        <w:rPr>
          <w:rFonts w:eastAsia="仿宋_GB2312"/>
          <w:b/>
          <w:bCs/>
          <w:sz w:val="32"/>
          <w:szCs w:val="32"/>
        </w:rPr>
      </w:pPr>
      <w:bookmarkStart w:id="130" w:name="_Toc49071729"/>
      <w:bookmarkStart w:id="131" w:name="_Toc79136164"/>
      <w:bookmarkStart w:id="132" w:name="_Toc78985264"/>
      <w:r>
        <w:rPr>
          <w:rFonts w:eastAsia="仿宋_GB2312"/>
          <w:b/>
          <w:bCs/>
          <w:sz w:val="32"/>
          <w:szCs w:val="32"/>
        </w:rPr>
        <w:t>2</w:t>
      </w:r>
      <w:r>
        <w:rPr>
          <w:rFonts w:hint="eastAsia" w:eastAsia="仿宋_GB2312"/>
          <w:b/>
          <w:bCs/>
          <w:sz w:val="32"/>
          <w:szCs w:val="32"/>
        </w:rPr>
        <w:t>、</w:t>
      </w:r>
      <w:bookmarkEnd w:id="130"/>
      <w:r>
        <w:rPr>
          <w:rFonts w:hint="eastAsia" w:eastAsia="仿宋_GB2312"/>
          <w:b/>
          <w:bCs/>
          <w:sz w:val="32"/>
          <w:szCs w:val="32"/>
        </w:rPr>
        <w:t>提升联动指挥调度水平</w:t>
      </w:r>
      <w:bookmarkEnd w:id="131"/>
      <w:bookmarkEnd w:id="132"/>
    </w:p>
    <w:p>
      <w:pPr>
        <w:spacing w:line="570" w:lineRule="exact"/>
        <w:ind w:firstLine="640" w:firstLineChars="200"/>
        <w:rPr>
          <w:rFonts w:eastAsia="仿宋_GB2312"/>
          <w:sz w:val="32"/>
          <w:szCs w:val="32"/>
        </w:rPr>
      </w:pPr>
      <w:r>
        <w:rPr>
          <w:rFonts w:hint="eastAsia" w:eastAsia="仿宋_GB2312"/>
          <w:sz w:val="32"/>
          <w:szCs w:val="32"/>
        </w:rPr>
        <w:t>建设上连市级、下连街乡的实体综合指挥调度中心、支持各类城市综合管理问题的协同处理和突发事件的应急指挥，有力支撑统一指挥、统一行动、统一资源调配，实现专业研判、智能分析、科学决策、高效指挥、主动服务。建立“领导驾驶舱”，提供定制化、个性化、可配置、可调整的区级辅助决策应用，建立针对不同主题的模拟仿真和决策支持模型，实现全方位的数据服务和全过程的分析研判，为政策制定、流程优化、重大问题决策、突发事件响应提供参考依据。</w:t>
      </w:r>
    </w:p>
    <w:p>
      <w:pPr>
        <w:keepNext/>
        <w:keepLines/>
        <w:spacing w:line="570" w:lineRule="exact"/>
        <w:ind w:firstLine="643" w:firstLineChars="200"/>
        <w:outlineLvl w:val="1"/>
        <w:rPr>
          <w:rFonts w:eastAsia="楷体_GB2312"/>
          <w:b/>
          <w:bCs/>
          <w:sz w:val="32"/>
          <w:szCs w:val="32"/>
        </w:rPr>
      </w:pPr>
      <w:bookmarkStart w:id="133" w:name="_Toc79136165"/>
      <w:bookmarkStart w:id="134" w:name="_Toc79136612"/>
      <w:bookmarkStart w:id="135" w:name="_Toc78985265"/>
      <w:r>
        <w:rPr>
          <w:rFonts w:hint="eastAsia" w:eastAsia="楷体_GB2312"/>
          <w:b/>
          <w:bCs/>
          <w:sz w:val="32"/>
          <w:szCs w:val="32"/>
        </w:rPr>
        <w:t>（四）加强网络信息安全防护</w:t>
      </w:r>
      <w:bookmarkEnd w:id="133"/>
      <w:bookmarkEnd w:id="134"/>
      <w:bookmarkEnd w:id="135"/>
    </w:p>
    <w:p>
      <w:pPr>
        <w:spacing w:line="570" w:lineRule="exact"/>
        <w:ind w:firstLine="643" w:firstLineChars="200"/>
        <w:outlineLvl w:val="2"/>
        <w:rPr>
          <w:rFonts w:eastAsia="仿宋_GB2312"/>
          <w:b/>
          <w:bCs/>
          <w:sz w:val="32"/>
          <w:szCs w:val="32"/>
        </w:rPr>
      </w:pPr>
      <w:bookmarkStart w:id="136" w:name="_Toc79136166"/>
      <w:bookmarkStart w:id="137" w:name="_Toc78985266"/>
      <w:r>
        <w:rPr>
          <w:rFonts w:hint="eastAsia" w:eastAsia="仿宋_GB2312"/>
          <w:b/>
          <w:bCs/>
          <w:sz w:val="32"/>
          <w:szCs w:val="32"/>
        </w:rPr>
        <w:t>1、加强网络安全态势感知</w:t>
      </w:r>
      <w:bookmarkEnd w:id="136"/>
      <w:bookmarkEnd w:id="137"/>
    </w:p>
    <w:p>
      <w:pPr>
        <w:spacing w:line="570" w:lineRule="exact"/>
        <w:ind w:firstLine="640" w:firstLineChars="200"/>
        <w:rPr>
          <w:rFonts w:eastAsia="仿宋_GB2312"/>
          <w:sz w:val="32"/>
          <w:szCs w:val="32"/>
        </w:rPr>
      </w:pPr>
      <w:r>
        <w:rPr>
          <w:rFonts w:hint="eastAsia" w:eastAsia="仿宋_GB2312"/>
          <w:sz w:val="32"/>
          <w:szCs w:val="32"/>
        </w:rPr>
        <w:t>依托城市安全大脑，构建全区安全数据中心，统一存储与管理全区政务网络及安全设备的日志。完善网络安全态势感知平台，通过事前防御检测、事中防护和事后响应的全方位安全措施，实现网络信息空间安全策略管控、网络监测预警、应急协同调度等防护能力。探索通信、交通等城市基础设施网络安全智能感知模式，强化城市网络安全运营、管理、分析、决策能力，全面提升城市运行安全保障水平。</w:t>
      </w:r>
    </w:p>
    <w:p>
      <w:pPr>
        <w:spacing w:line="570" w:lineRule="exact"/>
        <w:ind w:firstLine="643" w:firstLineChars="200"/>
        <w:outlineLvl w:val="2"/>
        <w:rPr>
          <w:rFonts w:eastAsia="仿宋_GB2312"/>
          <w:b/>
          <w:bCs/>
          <w:sz w:val="32"/>
          <w:szCs w:val="32"/>
        </w:rPr>
      </w:pPr>
      <w:bookmarkStart w:id="138" w:name="_Toc79136167"/>
      <w:bookmarkStart w:id="139" w:name="_Toc78985267"/>
      <w:r>
        <w:rPr>
          <w:rFonts w:hint="eastAsia" w:eastAsia="仿宋_GB2312"/>
          <w:b/>
          <w:bCs/>
          <w:sz w:val="32"/>
          <w:szCs w:val="32"/>
        </w:rPr>
        <w:t>2、建立全方位的防护体系</w:t>
      </w:r>
      <w:bookmarkEnd w:id="138"/>
      <w:bookmarkEnd w:id="139"/>
    </w:p>
    <w:p>
      <w:pPr>
        <w:spacing w:line="570" w:lineRule="exact"/>
        <w:ind w:firstLine="640" w:firstLineChars="200"/>
        <w:rPr>
          <w:rFonts w:eastAsia="仿宋_GB2312"/>
          <w:sz w:val="32"/>
          <w:szCs w:val="32"/>
        </w:rPr>
      </w:pPr>
      <w:r>
        <w:rPr>
          <w:rFonts w:hint="eastAsia" w:eastAsia="仿宋_GB2312"/>
          <w:sz w:val="32"/>
          <w:szCs w:val="32"/>
        </w:rPr>
        <w:t>优化可信网络安全防护体系，实施安全认证、审计等防护手段，形成覆盖终端、用户、网络、云、数据、应用的多层级纵深防御体系。重点建设集云监测、云防护等功能于一体的政务云安全防护体系，全面提升面向政务云的网络安全防护和应对风险能力。</w:t>
      </w:r>
      <w:r>
        <w:rPr>
          <w:rFonts w:eastAsia="仿宋_GB2312"/>
          <w:sz w:val="32"/>
          <w:szCs w:val="32"/>
        </w:rPr>
        <w:t>加强</w:t>
      </w:r>
      <w:r>
        <w:rPr>
          <w:rFonts w:hint="eastAsia" w:eastAsia="仿宋_GB2312"/>
          <w:sz w:val="32"/>
          <w:szCs w:val="32"/>
        </w:rPr>
        <w:t>对</w:t>
      </w:r>
      <w:r>
        <w:rPr>
          <w:rFonts w:eastAsia="仿宋_GB2312"/>
          <w:sz w:val="32"/>
          <w:szCs w:val="32"/>
        </w:rPr>
        <w:t>数据资源</w:t>
      </w:r>
      <w:r>
        <w:rPr>
          <w:rFonts w:hint="eastAsia" w:eastAsia="仿宋_GB2312"/>
          <w:sz w:val="32"/>
          <w:szCs w:val="32"/>
        </w:rPr>
        <w:t>从</w:t>
      </w:r>
      <w:r>
        <w:rPr>
          <w:rFonts w:eastAsia="仿宋_GB2312"/>
          <w:sz w:val="32"/>
          <w:szCs w:val="32"/>
        </w:rPr>
        <w:t>采集</w:t>
      </w:r>
      <w:r>
        <w:rPr>
          <w:rFonts w:hint="eastAsia" w:eastAsia="仿宋_GB2312"/>
          <w:sz w:val="32"/>
          <w:szCs w:val="32"/>
        </w:rPr>
        <w:t>到</w:t>
      </w:r>
      <w:r>
        <w:rPr>
          <w:rFonts w:eastAsia="仿宋_GB2312"/>
          <w:sz w:val="32"/>
          <w:szCs w:val="32"/>
        </w:rPr>
        <w:t>传输、存储、加工、使用</w:t>
      </w:r>
      <w:r>
        <w:rPr>
          <w:rFonts w:hint="eastAsia" w:eastAsia="仿宋_GB2312"/>
          <w:sz w:val="32"/>
          <w:szCs w:val="32"/>
        </w:rPr>
        <w:t>、</w:t>
      </w:r>
      <w:r>
        <w:rPr>
          <w:rFonts w:eastAsia="仿宋_GB2312"/>
          <w:sz w:val="32"/>
          <w:szCs w:val="32"/>
        </w:rPr>
        <w:t>共享</w:t>
      </w:r>
      <w:r>
        <w:rPr>
          <w:rFonts w:hint="eastAsia" w:eastAsia="仿宋_GB2312"/>
          <w:sz w:val="32"/>
          <w:szCs w:val="32"/>
        </w:rPr>
        <w:t>、开放、销毁</w:t>
      </w:r>
      <w:r>
        <w:rPr>
          <w:rFonts w:eastAsia="仿宋_GB2312"/>
          <w:sz w:val="32"/>
          <w:szCs w:val="32"/>
        </w:rPr>
        <w:t>等全流程</w:t>
      </w:r>
      <w:r>
        <w:rPr>
          <w:rFonts w:hint="eastAsia" w:eastAsia="仿宋_GB2312"/>
          <w:sz w:val="32"/>
          <w:szCs w:val="32"/>
        </w:rPr>
        <w:t>的</w:t>
      </w:r>
      <w:r>
        <w:rPr>
          <w:rFonts w:eastAsia="仿宋_GB2312"/>
          <w:sz w:val="32"/>
          <w:szCs w:val="32"/>
        </w:rPr>
        <w:t>安全保护</w:t>
      </w:r>
      <w:r>
        <w:rPr>
          <w:rFonts w:hint="eastAsia" w:eastAsia="仿宋_GB2312"/>
          <w:sz w:val="32"/>
          <w:szCs w:val="32"/>
        </w:rPr>
        <w:t>和隐私保护，制定数据分级分类防护策略，构建相应的安全架构和组织保障制度。</w:t>
      </w:r>
    </w:p>
    <w:p>
      <w:pPr>
        <w:keepNext/>
        <w:keepLines/>
        <w:spacing w:line="570" w:lineRule="exact"/>
        <w:ind w:firstLine="640" w:firstLineChars="200"/>
        <w:jc w:val="left"/>
        <w:outlineLvl w:val="0"/>
        <w:rPr>
          <w:rFonts w:eastAsia="黑体"/>
          <w:bCs/>
          <w:kern w:val="44"/>
          <w:sz w:val="32"/>
          <w:szCs w:val="44"/>
        </w:rPr>
      </w:pPr>
      <w:bookmarkStart w:id="140" w:name="_Toc79136613"/>
      <w:bookmarkStart w:id="141" w:name="_Toc79136168"/>
      <w:bookmarkStart w:id="142" w:name="_Toc78985268"/>
      <w:r>
        <w:rPr>
          <w:rFonts w:hint="eastAsia" w:eastAsia="黑体"/>
          <w:bCs/>
          <w:kern w:val="44"/>
          <w:sz w:val="32"/>
          <w:szCs w:val="44"/>
        </w:rPr>
        <w:t>七、推动智慧城市“新应用”</w:t>
      </w:r>
      <w:bookmarkEnd w:id="140"/>
      <w:bookmarkEnd w:id="141"/>
      <w:bookmarkEnd w:id="142"/>
    </w:p>
    <w:p>
      <w:pPr>
        <w:keepNext/>
        <w:keepLines/>
        <w:spacing w:line="570" w:lineRule="exact"/>
        <w:ind w:firstLine="643" w:firstLineChars="200"/>
        <w:outlineLvl w:val="1"/>
        <w:rPr>
          <w:rFonts w:eastAsia="楷体_GB2312"/>
          <w:b/>
          <w:bCs/>
          <w:sz w:val="32"/>
          <w:szCs w:val="32"/>
        </w:rPr>
      </w:pPr>
      <w:bookmarkStart w:id="143" w:name="_Toc79136169"/>
      <w:bookmarkStart w:id="144" w:name="_Toc79136614"/>
      <w:bookmarkStart w:id="145" w:name="_Toc78985269"/>
      <w:r>
        <w:rPr>
          <w:rFonts w:hint="eastAsia" w:eastAsia="楷体_GB2312"/>
          <w:b/>
          <w:bCs/>
          <w:sz w:val="32"/>
          <w:szCs w:val="32"/>
        </w:rPr>
        <w:t>（一）打造精细敏捷的社会治理能力</w:t>
      </w:r>
      <w:bookmarkEnd w:id="143"/>
      <w:bookmarkEnd w:id="144"/>
      <w:bookmarkEnd w:id="145"/>
    </w:p>
    <w:p>
      <w:pPr>
        <w:spacing w:line="570" w:lineRule="exact"/>
        <w:ind w:firstLine="643" w:firstLineChars="200"/>
        <w:outlineLvl w:val="2"/>
        <w:rPr>
          <w:rFonts w:eastAsia="仿宋_GB2312"/>
          <w:b/>
          <w:bCs/>
          <w:sz w:val="32"/>
          <w:szCs w:val="32"/>
        </w:rPr>
      </w:pPr>
      <w:bookmarkStart w:id="146" w:name="_Toc79136170"/>
      <w:bookmarkStart w:id="147" w:name="_Toc78985270"/>
      <w:r>
        <w:rPr>
          <w:rFonts w:eastAsia="仿宋_GB2312"/>
          <w:b/>
          <w:bCs/>
          <w:sz w:val="32"/>
          <w:szCs w:val="32"/>
        </w:rPr>
        <w:t>1</w:t>
      </w:r>
      <w:r>
        <w:rPr>
          <w:rFonts w:hint="eastAsia" w:eastAsia="仿宋_GB2312"/>
          <w:b/>
          <w:bCs/>
          <w:sz w:val="32"/>
          <w:szCs w:val="32"/>
        </w:rPr>
        <w:t>、提升城市精细化治理</w:t>
      </w:r>
      <w:bookmarkEnd w:id="146"/>
      <w:bookmarkEnd w:id="147"/>
    </w:p>
    <w:p>
      <w:pPr>
        <w:spacing w:line="570" w:lineRule="exact"/>
        <w:ind w:firstLine="643" w:firstLineChars="200"/>
        <w:rPr>
          <w:rFonts w:eastAsia="仿宋_GB2312"/>
          <w:sz w:val="32"/>
          <w:szCs w:val="32"/>
        </w:rPr>
      </w:pPr>
      <w:r>
        <w:rPr>
          <w:rFonts w:hint="eastAsia" w:eastAsia="仿宋_GB2312"/>
          <w:b/>
          <w:bCs/>
          <w:sz w:val="32"/>
          <w:szCs w:val="32"/>
        </w:rPr>
        <w:t>加强生态环境监管。</w:t>
      </w:r>
      <w:r>
        <w:rPr>
          <w:rFonts w:hint="eastAsia" w:eastAsia="仿宋_GB2312"/>
          <w:sz w:val="32"/>
          <w:szCs w:val="32"/>
        </w:rPr>
        <w:t>综合应用卫星遥感、地理信息系统、大数据挖掘、污染分析建模等技术，构建河流、湖泊、沟渠监测网络场景。加快推进水系连通工程建设，</w:t>
      </w:r>
      <w:r>
        <w:rPr>
          <w:rFonts w:eastAsia="仿宋_GB2312"/>
          <w:sz w:val="32"/>
          <w:szCs w:val="32"/>
          <w:lang w:val="zh-CN"/>
        </w:rPr>
        <w:t>建设智慧水务平台，加强物联网、大数据、无人船等技术和</w:t>
      </w:r>
      <w:r>
        <w:rPr>
          <w:rFonts w:hint="eastAsia" w:eastAsia="仿宋_GB2312"/>
          <w:sz w:val="32"/>
          <w:szCs w:val="32"/>
          <w:lang w:val="zh-CN"/>
        </w:rPr>
        <w:t>装备</w:t>
      </w:r>
      <w:r>
        <w:rPr>
          <w:rFonts w:eastAsia="仿宋_GB2312"/>
          <w:sz w:val="32"/>
          <w:szCs w:val="32"/>
          <w:lang w:val="zh-CN"/>
        </w:rPr>
        <w:t>应用</w:t>
      </w:r>
      <w:r>
        <w:rPr>
          <w:rFonts w:hint="eastAsia" w:eastAsia="仿宋_GB2312"/>
          <w:sz w:val="32"/>
          <w:szCs w:val="32"/>
          <w:lang w:val="zh-CN"/>
        </w:rPr>
        <w:t>，</w:t>
      </w:r>
      <w:r>
        <w:rPr>
          <w:rFonts w:hint="eastAsia" w:eastAsia="仿宋_GB2312"/>
          <w:sz w:val="32"/>
          <w:szCs w:val="32"/>
        </w:rPr>
        <w:t>提升水务物联感知能力</w:t>
      </w:r>
      <w:r>
        <w:rPr>
          <w:rFonts w:eastAsia="仿宋_GB2312"/>
          <w:sz w:val="32"/>
          <w:szCs w:val="32"/>
          <w:lang w:val="zh-CN"/>
        </w:rPr>
        <w:t>。</w:t>
      </w:r>
      <w:r>
        <w:rPr>
          <w:rFonts w:hint="eastAsia" w:eastAsia="仿宋_GB2312"/>
          <w:sz w:val="32"/>
          <w:szCs w:val="32"/>
        </w:rPr>
        <w:t>围绕温榆河水系，建设智能化地表水环境质量监测网络，加强基于区域补偿断面水质监测的数据采集、处理、报送能力建设，提升河段水质和地表水生态安全监测能力。</w:t>
      </w:r>
    </w:p>
    <w:p>
      <w:pPr>
        <w:spacing w:line="570" w:lineRule="exact"/>
        <w:ind w:firstLine="643" w:firstLineChars="200"/>
        <w:rPr>
          <w:rFonts w:eastAsia="仿宋_GB2312"/>
          <w:sz w:val="32"/>
          <w:szCs w:val="32"/>
        </w:rPr>
      </w:pPr>
      <w:r>
        <w:rPr>
          <w:rFonts w:hint="eastAsia" w:eastAsia="仿宋_GB2312"/>
          <w:b/>
          <w:bCs/>
          <w:sz w:val="32"/>
          <w:szCs w:val="32"/>
        </w:rPr>
        <w:t>完善生活环境治理。</w:t>
      </w:r>
      <w:r>
        <w:rPr>
          <w:rFonts w:hint="eastAsia" w:eastAsia="仿宋_GB2312"/>
          <w:sz w:val="32"/>
          <w:szCs w:val="32"/>
        </w:rPr>
        <w:t>建立机动车综合管理信息化系统，提升机动车和非道路机械等移动污染源的监测、监管和执法能力。推动区内空气质量、污染源、水环境质量等监测监管数据与应急响应、重大项目评审和行政执法等信息共享，支撑预测预报、应急指挥、决策会商、联防联控和问题研究。探索建立智慧垃圾分类</w:t>
      </w:r>
      <w:r>
        <w:rPr>
          <w:rFonts w:eastAsia="仿宋_GB2312"/>
          <w:sz w:val="32"/>
          <w:szCs w:val="32"/>
        </w:rPr>
        <w:t>和无害化</w:t>
      </w:r>
      <w:r>
        <w:rPr>
          <w:rFonts w:hint="eastAsia" w:eastAsia="仿宋_GB2312"/>
          <w:sz w:val="32"/>
          <w:szCs w:val="32"/>
        </w:rPr>
        <w:t>处置，推广部署智能垃圾分类箱，着力推进生活垃圾分类投放、分类收集、分类运输和无害化处置智能化设施体系建设。</w:t>
      </w:r>
    </w:p>
    <w:p>
      <w:pPr>
        <w:spacing w:line="570" w:lineRule="exact"/>
        <w:ind w:firstLine="643" w:firstLineChars="200"/>
        <w:rPr>
          <w:rFonts w:eastAsia="仿宋_GB2312"/>
          <w:sz w:val="32"/>
          <w:szCs w:val="32"/>
        </w:rPr>
      </w:pPr>
      <w:r>
        <w:rPr>
          <w:rFonts w:hint="eastAsia" w:eastAsia="仿宋_GB2312"/>
          <w:b/>
          <w:bCs/>
          <w:sz w:val="32"/>
          <w:szCs w:val="32"/>
        </w:rPr>
        <w:t>提升交通治理数字化水平。</w:t>
      </w:r>
      <w:r>
        <w:rPr>
          <w:rFonts w:hint="eastAsia" w:eastAsia="仿宋_GB2312"/>
          <w:sz w:val="32"/>
          <w:szCs w:val="32"/>
        </w:rPr>
        <w:t>建设完善与</w:t>
      </w:r>
      <w:r>
        <w:rPr>
          <w:rFonts w:eastAsia="仿宋_GB2312"/>
          <w:sz w:val="32"/>
          <w:szCs w:val="32"/>
        </w:rPr>
        <w:t>市级对接的</w:t>
      </w:r>
      <w:r>
        <w:rPr>
          <w:rFonts w:hint="eastAsia" w:eastAsia="仿宋_GB2312"/>
          <w:sz w:val="32"/>
          <w:szCs w:val="32"/>
        </w:rPr>
        <w:t>交通运行协调指挥中心，整合接入城市管理网格、社会视频、道路设施、公共交通运行和违章等数据，提升城市交通智能化运行调度能力。开展流量控制、信号灯控制与应急调度，重点围绕CBD、望京等区域推动智能信号灯“绿波调节”、“全息路网”、公交信号优先系统和特种车辆“一键护航”等试点示范应用。</w:t>
      </w:r>
      <w:r>
        <w:rPr>
          <w:rFonts w:eastAsia="仿宋_GB2312"/>
          <w:sz w:val="32"/>
          <w:szCs w:val="32"/>
        </w:rPr>
        <w:t>升级交通综合服务平台，</w:t>
      </w:r>
      <w:r>
        <w:rPr>
          <w:rFonts w:hint="eastAsia" w:eastAsia="仿宋_GB2312"/>
          <w:sz w:val="32"/>
          <w:szCs w:val="32"/>
        </w:rPr>
        <w:t>建设“出行</w:t>
      </w:r>
      <w:r>
        <w:rPr>
          <w:rFonts w:eastAsia="仿宋_GB2312"/>
          <w:sz w:val="32"/>
          <w:szCs w:val="32"/>
        </w:rPr>
        <w:t>+</w:t>
      </w:r>
      <w:r>
        <w:rPr>
          <w:rFonts w:hint="eastAsia" w:eastAsia="仿宋_GB2312"/>
          <w:sz w:val="32"/>
          <w:szCs w:val="32"/>
        </w:rPr>
        <w:t>停车”交通出行服务与诱导系统，</w:t>
      </w:r>
      <w:r>
        <w:rPr>
          <w:rFonts w:eastAsia="仿宋_GB2312"/>
          <w:sz w:val="32"/>
          <w:szCs w:val="32"/>
        </w:rPr>
        <w:t>提供及时、精准的智能交通信息服务</w:t>
      </w:r>
      <w:r>
        <w:rPr>
          <w:rFonts w:hint="eastAsia" w:eastAsia="仿宋_GB2312"/>
          <w:sz w:val="32"/>
          <w:szCs w:val="32"/>
        </w:rPr>
        <w:t>。</w:t>
      </w:r>
    </w:p>
    <w:p>
      <w:pPr>
        <w:spacing w:line="570" w:lineRule="exact"/>
        <w:ind w:firstLine="643" w:firstLineChars="200"/>
        <w:rPr>
          <w:rFonts w:eastAsia="仿宋_GB2312"/>
          <w:sz w:val="32"/>
          <w:szCs w:val="32"/>
        </w:rPr>
      </w:pPr>
      <w:r>
        <w:rPr>
          <w:rFonts w:hint="eastAsia" w:eastAsia="仿宋_GB2312"/>
          <w:b/>
          <w:bCs/>
          <w:sz w:val="32"/>
          <w:szCs w:val="32"/>
        </w:rPr>
        <w:t>完善智慧物业管理体系。</w:t>
      </w:r>
      <w:r>
        <w:rPr>
          <w:rFonts w:hint="eastAsia" w:eastAsia="仿宋_GB2312"/>
          <w:sz w:val="32"/>
          <w:szCs w:val="32"/>
        </w:rPr>
        <w:t>将物业管理纳入基层社会治理体系，搭建智慧物业综合服务信息平台，聚焦“一站式服务、一网式监管”，规范</w:t>
      </w:r>
      <w:r>
        <w:rPr>
          <w:rFonts w:eastAsia="仿宋_GB2312"/>
          <w:sz w:val="32"/>
          <w:szCs w:val="32"/>
        </w:rPr>
        <w:t>物业企业</w:t>
      </w:r>
      <w:r>
        <w:rPr>
          <w:rFonts w:hint="eastAsia" w:eastAsia="仿宋_GB2312"/>
          <w:sz w:val="32"/>
          <w:szCs w:val="32"/>
        </w:rPr>
        <w:t>管理</w:t>
      </w:r>
      <w:r>
        <w:rPr>
          <w:rFonts w:eastAsia="仿宋_GB2312"/>
          <w:sz w:val="32"/>
          <w:szCs w:val="32"/>
        </w:rPr>
        <w:t>服务，</w:t>
      </w:r>
      <w:r>
        <w:rPr>
          <w:rFonts w:hint="eastAsia" w:eastAsia="仿宋_GB2312"/>
          <w:sz w:val="32"/>
          <w:szCs w:val="32"/>
        </w:rPr>
        <w:t>提高社区治理水平。依托</w:t>
      </w:r>
      <w:r>
        <w:rPr>
          <w:rFonts w:eastAsia="仿宋_GB2312"/>
          <w:sz w:val="32"/>
          <w:szCs w:val="32"/>
        </w:rPr>
        <w:t>区级</w:t>
      </w:r>
      <w:r>
        <w:rPr>
          <w:rFonts w:hint="eastAsia" w:eastAsia="仿宋_GB2312"/>
          <w:sz w:val="32"/>
          <w:szCs w:val="32"/>
        </w:rPr>
        <w:t>GIS平台建立</w:t>
      </w:r>
      <w:r>
        <w:rPr>
          <w:rFonts w:eastAsia="仿宋_GB2312"/>
          <w:sz w:val="32"/>
          <w:szCs w:val="32"/>
        </w:rPr>
        <w:t>统一标准的</w:t>
      </w:r>
      <w:r>
        <w:rPr>
          <w:rFonts w:hint="eastAsia" w:eastAsia="仿宋_GB2312"/>
          <w:sz w:val="32"/>
          <w:szCs w:val="32"/>
        </w:rPr>
        <w:t>全区物业管理“一张图”，明确物业管理范围边界，将人、地、事、物、组织等信息进行标注、关联和展示，形成跨部门、跨行业的智慧物业信息数据基础库，为构建应用大数据的智能物业生态奠定基础。</w:t>
      </w:r>
    </w:p>
    <w:p>
      <w:pPr>
        <w:spacing w:line="570" w:lineRule="exact"/>
        <w:ind w:firstLine="643" w:firstLineChars="200"/>
        <w:rPr>
          <w:rFonts w:eastAsia="楷体"/>
          <w:sz w:val="32"/>
          <w:szCs w:val="32"/>
        </w:rPr>
      </w:pPr>
      <w:r>
        <w:rPr>
          <w:rFonts w:hint="eastAsia" w:eastAsia="仿宋_GB2312"/>
          <w:b/>
          <w:bCs/>
          <w:sz w:val="32"/>
          <w:szCs w:val="32"/>
        </w:rPr>
        <w:t>构建综合执法指挥体系。</w:t>
      </w:r>
      <w:r>
        <w:rPr>
          <w:rFonts w:hint="eastAsia" w:eastAsia="仿宋_GB2312"/>
          <w:sz w:val="32"/>
          <w:szCs w:val="32"/>
        </w:rPr>
        <w:t>打造集</w:t>
      </w:r>
      <w:r>
        <w:rPr>
          <w:rFonts w:eastAsia="仿宋_GB2312"/>
          <w:sz w:val="32"/>
          <w:szCs w:val="32"/>
          <w:lang w:val="zh-CN"/>
        </w:rPr>
        <w:t>预警预判</w:t>
      </w:r>
      <w:r>
        <w:rPr>
          <w:rFonts w:hint="eastAsia" w:eastAsia="仿宋_GB2312"/>
          <w:sz w:val="32"/>
          <w:szCs w:val="32"/>
        </w:rPr>
        <w:t>、智能派遣、指令督办、联动处置、考核评价等功能的城管综合执法平台，全面对接街乡实体化综合执法平台，联合城市管理、食品药品安全、交通管理和生态环保等各领域执法力量，加强执法协作、系统对接和执法信息资源共享。推广执法手持终端设备，开展违法现象智能识别，提高对城市高发问题、顽疾问题的智能化管理水平。加强人工智能图像识别、数据分析和可视化技术应用，助力“无违建街乡”整治工作常态长效管理体系建立。</w:t>
      </w:r>
    </w:p>
    <w:p>
      <w:pPr>
        <w:spacing w:line="570" w:lineRule="exact"/>
        <w:ind w:firstLine="643" w:firstLineChars="200"/>
        <w:outlineLvl w:val="2"/>
        <w:rPr>
          <w:rFonts w:eastAsia="仿宋_GB2312"/>
          <w:b/>
          <w:bCs/>
          <w:sz w:val="32"/>
          <w:szCs w:val="32"/>
        </w:rPr>
      </w:pPr>
      <w:bookmarkStart w:id="148" w:name="_Toc78985271"/>
      <w:bookmarkStart w:id="149" w:name="_Toc79136171"/>
      <w:r>
        <w:rPr>
          <w:rFonts w:eastAsia="仿宋_GB2312"/>
          <w:b/>
          <w:bCs/>
          <w:sz w:val="32"/>
          <w:szCs w:val="32"/>
        </w:rPr>
        <w:t>2</w:t>
      </w:r>
      <w:r>
        <w:rPr>
          <w:rFonts w:hint="eastAsia" w:eastAsia="仿宋_GB2312"/>
          <w:b/>
          <w:bCs/>
          <w:sz w:val="32"/>
          <w:szCs w:val="32"/>
        </w:rPr>
        <w:t>、推进市场精准化调控</w:t>
      </w:r>
      <w:bookmarkEnd w:id="148"/>
      <w:bookmarkEnd w:id="149"/>
    </w:p>
    <w:p>
      <w:pPr>
        <w:spacing w:line="570" w:lineRule="exact"/>
        <w:ind w:firstLine="643" w:firstLineChars="200"/>
        <w:rPr>
          <w:rFonts w:eastAsia="楷体"/>
          <w:sz w:val="32"/>
          <w:szCs w:val="32"/>
        </w:rPr>
      </w:pPr>
      <w:r>
        <w:rPr>
          <w:rFonts w:hint="eastAsia" w:eastAsia="仿宋_GB2312"/>
          <w:b/>
          <w:bCs/>
          <w:sz w:val="32"/>
          <w:szCs w:val="32"/>
        </w:rPr>
        <w:t>加强社会信用体系建设。</w:t>
      </w:r>
      <w:r>
        <w:rPr>
          <w:rFonts w:hint="eastAsia" w:eastAsia="仿宋_GB2312"/>
          <w:sz w:val="32"/>
          <w:szCs w:val="32"/>
        </w:rPr>
        <w:t>进一步完善信用信息平台，整合各部门的信用数据，建立覆盖企业、自然人、社会组织、事业单位、政府机构等主体的信用信息数据库。探索利用互联网积累的信用数据，对现有征信体系进行补充完善，构建覆盖全社会的数字化征信系统，实现信用监管数据可比对、过程可追溯、问题可监测。开展公共信用评价，及时动态掌握市场主体经营情况及其规律特征，建立跨领域、跨行业的数字化信用监管体系。</w:t>
      </w:r>
    </w:p>
    <w:p>
      <w:pPr>
        <w:spacing w:line="570" w:lineRule="exact"/>
        <w:ind w:firstLine="643" w:firstLineChars="200"/>
        <w:rPr>
          <w:rFonts w:eastAsia="仿宋_GB2312"/>
          <w:sz w:val="32"/>
          <w:szCs w:val="32"/>
        </w:rPr>
      </w:pPr>
      <w:r>
        <w:rPr>
          <w:rFonts w:hint="eastAsia" w:eastAsia="仿宋_GB2312"/>
          <w:b/>
          <w:bCs/>
          <w:sz w:val="32"/>
          <w:szCs w:val="32"/>
        </w:rPr>
        <w:t>加强市场运行秩序监管。</w:t>
      </w:r>
      <w:r>
        <w:rPr>
          <w:rFonts w:hint="eastAsia" w:eastAsia="仿宋_GB2312"/>
          <w:sz w:val="32"/>
          <w:szCs w:val="32"/>
        </w:rPr>
        <w:t>推动基层食品安全、市场监管、金融等领域登记数据、许可数据、监管数据、信用数据的共享共用，打造</w:t>
      </w:r>
      <w:r>
        <w:rPr>
          <w:rFonts w:eastAsia="仿宋_GB2312"/>
          <w:sz w:val="32"/>
          <w:szCs w:val="32"/>
          <w:lang w:val="zh-CN"/>
        </w:rPr>
        <w:t>市场</w:t>
      </w:r>
      <w:r>
        <w:rPr>
          <w:rFonts w:hint="eastAsia" w:eastAsia="仿宋_GB2312"/>
          <w:sz w:val="32"/>
          <w:szCs w:val="32"/>
        </w:rPr>
        <w:t>综合监管协作平台。强化面向市场经营主体的行政监管和执法能力建设，构建全程监管闭环管理，打造条线并联、上下贯通的调度指挥系统，实现跨部门、跨层级协同联动综合调度“大执法”，切实维护市场秩序，改善营商环境。建立企业信用分级和风险监测体系推进以信用、风险为主要依据的精准监管，，完善风险监测、评估和预警能力建设。</w:t>
      </w:r>
    </w:p>
    <w:p>
      <w:pPr>
        <w:spacing w:line="570" w:lineRule="exact"/>
        <w:ind w:firstLine="643" w:firstLineChars="200"/>
        <w:outlineLvl w:val="2"/>
        <w:rPr>
          <w:rFonts w:eastAsia="仿宋_GB2312"/>
          <w:b/>
          <w:bCs/>
          <w:sz w:val="32"/>
          <w:szCs w:val="32"/>
        </w:rPr>
      </w:pPr>
      <w:bookmarkStart w:id="150" w:name="_Toc79136172"/>
      <w:bookmarkStart w:id="151" w:name="_Toc78985272"/>
      <w:r>
        <w:rPr>
          <w:rFonts w:eastAsia="仿宋_GB2312"/>
          <w:b/>
          <w:bCs/>
          <w:sz w:val="32"/>
          <w:szCs w:val="32"/>
        </w:rPr>
        <w:t>3</w:t>
      </w:r>
      <w:r>
        <w:rPr>
          <w:rFonts w:hint="eastAsia" w:eastAsia="仿宋_GB2312"/>
          <w:b/>
          <w:bCs/>
          <w:sz w:val="32"/>
          <w:szCs w:val="32"/>
        </w:rPr>
        <w:t>、提高安全精确化保障</w:t>
      </w:r>
      <w:bookmarkEnd w:id="150"/>
      <w:bookmarkEnd w:id="151"/>
    </w:p>
    <w:p>
      <w:pPr>
        <w:spacing w:line="570" w:lineRule="exact"/>
        <w:ind w:firstLine="643" w:firstLineChars="200"/>
        <w:rPr>
          <w:rFonts w:eastAsia="楷体"/>
          <w:b/>
          <w:bCs/>
          <w:sz w:val="32"/>
          <w:szCs w:val="32"/>
        </w:rPr>
      </w:pPr>
      <w:r>
        <w:rPr>
          <w:rFonts w:hint="eastAsia" w:eastAsia="仿宋_GB2312"/>
          <w:b/>
          <w:bCs/>
          <w:sz w:val="32"/>
          <w:szCs w:val="32"/>
        </w:rPr>
        <w:t>加强智慧化治安防控管理。</w:t>
      </w:r>
      <w:r>
        <w:rPr>
          <w:rFonts w:hint="eastAsia" w:eastAsia="仿宋_GB2312"/>
          <w:sz w:val="32"/>
          <w:szCs w:val="32"/>
        </w:rPr>
        <w:t>加快物联网安防设备设施建设，实现对城市治安防控要素的全面感知，完善人防物防技防数防结合的社会治安防控体系。通过人员全量档案和智能视频</w:t>
      </w:r>
      <w:r>
        <w:rPr>
          <w:rFonts w:eastAsia="仿宋_GB2312"/>
          <w:sz w:val="32"/>
          <w:szCs w:val="32"/>
        </w:rPr>
        <w:t>识别</w:t>
      </w:r>
      <w:r>
        <w:rPr>
          <w:rFonts w:hint="eastAsia" w:eastAsia="仿宋_GB2312"/>
          <w:sz w:val="32"/>
          <w:szCs w:val="32"/>
        </w:rPr>
        <w:t>等</w:t>
      </w:r>
      <w:r>
        <w:rPr>
          <w:rFonts w:eastAsia="仿宋_GB2312"/>
          <w:sz w:val="32"/>
          <w:szCs w:val="32"/>
        </w:rPr>
        <w:t>技术</w:t>
      </w:r>
      <w:r>
        <w:rPr>
          <w:rFonts w:hint="eastAsia" w:eastAsia="仿宋_GB2312"/>
          <w:sz w:val="32"/>
          <w:szCs w:val="32"/>
        </w:rPr>
        <w:t>支撑</w:t>
      </w:r>
      <w:r>
        <w:rPr>
          <w:rFonts w:eastAsia="仿宋_GB2312"/>
          <w:sz w:val="32"/>
          <w:szCs w:val="32"/>
        </w:rPr>
        <w:t>，</w:t>
      </w:r>
      <w:r>
        <w:rPr>
          <w:rFonts w:hint="eastAsia" w:eastAsia="仿宋_GB2312"/>
          <w:sz w:val="32"/>
          <w:szCs w:val="32"/>
        </w:rPr>
        <w:t>强化对全区各类重大活动的动态实时监测。整合利用政务数据、运营商数据和互联网企业数据资源，加强对全区重点领域、特殊人群、网络舆情等的精准化管理。深化“智慧平安小区”建设，开展社区、楼宇安防系统智慧化改造，依托全区视频监控共享平台强化安防数据智能分析和异常事件预警。</w:t>
      </w:r>
    </w:p>
    <w:p>
      <w:pPr>
        <w:spacing w:line="570" w:lineRule="exact"/>
        <w:ind w:firstLine="643" w:firstLineChars="200"/>
        <w:rPr>
          <w:rFonts w:eastAsia="仿宋_GB2312"/>
          <w:sz w:val="32"/>
          <w:szCs w:val="32"/>
        </w:rPr>
      </w:pPr>
      <w:r>
        <w:rPr>
          <w:rFonts w:hint="eastAsia" w:eastAsia="仿宋_GB2312"/>
          <w:b/>
          <w:bCs/>
          <w:sz w:val="32"/>
          <w:szCs w:val="32"/>
        </w:rPr>
        <w:t>提升应急事件联动处置水平。</w:t>
      </w:r>
      <w:r>
        <w:rPr>
          <w:rFonts w:hint="eastAsia" w:eastAsia="仿宋_GB2312"/>
          <w:sz w:val="32"/>
          <w:szCs w:val="32"/>
        </w:rPr>
        <w:t>依托“城市智慧大脑”综合指挥调度中心和区应急指挥中心，构建反应灵敏、上下联动、平战结合、统一指挥的应急联动体系，重点将基层综治、公安、交警、城管等部门接入应急指挥系统，实现协调会商、联动指挥和应急处置。强化风险研判、预测预警和应急处突能力建设，面向自然灾害、事故灾难、公共卫生、社会安全等应急事件及体育赛事等重大活动，借助视频监控及融合通讯等技术，实现现场情况实时掌握、指挥调度高效响应。</w:t>
      </w:r>
    </w:p>
    <w:p>
      <w:pPr>
        <w:spacing w:line="570" w:lineRule="exact"/>
        <w:ind w:firstLine="643" w:firstLineChars="200"/>
      </w:pPr>
      <w:r>
        <w:rPr>
          <w:rFonts w:hint="eastAsia" w:eastAsia="仿宋_GB2312"/>
          <w:b/>
          <w:bCs/>
          <w:sz w:val="32"/>
          <w:szCs w:val="32"/>
        </w:rPr>
        <w:t>构建公共卫生应急保障体系。</w:t>
      </w:r>
      <w:r>
        <w:rPr>
          <w:rFonts w:hint="eastAsia" w:eastAsia="仿宋_GB2312"/>
          <w:sz w:val="32"/>
          <w:szCs w:val="32"/>
        </w:rPr>
        <w:t>强化区疾控中心信息化建设，加大病原体检验和变异病毒监测信息化建设投入，构建平战结合</w:t>
      </w:r>
      <w:r>
        <w:rPr>
          <w:rFonts w:eastAsia="仿宋_GB2312"/>
          <w:sz w:val="32"/>
          <w:szCs w:val="32"/>
        </w:rPr>
        <w:t>的疾病预防控制体系</w:t>
      </w:r>
      <w:r>
        <w:rPr>
          <w:rFonts w:hint="eastAsia" w:eastAsia="仿宋_GB2312"/>
          <w:sz w:val="32"/>
          <w:szCs w:val="32"/>
        </w:rPr>
        <w:t>。建设疾病监测数据融合平台，提升传染病检</w:t>
      </w:r>
      <w:r>
        <w:rPr>
          <w:rFonts w:eastAsia="仿宋_GB2312"/>
          <w:sz w:val="32"/>
          <w:szCs w:val="32"/>
        </w:rPr>
        <w:t>测、监测预警</w:t>
      </w:r>
      <w:r>
        <w:rPr>
          <w:rFonts w:hint="eastAsia" w:eastAsia="仿宋_GB2312"/>
          <w:sz w:val="32"/>
          <w:szCs w:val="32"/>
        </w:rPr>
        <w:t>和应急</w:t>
      </w:r>
      <w:r>
        <w:rPr>
          <w:rFonts w:eastAsia="仿宋_GB2312"/>
          <w:sz w:val="32"/>
          <w:szCs w:val="32"/>
        </w:rPr>
        <w:t>处置能力</w:t>
      </w:r>
      <w:r>
        <w:rPr>
          <w:rFonts w:hint="eastAsia" w:eastAsia="仿宋_GB2312"/>
          <w:sz w:val="32"/>
          <w:szCs w:val="32"/>
        </w:rPr>
        <w:t>。加快推进互联网医院发展，提升社区卫生服务站的信息化水平，支撑分级分层分流的重大公共卫生事件应对机制。加强</w:t>
      </w:r>
      <w:r>
        <w:rPr>
          <w:rFonts w:eastAsia="仿宋_GB2312"/>
          <w:sz w:val="32"/>
          <w:szCs w:val="32"/>
        </w:rPr>
        <w:t>区级公共卫生应急指挥中心</w:t>
      </w:r>
      <w:r>
        <w:rPr>
          <w:rFonts w:hint="eastAsia" w:eastAsia="仿宋_GB2312"/>
          <w:sz w:val="32"/>
          <w:szCs w:val="32"/>
        </w:rPr>
        <w:t>信息化建设</w:t>
      </w:r>
      <w:r>
        <w:rPr>
          <w:rFonts w:eastAsia="仿宋_GB2312"/>
          <w:sz w:val="32"/>
          <w:szCs w:val="32"/>
        </w:rPr>
        <w:t>，</w:t>
      </w:r>
      <w:r>
        <w:rPr>
          <w:rFonts w:hint="eastAsia" w:eastAsia="仿宋_GB2312"/>
          <w:sz w:val="32"/>
          <w:szCs w:val="32"/>
        </w:rPr>
        <w:t>建立重大疫情事件防控数字指挥平台，</w:t>
      </w:r>
      <w:r>
        <w:rPr>
          <w:rFonts w:eastAsia="仿宋_GB2312"/>
          <w:sz w:val="32"/>
          <w:szCs w:val="32"/>
        </w:rPr>
        <w:t>提高应急作战能力</w:t>
      </w:r>
      <w:r>
        <w:rPr>
          <w:rFonts w:hint="eastAsia" w:eastAsia="仿宋_GB2312"/>
          <w:sz w:val="32"/>
          <w:szCs w:val="32"/>
        </w:rPr>
        <w:t>。</w:t>
      </w:r>
    </w:p>
    <w:p>
      <w:pPr>
        <w:keepNext/>
        <w:keepLines/>
        <w:spacing w:line="570" w:lineRule="exact"/>
        <w:ind w:firstLine="643" w:firstLineChars="200"/>
        <w:outlineLvl w:val="1"/>
        <w:rPr>
          <w:rFonts w:eastAsia="楷体_GB2312"/>
          <w:b/>
          <w:bCs/>
          <w:sz w:val="32"/>
          <w:szCs w:val="32"/>
        </w:rPr>
      </w:pPr>
      <w:bookmarkStart w:id="152" w:name="_Toc79136173"/>
      <w:bookmarkStart w:id="153" w:name="_Toc79136615"/>
      <w:bookmarkStart w:id="154" w:name="_Toc78985273"/>
      <w:bookmarkStart w:id="155" w:name="_Toc462757504"/>
      <w:r>
        <w:rPr>
          <w:rFonts w:hint="eastAsia" w:eastAsia="楷体_GB2312"/>
          <w:b/>
          <w:bCs/>
          <w:sz w:val="32"/>
          <w:szCs w:val="32"/>
        </w:rPr>
        <w:t>（二）保障便捷优质的民生服务供给</w:t>
      </w:r>
      <w:bookmarkEnd w:id="152"/>
      <w:bookmarkEnd w:id="153"/>
      <w:bookmarkEnd w:id="154"/>
    </w:p>
    <w:p>
      <w:pPr>
        <w:spacing w:line="570" w:lineRule="exact"/>
        <w:ind w:firstLine="643" w:firstLineChars="200"/>
        <w:outlineLvl w:val="2"/>
        <w:rPr>
          <w:rFonts w:eastAsia="仿宋_GB2312"/>
          <w:b/>
          <w:bCs/>
          <w:sz w:val="32"/>
          <w:szCs w:val="32"/>
        </w:rPr>
      </w:pPr>
      <w:bookmarkStart w:id="156" w:name="_Toc78985274"/>
      <w:bookmarkStart w:id="157" w:name="_Toc79136174"/>
      <w:r>
        <w:rPr>
          <w:rFonts w:hint="eastAsia" w:eastAsia="仿宋_GB2312"/>
          <w:b/>
          <w:bCs/>
          <w:sz w:val="32"/>
          <w:szCs w:val="32"/>
        </w:rPr>
        <w:t>1、优化普惠性社会公共服务</w:t>
      </w:r>
      <w:bookmarkEnd w:id="156"/>
      <w:bookmarkEnd w:id="157"/>
    </w:p>
    <w:p>
      <w:pPr>
        <w:spacing w:line="570" w:lineRule="exact"/>
        <w:ind w:firstLine="643" w:firstLineChars="200"/>
        <w:rPr>
          <w:rFonts w:eastAsia="仿宋_GB2312"/>
          <w:sz w:val="32"/>
          <w:szCs w:val="32"/>
        </w:rPr>
      </w:pPr>
      <w:r>
        <w:rPr>
          <w:rFonts w:hint="eastAsia" w:eastAsia="仿宋_GB2312"/>
          <w:b/>
          <w:bCs/>
          <w:sz w:val="32"/>
          <w:szCs w:val="32"/>
        </w:rPr>
        <w:t>信息技术赋能政务服务。</w:t>
      </w:r>
      <w:r>
        <w:rPr>
          <w:rFonts w:hint="eastAsia" w:eastAsia="仿宋_GB2312"/>
          <w:sz w:val="32"/>
          <w:szCs w:val="32"/>
        </w:rPr>
        <w:t>建设“网上大厅+自助智能终端+人工实体窗口”的智慧服务体系，推动自助服务设备向街（乡）、社区（村）服务站延伸，建设多端</w:t>
      </w:r>
      <w:r>
        <w:rPr>
          <w:rFonts w:eastAsia="仿宋_GB2312"/>
          <w:sz w:val="32"/>
          <w:szCs w:val="32"/>
        </w:rPr>
        <w:t>统一的政务服务线上智能</w:t>
      </w:r>
      <w:r>
        <w:rPr>
          <w:rFonts w:hint="eastAsia" w:eastAsia="仿宋_GB2312"/>
          <w:sz w:val="32"/>
          <w:szCs w:val="32"/>
        </w:rPr>
        <w:t>语音客服</w:t>
      </w:r>
      <w:r>
        <w:rPr>
          <w:rFonts w:eastAsia="仿宋_GB2312"/>
          <w:sz w:val="32"/>
          <w:szCs w:val="32"/>
        </w:rPr>
        <w:t>系统。</w:t>
      </w:r>
      <w:r>
        <w:rPr>
          <w:rFonts w:hint="eastAsia" w:eastAsia="仿宋_GB2312"/>
          <w:sz w:val="32"/>
          <w:szCs w:val="32"/>
        </w:rPr>
        <w:t>完善“互联网+</w:t>
      </w:r>
      <w:r>
        <w:rPr>
          <w:rFonts w:eastAsia="仿宋_GB2312"/>
          <w:sz w:val="32"/>
          <w:szCs w:val="32"/>
        </w:rPr>
        <w:t>12345</w:t>
      </w:r>
      <w:r>
        <w:rPr>
          <w:rFonts w:hint="eastAsia" w:eastAsia="仿宋_GB2312"/>
          <w:sz w:val="32"/>
          <w:szCs w:val="32"/>
        </w:rPr>
        <w:t>”市民</w:t>
      </w:r>
      <w:r>
        <w:rPr>
          <w:rFonts w:eastAsia="仿宋_GB2312"/>
          <w:sz w:val="32"/>
          <w:szCs w:val="32"/>
        </w:rPr>
        <w:t>精准服务体系</w:t>
      </w:r>
      <w:r>
        <w:rPr>
          <w:rFonts w:hint="eastAsia" w:eastAsia="仿宋_GB2312"/>
          <w:sz w:val="32"/>
          <w:szCs w:val="32"/>
        </w:rPr>
        <w:t>，提升“接诉即办”服务</w:t>
      </w:r>
      <w:r>
        <w:rPr>
          <w:rFonts w:eastAsia="仿宋_GB2312"/>
          <w:sz w:val="32"/>
          <w:szCs w:val="32"/>
        </w:rPr>
        <w:t>水平</w:t>
      </w:r>
      <w:r>
        <w:rPr>
          <w:rFonts w:hint="eastAsia" w:eastAsia="仿宋_GB2312"/>
          <w:sz w:val="32"/>
          <w:szCs w:val="32"/>
        </w:rPr>
        <w:t>。有序推进电子证照、电子签章、数字身份等信息的全链条共享，开展“秒批”“无感审批”等智能场景</w:t>
      </w:r>
      <w:r>
        <w:rPr>
          <w:rFonts w:eastAsia="仿宋_GB2312"/>
          <w:sz w:val="32"/>
          <w:szCs w:val="32"/>
        </w:rPr>
        <w:t>应用</w:t>
      </w:r>
      <w:r>
        <w:rPr>
          <w:rFonts w:hint="eastAsia" w:eastAsia="仿宋_GB2312"/>
          <w:sz w:val="32"/>
          <w:szCs w:val="32"/>
        </w:rPr>
        <w:t>。积极拓展区块链应用场景，推动高频证照跨省共享互认，实现京津冀高频事项网上或移动端通办。</w:t>
      </w:r>
      <w:r>
        <w:rPr>
          <w:rFonts w:eastAsia="仿宋_GB2312"/>
          <w:sz w:val="32"/>
          <w:szCs w:val="32"/>
        </w:rPr>
        <w:t>完善</w:t>
      </w:r>
      <w:r>
        <w:rPr>
          <w:rFonts w:hint="eastAsia" w:eastAsia="仿宋_GB2312"/>
          <w:sz w:val="32"/>
          <w:szCs w:val="32"/>
        </w:rPr>
        <w:t>“互联网+监管”体系，对政务服务质量定期进行评估。比照“全国示范数字档案馆”建设标准推进数字档案馆（室）建设，统筹推进基础设施、档案管理系统、数字资源、档案安全管理等基础业务，促进数字档案馆（室）系统应用，实现线上线下业务融合发展。</w:t>
      </w:r>
    </w:p>
    <w:p>
      <w:pPr>
        <w:spacing w:line="570" w:lineRule="exact"/>
        <w:ind w:firstLine="643" w:firstLineChars="200"/>
        <w:rPr>
          <w:rFonts w:eastAsia="楷体"/>
          <w:sz w:val="32"/>
          <w:szCs w:val="32"/>
        </w:rPr>
      </w:pPr>
      <w:r>
        <w:rPr>
          <w:rFonts w:hint="eastAsia" w:eastAsia="仿宋_GB2312"/>
          <w:b/>
          <w:bCs/>
          <w:sz w:val="32"/>
          <w:szCs w:val="32"/>
        </w:rPr>
        <w:t>加快智慧教育创新发展。</w:t>
      </w:r>
      <w:r>
        <w:rPr>
          <w:rFonts w:hint="eastAsia" w:eastAsia="仿宋_GB2312"/>
          <w:sz w:val="32"/>
          <w:szCs w:val="32"/>
        </w:rPr>
        <w:t>完善智慧校园建设标准，推进“无围墙、无纸化”智慧校园建设。率先建设“智慧课堂”，推动陈经纶中学、朝阳区实验小学等基于5G技术的VR教学、双师课堂建设。深入</w:t>
      </w:r>
      <w:r>
        <w:rPr>
          <w:rFonts w:eastAsia="仿宋_GB2312"/>
          <w:sz w:val="32"/>
          <w:szCs w:val="32"/>
        </w:rPr>
        <w:t>推动</w:t>
      </w:r>
      <w:r>
        <w:rPr>
          <w:rFonts w:hint="eastAsia" w:eastAsia="仿宋_GB2312"/>
          <w:sz w:val="32"/>
          <w:szCs w:val="32"/>
        </w:rPr>
        <w:t>“互联网+教育”，加快</w:t>
      </w:r>
      <w:r>
        <w:rPr>
          <w:rFonts w:eastAsia="仿宋_GB2312"/>
          <w:sz w:val="32"/>
          <w:szCs w:val="32"/>
        </w:rPr>
        <w:t>智慧教室</w:t>
      </w:r>
      <w:r>
        <w:rPr>
          <w:rFonts w:hint="eastAsia" w:eastAsia="仿宋_GB2312"/>
          <w:sz w:val="32"/>
          <w:szCs w:val="32"/>
        </w:rPr>
        <w:t>建设。聚焦“三课一大”探索大数据创新应用，推动信息技术与教育教学深度融合。完善区教育资源云平台，汇集校级、区级优质资源，依托学科知识体系形成资源目录体系，进一步对接市级教育资源公共服务平台，探索校际、区域教育资源信息互联互通。</w:t>
      </w:r>
    </w:p>
    <w:p>
      <w:pPr>
        <w:spacing w:line="570" w:lineRule="exact"/>
        <w:ind w:firstLine="643" w:firstLineChars="200"/>
        <w:rPr>
          <w:rFonts w:eastAsia="仿宋_GB2312"/>
          <w:sz w:val="32"/>
          <w:szCs w:val="32"/>
        </w:rPr>
      </w:pPr>
      <w:bookmarkStart w:id="158" w:name="_Toc78985275"/>
      <w:r>
        <w:rPr>
          <w:rFonts w:hint="eastAsia" w:eastAsia="仿宋_GB2312"/>
          <w:b/>
          <w:bCs/>
          <w:sz w:val="32"/>
          <w:szCs w:val="32"/>
        </w:rPr>
        <w:t>提升社会保障服务能力。</w:t>
      </w:r>
      <w:r>
        <w:rPr>
          <w:rFonts w:eastAsia="仿宋_GB2312"/>
          <w:sz w:val="32"/>
          <w:szCs w:val="32"/>
        </w:rPr>
        <w:t>加快社保公共服务平台建设，</w:t>
      </w:r>
      <w:r>
        <w:rPr>
          <w:rFonts w:hint="eastAsia" w:eastAsia="仿宋_GB2312"/>
          <w:sz w:val="32"/>
          <w:szCs w:val="32"/>
        </w:rPr>
        <w:t>优化升级劳动、就业、社保、人事人才等领域的信息化业务系统，实现</w:t>
      </w:r>
      <w:r>
        <w:rPr>
          <w:rFonts w:eastAsia="仿宋_GB2312"/>
          <w:sz w:val="32"/>
          <w:szCs w:val="32"/>
        </w:rPr>
        <w:t>业务系统和服务渠道的统一接入，提升线上线下社会保障服务一体化</w:t>
      </w:r>
      <w:r>
        <w:rPr>
          <w:rFonts w:hint="eastAsia" w:eastAsia="仿宋_GB2312"/>
          <w:sz w:val="32"/>
          <w:szCs w:val="32"/>
        </w:rPr>
        <w:t>水平</w:t>
      </w:r>
      <w:r>
        <w:rPr>
          <w:rFonts w:eastAsia="仿宋_GB2312"/>
          <w:sz w:val="32"/>
          <w:szCs w:val="32"/>
        </w:rPr>
        <w:t>。</w:t>
      </w:r>
      <w:r>
        <w:rPr>
          <w:rFonts w:hint="eastAsia" w:eastAsia="仿宋_GB2312"/>
          <w:sz w:val="32"/>
          <w:szCs w:val="32"/>
        </w:rPr>
        <w:t>持续</w:t>
      </w:r>
      <w:r>
        <w:rPr>
          <w:rFonts w:eastAsia="仿宋_GB2312"/>
          <w:sz w:val="32"/>
          <w:szCs w:val="32"/>
        </w:rPr>
        <w:t>推进社会救助领域减证便民</w:t>
      </w:r>
      <w:r>
        <w:rPr>
          <w:rFonts w:hint="eastAsia" w:eastAsia="仿宋_GB2312"/>
          <w:sz w:val="32"/>
          <w:szCs w:val="32"/>
        </w:rPr>
        <w:t>，简化线上线下服务流程。加强数据对比核验，基于特殊人员画像开展帮扶救助服务，积极推动政府救助资源、社会慈善资源与救助对象需求之间的合理配置</w:t>
      </w:r>
      <w:r>
        <w:rPr>
          <w:rFonts w:eastAsia="仿宋_GB2312"/>
          <w:sz w:val="32"/>
          <w:szCs w:val="32"/>
        </w:rPr>
        <w:t>。</w:t>
      </w:r>
      <w:r>
        <w:rPr>
          <w:rFonts w:hint="eastAsia" w:eastAsia="仿宋_GB2312"/>
          <w:sz w:val="32"/>
          <w:szCs w:val="32"/>
        </w:rPr>
        <w:t>创新就业服务模式，提供全流程跟踪、精细化的</w:t>
      </w:r>
      <w:r>
        <w:rPr>
          <w:rFonts w:eastAsia="仿宋_GB2312"/>
          <w:sz w:val="32"/>
          <w:szCs w:val="32"/>
        </w:rPr>
        <w:t>就业</w:t>
      </w:r>
      <w:r>
        <w:rPr>
          <w:rFonts w:hint="eastAsia" w:eastAsia="仿宋_GB2312"/>
          <w:sz w:val="32"/>
          <w:szCs w:val="32"/>
        </w:rPr>
        <w:t>指导信息</w:t>
      </w:r>
      <w:r>
        <w:rPr>
          <w:rFonts w:eastAsia="仿宋_GB2312"/>
          <w:sz w:val="32"/>
          <w:szCs w:val="32"/>
        </w:rPr>
        <w:t>服务</w:t>
      </w:r>
      <w:r>
        <w:rPr>
          <w:rFonts w:hint="eastAsia" w:eastAsia="仿宋_GB2312"/>
          <w:sz w:val="32"/>
          <w:szCs w:val="32"/>
        </w:rPr>
        <w:t>，全面提升</w:t>
      </w:r>
      <w:r>
        <w:rPr>
          <w:rFonts w:eastAsia="仿宋_GB2312"/>
          <w:sz w:val="32"/>
          <w:szCs w:val="32"/>
        </w:rPr>
        <w:t>公共就业服务</w:t>
      </w:r>
      <w:r>
        <w:rPr>
          <w:rFonts w:hint="eastAsia" w:eastAsia="仿宋_GB2312"/>
          <w:sz w:val="32"/>
          <w:szCs w:val="32"/>
        </w:rPr>
        <w:t>质量。</w:t>
      </w:r>
    </w:p>
    <w:p>
      <w:pPr>
        <w:spacing w:line="570" w:lineRule="exact"/>
        <w:ind w:firstLine="643" w:firstLineChars="200"/>
        <w:outlineLvl w:val="2"/>
        <w:rPr>
          <w:rFonts w:eastAsia="仿宋_GB2312"/>
          <w:b/>
          <w:bCs/>
          <w:sz w:val="32"/>
          <w:szCs w:val="32"/>
        </w:rPr>
      </w:pPr>
      <w:bookmarkStart w:id="159" w:name="_Toc79136175"/>
      <w:r>
        <w:rPr>
          <w:rFonts w:hint="eastAsia" w:eastAsia="仿宋_GB2312"/>
          <w:b/>
          <w:bCs/>
          <w:sz w:val="32"/>
          <w:szCs w:val="32"/>
        </w:rPr>
        <w:t>2、丰富品质化数字生活服务</w:t>
      </w:r>
      <w:bookmarkEnd w:id="158"/>
      <w:bookmarkEnd w:id="159"/>
    </w:p>
    <w:p>
      <w:pPr>
        <w:spacing w:line="570" w:lineRule="exact"/>
        <w:ind w:firstLine="643" w:firstLineChars="200"/>
        <w:rPr>
          <w:rFonts w:eastAsia="仿宋_GB2312"/>
          <w:sz w:val="32"/>
          <w:szCs w:val="32"/>
        </w:rPr>
      </w:pPr>
      <w:r>
        <w:rPr>
          <w:rFonts w:hint="eastAsia" w:eastAsia="仿宋_GB2312"/>
          <w:b/>
          <w:bCs/>
          <w:sz w:val="32"/>
          <w:szCs w:val="32"/>
        </w:rPr>
        <w:t>完善</w:t>
      </w:r>
      <w:r>
        <w:rPr>
          <w:rFonts w:eastAsia="仿宋_GB2312"/>
          <w:b/>
          <w:bCs/>
          <w:sz w:val="32"/>
          <w:szCs w:val="32"/>
        </w:rPr>
        <w:t>多层次</w:t>
      </w:r>
      <w:r>
        <w:rPr>
          <w:rFonts w:hint="eastAsia" w:eastAsia="仿宋_GB2312"/>
          <w:b/>
          <w:bCs/>
          <w:sz w:val="32"/>
          <w:szCs w:val="32"/>
        </w:rPr>
        <w:t>智慧</w:t>
      </w:r>
      <w:r>
        <w:rPr>
          <w:rFonts w:eastAsia="仿宋_GB2312"/>
          <w:b/>
          <w:bCs/>
          <w:sz w:val="32"/>
          <w:szCs w:val="32"/>
        </w:rPr>
        <w:t>医疗服务</w:t>
      </w:r>
      <w:r>
        <w:rPr>
          <w:rFonts w:hint="eastAsia" w:eastAsia="仿宋_GB2312"/>
          <w:b/>
          <w:bCs/>
          <w:sz w:val="32"/>
          <w:szCs w:val="32"/>
        </w:rPr>
        <w:t>。</w:t>
      </w:r>
      <w:r>
        <w:rPr>
          <w:rFonts w:eastAsia="仿宋_GB2312"/>
          <w:sz w:val="32"/>
          <w:szCs w:val="32"/>
        </w:rPr>
        <w:t>搭建</w:t>
      </w:r>
      <w:r>
        <w:rPr>
          <w:rFonts w:hint="eastAsia" w:eastAsia="仿宋_GB2312"/>
          <w:sz w:val="32"/>
          <w:szCs w:val="32"/>
        </w:rPr>
        <w:t>“朝医云”公共</w:t>
      </w:r>
      <w:r>
        <w:rPr>
          <w:rFonts w:eastAsia="仿宋_GB2312"/>
          <w:sz w:val="32"/>
          <w:szCs w:val="32"/>
        </w:rPr>
        <w:t>卫生健康大数据资源平台，</w:t>
      </w:r>
      <w:r>
        <w:rPr>
          <w:rFonts w:hint="eastAsia" w:eastAsia="仿宋_GB2312"/>
          <w:sz w:val="32"/>
          <w:szCs w:val="32"/>
        </w:rPr>
        <w:t>建立完善</w:t>
      </w:r>
      <w:r>
        <w:rPr>
          <w:rFonts w:eastAsia="仿宋_GB2312"/>
          <w:sz w:val="32"/>
          <w:szCs w:val="32"/>
        </w:rPr>
        <w:t>以居民电子健康档案为核心的全生命周期健康数据库，</w:t>
      </w:r>
      <w:r>
        <w:rPr>
          <w:rFonts w:hint="eastAsia" w:eastAsia="仿宋_GB2312"/>
          <w:sz w:val="32"/>
          <w:szCs w:val="32"/>
        </w:rPr>
        <w:t>推进电子病历和医学影像等在不同层级医疗机构间授权使用</w:t>
      </w:r>
      <w:r>
        <w:rPr>
          <w:rFonts w:eastAsia="仿宋_GB2312"/>
          <w:sz w:val="32"/>
          <w:szCs w:val="32"/>
        </w:rPr>
        <w:t>。</w:t>
      </w:r>
      <w:r>
        <w:rPr>
          <w:rFonts w:hint="eastAsia" w:eastAsia="仿宋_GB2312"/>
          <w:sz w:val="32"/>
          <w:szCs w:val="32"/>
        </w:rPr>
        <w:t>以</w:t>
      </w:r>
      <w:r>
        <w:rPr>
          <w:rFonts w:eastAsia="仿宋_GB2312"/>
          <w:sz w:val="32"/>
          <w:szCs w:val="32"/>
        </w:rPr>
        <w:t>垂杨柳医院</w:t>
      </w:r>
      <w:r>
        <w:rPr>
          <w:rFonts w:hint="eastAsia" w:eastAsia="仿宋_GB2312"/>
          <w:sz w:val="32"/>
          <w:szCs w:val="32"/>
        </w:rPr>
        <w:t>为</w:t>
      </w:r>
      <w:r>
        <w:rPr>
          <w:rFonts w:eastAsia="仿宋_GB2312"/>
          <w:sz w:val="32"/>
          <w:szCs w:val="32"/>
        </w:rPr>
        <w:t>试点打造</w:t>
      </w:r>
      <w:r>
        <w:rPr>
          <w:rFonts w:hint="eastAsia" w:eastAsia="仿宋_GB2312"/>
          <w:sz w:val="32"/>
          <w:szCs w:val="32"/>
        </w:rPr>
        <w:t>“智慧医院”，开展远程医疗服务，加快预导诊机器人、语音录入、人工智能辅助诊疗等应用。深化</w:t>
      </w:r>
      <w:r>
        <w:rPr>
          <w:rFonts w:eastAsia="仿宋_GB2312"/>
          <w:sz w:val="32"/>
          <w:szCs w:val="32"/>
        </w:rPr>
        <w:t>紧密型医联体</w:t>
      </w:r>
      <w:r>
        <w:rPr>
          <w:rFonts w:hint="eastAsia" w:eastAsia="仿宋_GB2312"/>
          <w:sz w:val="32"/>
          <w:szCs w:val="32"/>
        </w:rPr>
        <w:t>建设</w:t>
      </w:r>
      <w:r>
        <w:rPr>
          <w:rFonts w:eastAsia="仿宋_GB2312"/>
          <w:sz w:val="32"/>
          <w:szCs w:val="32"/>
        </w:rPr>
        <w:t>，推动医联体内资源共享整合，</w:t>
      </w:r>
      <w:r>
        <w:rPr>
          <w:rFonts w:hint="eastAsia" w:eastAsia="仿宋_GB2312"/>
          <w:sz w:val="32"/>
          <w:szCs w:val="32"/>
        </w:rPr>
        <w:t>完善</w:t>
      </w:r>
      <w:r>
        <w:rPr>
          <w:rFonts w:eastAsia="仿宋_GB2312"/>
          <w:sz w:val="32"/>
          <w:szCs w:val="32"/>
        </w:rPr>
        <w:t>分级诊疗</w:t>
      </w:r>
      <w:r>
        <w:rPr>
          <w:rFonts w:hint="eastAsia" w:eastAsia="仿宋_GB2312"/>
          <w:sz w:val="32"/>
          <w:szCs w:val="32"/>
        </w:rPr>
        <w:t>服务</w:t>
      </w:r>
      <w:r>
        <w:rPr>
          <w:rFonts w:eastAsia="仿宋_GB2312"/>
          <w:sz w:val="32"/>
          <w:szCs w:val="32"/>
        </w:rPr>
        <w:t>体系</w:t>
      </w:r>
      <w:r>
        <w:rPr>
          <w:rFonts w:hint="eastAsia" w:eastAsia="仿宋_GB2312"/>
          <w:sz w:val="32"/>
          <w:szCs w:val="32"/>
        </w:rPr>
        <w:t>。规范</w:t>
      </w:r>
      <w:r>
        <w:rPr>
          <w:rFonts w:eastAsia="仿宋_GB2312"/>
          <w:sz w:val="32"/>
          <w:szCs w:val="32"/>
        </w:rPr>
        <w:t>有序</w:t>
      </w:r>
      <w:r>
        <w:rPr>
          <w:rFonts w:hint="eastAsia" w:eastAsia="仿宋_GB2312"/>
          <w:sz w:val="32"/>
          <w:szCs w:val="32"/>
        </w:rPr>
        <w:t>开展“互联网+医疗</w:t>
      </w:r>
      <w:r>
        <w:rPr>
          <w:rFonts w:eastAsia="仿宋_GB2312"/>
          <w:sz w:val="32"/>
          <w:szCs w:val="32"/>
        </w:rPr>
        <w:t>健康</w:t>
      </w:r>
      <w:r>
        <w:rPr>
          <w:rFonts w:hint="eastAsia" w:eastAsia="仿宋_GB2312"/>
          <w:sz w:val="32"/>
          <w:szCs w:val="32"/>
        </w:rPr>
        <w:t>”服务，提升公共卫生、慢病服务、家医签约服务等运行效能。</w:t>
      </w:r>
    </w:p>
    <w:p>
      <w:pPr>
        <w:spacing w:line="570" w:lineRule="exact"/>
        <w:ind w:firstLine="643" w:firstLineChars="200"/>
        <w:rPr>
          <w:rFonts w:eastAsia="仿宋_GB2312"/>
          <w:sz w:val="32"/>
          <w:szCs w:val="32"/>
          <w:highlight w:val="yellow"/>
          <w:lang w:val="zh-CN"/>
        </w:rPr>
      </w:pPr>
      <w:r>
        <w:rPr>
          <w:rFonts w:hint="eastAsia" w:eastAsia="仿宋_GB2312"/>
          <w:b/>
          <w:bCs/>
          <w:sz w:val="32"/>
          <w:szCs w:val="32"/>
        </w:rPr>
        <w:t>提升智慧养老服务水平。</w:t>
      </w:r>
      <w:r>
        <w:rPr>
          <w:rFonts w:hint="eastAsia" w:eastAsia="仿宋_GB2312"/>
          <w:sz w:val="32"/>
          <w:szCs w:val="32"/>
        </w:rPr>
        <w:t>全面</w:t>
      </w:r>
      <w:r>
        <w:rPr>
          <w:rFonts w:eastAsia="仿宋_GB2312"/>
          <w:sz w:val="32"/>
          <w:szCs w:val="32"/>
        </w:rPr>
        <w:t>建立特殊和困难老年人电子档案，</w:t>
      </w:r>
      <w:r>
        <w:rPr>
          <w:rFonts w:hint="eastAsia" w:eastAsia="仿宋_GB2312"/>
          <w:sz w:val="32"/>
          <w:szCs w:val="32"/>
        </w:rPr>
        <w:t>升级区级养老服务大数据平台。创新智慧养老服务模式，</w:t>
      </w:r>
      <w:r>
        <w:rPr>
          <w:rFonts w:eastAsia="仿宋_GB2312"/>
          <w:sz w:val="32"/>
          <w:szCs w:val="32"/>
        </w:rPr>
        <w:t>试点建设</w:t>
      </w:r>
      <w:r>
        <w:rPr>
          <w:rFonts w:hint="eastAsia" w:eastAsia="仿宋_GB2312"/>
          <w:sz w:val="32"/>
          <w:szCs w:val="32"/>
        </w:rPr>
        <w:t>“智慧养老院”、“智慧养老社区”，推进“互联网+护理服务”</w:t>
      </w:r>
      <w:r>
        <w:rPr>
          <w:rFonts w:eastAsia="仿宋_GB2312"/>
          <w:sz w:val="32"/>
          <w:szCs w:val="32"/>
        </w:rPr>
        <w:t>。</w:t>
      </w:r>
      <w:r>
        <w:rPr>
          <w:rFonts w:hint="eastAsia" w:eastAsia="仿宋_GB2312"/>
          <w:sz w:val="32"/>
          <w:szCs w:val="32"/>
        </w:rPr>
        <w:t>开展</w:t>
      </w:r>
      <w:r>
        <w:rPr>
          <w:rFonts w:eastAsia="仿宋_GB2312"/>
          <w:sz w:val="32"/>
          <w:szCs w:val="32"/>
        </w:rPr>
        <w:t>家庭和社区适老化设施改造，</w:t>
      </w:r>
      <w:r>
        <w:rPr>
          <w:rFonts w:hint="eastAsia" w:eastAsia="仿宋_GB2312"/>
          <w:sz w:val="32"/>
          <w:szCs w:val="32"/>
        </w:rPr>
        <w:t>推广远程健康监护、远程医疗、可穿戴</w:t>
      </w:r>
      <w:r>
        <w:rPr>
          <w:rFonts w:hint="eastAsia" w:eastAsia="仿宋_GB2312"/>
          <w:bCs/>
          <w:sz w:val="32"/>
          <w:szCs w:val="32"/>
        </w:rPr>
        <w:t>设备等应用。</w:t>
      </w:r>
      <w:r>
        <w:rPr>
          <w:rFonts w:hint="eastAsia" w:eastAsia="仿宋_GB2312"/>
          <w:sz w:val="32"/>
          <w:szCs w:val="32"/>
        </w:rPr>
        <w:t>提高医养结合、</w:t>
      </w:r>
      <w:r>
        <w:rPr>
          <w:rFonts w:eastAsia="仿宋_GB2312"/>
          <w:sz w:val="32"/>
          <w:szCs w:val="32"/>
        </w:rPr>
        <w:t>健康管理、紧急援助、居家安防</w:t>
      </w:r>
      <w:r>
        <w:rPr>
          <w:rFonts w:hint="eastAsia" w:eastAsia="仿宋_GB2312"/>
          <w:sz w:val="32"/>
          <w:szCs w:val="32"/>
        </w:rPr>
        <w:t>等智慧</w:t>
      </w:r>
      <w:r>
        <w:rPr>
          <w:rFonts w:eastAsia="仿宋_GB2312"/>
          <w:sz w:val="32"/>
          <w:szCs w:val="32"/>
        </w:rPr>
        <w:t>养老服务供给能力</w:t>
      </w:r>
      <w:r>
        <w:rPr>
          <w:rFonts w:hint="eastAsia" w:eastAsia="仿宋_GB2312"/>
          <w:sz w:val="32"/>
          <w:szCs w:val="32"/>
        </w:rPr>
        <w:t>，打造精准化养老服务体系。</w:t>
      </w:r>
    </w:p>
    <w:p>
      <w:pPr>
        <w:spacing w:line="570" w:lineRule="exact"/>
        <w:ind w:firstLine="643" w:firstLineChars="200"/>
        <w:rPr>
          <w:rFonts w:eastAsia="仿宋_GB2312"/>
          <w:sz w:val="32"/>
          <w:szCs w:val="32"/>
        </w:rPr>
      </w:pPr>
      <w:r>
        <w:rPr>
          <w:rFonts w:hint="eastAsia" w:eastAsia="仿宋_GB2312"/>
          <w:b/>
          <w:bCs/>
          <w:sz w:val="32"/>
          <w:szCs w:val="32"/>
        </w:rPr>
        <w:t>持续推动智慧社区建设。</w:t>
      </w:r>
      <w:r>
        <w:rPr>
          <w:rFonts w:hint="eastAsia" w:eastAsia="仿宋_GB2312"/>
          <w:sz w:val="32"/>
          <w:szCs w:val="32"/>
        </w:rPr>
        <w:t>建设“物联网+智慧社区”一体化综合管控信息服务平台，整合接入社区智慧门禁、智慧停车、智慧绿化、智慧巡查、智慧物业等系统。构建</w:t>
      </w:r>
      <w:r>
        <w:rPr>
          <w:rFonts w:eastAsia="仿宋_GB2312"/>
          <w:sz w:val="32"/>
          <w:szCs w:val="32"/>
        </w:rPr>
        <w:t>数字孪生社区，</w:t>
      </w:r>
      <w:r>
        <w:rPr>
          <w:rFonts w:hint="eastAsia" w:eastAsia="仿宋_GB2312"/>
          <w:sz w:val="32"/>
          <w:szCs w:val="32"/>
        </w:rPr>
        <w:t>推进智慧社区三维可视化线上管理，实现社区人、物、设备设施等全方位的空间管控和远程实时管控。</w:t>
      </w:r>
      <w:r>
        <w:rPr>
          <w:rFonts w:eastAsia="仿宋_GB2312"/>
          <w:sz w:val="32"/>
          <w:szCs w:val="32"/>
        </w:rPr>
        <w:t>设置无人便利店、无人</w:t>
      </w:r>
      <w:r>
        <w:rPr>
          <w:rFonts w:hint="eastAsia" w:eastAsia="仿宋_GB2312"/>
          <w:sz w:val="32"/>
          <w:szCs w:val="32"/>
        </w:rPr>
        <w:t>货架</w:t>
      </w:r>
      <w:r>
        <w:rPr>
          <w:rFonts w:eastAsia="仿宋_GB2312"/>
          <w:sz w:val="32"/>
          <w:szCs w:val="32"/>
        </w:rPr>
        <w:t>、电子菜柜等智能设施，提升社区</w:t>
      </w:r>
      <w:r>
        <w:rPr>
          <w:rFonts w:hint="eastAsia" w:eastAsia="仿宋_GB2312"/>
          <w:sz w:val="32"/>
          <w:szCs w:val="32"/>
        </w:rPr>
        <w:t>智慧化</w:t>
      </w:r>
      <w:r>
        <w:rPr>
          <w:rFonts w:eastAsia="仿宋_GB2312"/>
          <w:sz w:val="32"/>
          <w:szCs w:val="32"/>
        </w:rPr>
        <w:t>服务水平。</w:t>
      </w:r>
      <w:r>
        <w:rPr>
          <w:rFonts w:hint="eastAsia" w:eastAsia="仿宋_GB2312"/>
          <w:sz w:val="32"/>
          <w:szCs w:val="32"/>
        </w:rPr>
        <w:t>推动基层治理与党建业务系统的数据融合和协同联动，推动“网上议事厅”、“微提案”从社区向网格延伸，鼓励多元主体参与基层治理。</w:t>
      </w:r>
    </w:p>
    <w:p>
      <w:pPr>
        <w:widowControl/>
        <w:spacing w:line="570" w:lineRule="exact"/>
        <w:ind w:firstLine="643" w:firstLineChars="200"/>
        <w:rPr>
          <w:rFonts w:eastAsia="仿宋_GB2312"/>
          <w:sz w:val="32"/>
          <w:szCs w:val="32"/>
        </w:rPr>
      </w:pPr>
      <w:r>
        <w:rPr>
          <w:rFonts w:hint="eastAsia" w:eastAsia="仿宋_GB2312"/>
          <w:b/>
          <w:bCs/>
          <w:sz w:val="32"/>
          <w:szCs w:val="32"/>
        </w:rPr>
        <w:t>提升数字文化旅游</w:t>
      </w:r>
      <w:r>
        <w:rPr>
          <w:rFonts w:eastAsia="仿宋_GB2312"/>
          <w:b/>
          <w:bCs/>
          <w:sz w:val="32"/>
          <w:szCs w:val="32"/>
        </w:rPr>
        <w:t>服务</w:t>
      </w:r>
      <w:r>
        <w:rPr>
          <w:rFonts w:hint="eastAsia" w:eastAsia="仿宋_GB2312"/>
          <w:b/>
          <w:bCs/>
          <w:sz w:val="32"/>
          <w:szCs w:val="32"/>
        </w:rPr>
        <w:t>品质。</w:t>
      </w:r>
      <w:r>
        <w:rPr>
          <w:rFonts w:hint="eastAsia" w:eastAsia="仿宋_GB2312"/>
          <w:sz w:val="32"/>
          <w:szCs w:val="32"/>
        </w:rPr>
        <w:t>加强</w:t>
      </w:r>
      <w:r>
        <w:rPr>
          <w:rFonts w:eastAsia="仿宋_GB2312"/>
          <w:sz w:val="32"/>
          <w:szCs w:val="32"/>
        </w:rPr>
        <w:t>公共文化服务</w:t>
      </w:r>
      <w:r>
        <w:rPr>
          <w:rFonts w:hint="eastAsia" w:eastAsia="仿宋_GB2312"/>
          <w:sz w:val="32"/>
          <w:szCs w:val="32"/>
        </w:rPr>
        <w:t>设施</w:t>
      </w:r>
      <w:r>
        <w:rPr>
          <w:rFonts w:eastAsia="仿宋_GB2312"/>
          <w:sz w:val="32"/>
          <w:szCs w:val="32"/>
        </w:rPr>
        <w:t>数字化建设，布局一批数字文化馆、有声图书馆、VR博物馆。</w:t>
      </w:r>
      <w:r>
        <w:rPr>
          <w:rFonts w:hint="eastAsia" w:eastAsia="仿宋_GB2312"/>
          <w:sz w:val="32"/>
          <w:szCs w:val="32"/>
        </w:rPr>
        <w:t>加快“朝阳一键游”建设，打造集文旅融合、资源聚合、行业管理、惠民便民、成果展示于一体的“</w:t>
      </w:r>
      <w:r>
        <w:rPr>
          <w:rFonts w:eastAsia="仿宋_GB2312"/>
          <w:sz w:val="32"/>
          <w:szCs w:val="32"/>
        </w:rPr>
        <w:t>朝阳文旅云</w:t>
      </w:r>
      <w:r>
        <w:rPr>
          <w:rFonts w:hint="eastAsia" w:eastAsia="仿宋_GB2312"/>
          <w:sz w:val="32"/>
          <w:szCs w:val="32"/>
        </w:rPr>
        <w:t>”</w:t>
      </w:r>
      <w:r>
        <w:rPr>
          <w:rFonts w:eastAsia="仿宋_GB2312"/>
          <w:sz w:val="32"/>
          <w:szCs w:val="32"/>
        </w:rPr>
        <w:t>平台</w:t>
      </w:r>
      <w:r>
        <w:rPr>
          <w:rFonts w:hint="eastAsia" w:eastAsia="仿宋_GB2312"/>
          <w:sz w:val="32"/>
          <w:szCs w:val="32"/>
        </w:rPr>
        <w:t>。</w:t>
      </w:r>
      <w:r>
        <w:rPr>
          <w:rFonts w:hint="eastAsia" w:eastAsia="仿宋"/>
          <w:sz w:val="32"/>
          <w:szCs w:val="32"/>
        </w:rPr>
        <w:t>建设温榆河公园智慧景区平台，</w:t>
      </w:r>
      <w:r>
        <w:rPr>
          <w:rFonts w:hint="eastAsia" w:eastAsia="仿宋_GB2312"/>
          <w:sz w:val="32"/>
          <w:szCs w:val="32"/>
        </w:rPr>
        <w:t>打造奥林匹克森林公园、三里屯、798艺术区等智慧景区</w:t>
      </w:r>
      <w:r>
        <w:rPr>
          <w:rFonts w:eastAsia="仿宋_GB2312"/>
          <w:sz w:val="32"/>
          <w:szCs w:val="32"/>
        </w:rPr>
        <w:t>，运用</w:t>
      </w:r>
      <w:r>
        <w:rPr>
          <w:rFonts w:hint="eastAsia" w:eastAsia="仿宋_GB2312"/>
          <w:sz w:val="32"/>
          <w:szCs w:val="32"/>
        </w:rPr>
        <w:t>VR、AR等提升沉浸式体验与个性化智能</w:t>
      </w:r>
      <w:r>
        <w:rPr>
          <w:rFonts w:eastAsia="仿宋_GB2312"/>
          <w:sz w:val="32"/>
          <w:szCs w:val="32"/>
        </w:rPr>
        <w:t>旅游</w:t>
      </w:r>
      <w:r>
        <w:rPr>
          <w:rFonts w:hint="eastAsia" w:eastAsia="仿宋_GB2312"/>
          <w:sz w:val="32"/>
          <w:szCs w:val="32"/>
        </w:rPr>
        <w:t>服务。培育</w:t>
      </w:r>
      <w:r>
        <w:rPr>
          <w:rFonts w:eastAsia="仿宋_GB2312"/>
          <w:sz w:val="32"/>
          <w:szCs w:val="32"/>
        </w:rPr>
        <w:t>基于数字内容</w:t>
      </w:r>
      <w:r>
        <w:rPr>
          <w:rFonts w:hint="eastAsia" w:eastAsia="仿宋_GB2312"/>
          <w:sz w:val="32"/>
          <w:szCs w:val="32"/>
        </w:rPr>
        <w:t>的文旅消费热点，推进</w:t>
      </w:r>
      <w:r>
        <w:rPr>
          <w:rFonts w:eastAsia="仿宋_GB2312"/>
          <w:sz w:val="32"/>
          <w:szCs w:val="32"/>
        </w:rPr>
        <w:t>文旅融合</w:t>
      </w:r>
      <w:r>
        <w:rPr>
          <w:rFonts w:hint="eastAsia" w:eastAsia="仿宋_GB2312"/>
          <w:sz w:val="32"/>
          <w:szCs w:val="32"/>
        </w:rPr>
        <w:t>协同发展</w:t>
      </w:r>
      <w:r>
        <w:rPr>
          <w:rFonts w:eastAsia="仿宋_GB2312"/>
          <w:sz w:val="32"/>
          <w:szCs w:val="32"/>
        </w:rPr>
        <w:t>。</w:t>
      </w:r>
    </w:p>
    <w:p>
      <w:pPr>
        <w:keepNext/>
        <w:keepLines/>
        <w:spacing w:line="570" w:lineRule="exact"/>
        <w:ind w:firstLine="640" w:firstLineChars="200"/>
        <w:jc w:val="left"/>
        <w:outlineLvl w:val="0"/>
        <w:rPr>
          <w:rFonts w:eastAsia="黑体"/>
          <w:bCs/>
          <w:kern w:val="44"/>
          <w:sz w:val="32"/>
          <w:szCs w:val="44"/>
        </w:rPr>
      </w:pPr>
      <w:bookmarkStart w:id="160" w:name="_Toc79136616"/>
      <w:bookmarkStart w:id="161" w:name="_Toc79136176"/>
      <w:bookmarkStart w:id="162" w:name="_Toc78985276"/>
      <w:r>
        <w:rPr>
          <w:rFonts w:hint="eastAsia" w:eastAsia="黑体"/>
          <w:bCs/>
          <w:kern w:val="44"/>
          <w:sz w:val="32"/>
          <w:szCs w:val="44"/>
        </w:rPr>
        <w:t>八、布局智慧城市“新场景”</w:t>
      </w:r>
      <w:bookmarkEnd w:id="160"/>
      <w:bookmarkEnd w:id="161"/>
      <w:bookmarkEnd w:id="162"/>
    </w:p>
    <w:p>
      <w:pPr>
        <w:keepNext/>
        <w:keepLines/>
        <w:spacing w:line="570" w:lineRule="exact"/>
        <w:ind w:firstLine="643" w:firstLineChars="200"/>
        <w:outlineLvl w:val="1"/>
        <w:rPr>
          <w:rFonts w:eastAsia="楷体_GB2312"/>
          <w:b/>
          <w:bCs/>
          <w:sz w:val="32"/>
          <w:szCs w:val="32"/>
        </w:rPr>
      </w:pPr>
      <w:bookmarkStart w:id="163" w:name="_Toc79136177"/>
      <w:bookmarkStart w:id="164" w:name="_Toc78985277"/>
      <w:bookmarkStart w:id="165" w:name="_Toc79136617"/>
      <w:r>
        <w:rPr>
          <w:rFonts w:hint="eastAsia" w:eastAsia="楷体_GB2312"/>
          <w:b/>
          <w:bCs/>
          <w:sz w:val="32"/>
          <w:szCs w:val="32"/>
        </w:rPr>
        <w:t>（一）数字化消费场景</w:t>
      </w:r>
      <w:bookmarkEnd w:id="163"/>
      <w:bookmarkEnd w:id="164"/>
      <w:bookmarkEnd w:id="165"/>
    </w:p>
    <w:p>
      <w:pPr>
        <w:spacing w:line="570" w:lineRule="exact"/>
        <w:ind w:firstLine="643" w:firstLineChars="200"/>
        <w:outlineLvl w:val="2"/>
        <w:rPr>
          <w:rFonts w:eastAsia="仿宋_GB2312"/>
          <w:b/>
          <w:bCs/>
          <w:sz w:val="32"/>
          <w:szCs w:val="32"/>
        </w:rPr>
      </w:pPr>
      <w:bookmarkStart w:id="166" w:name="_Toc78985278"/>
      <w:bookmarkStart w:id="167" w:name="_Toc79136178"/>
      <w:r>
        <w:rPr>
          <w:rFonts w:hint="eastAsia" w:eastAsia="仿宋_GB2312"/>
          <w:b/>
          <w:bCs/>
          <w:sz w:val="32"/>
          <w:szCs w:val="32"/>
        </w:rPr>
        <w:t>1、打造特色智慧商圈</w:t>
      </w:r>
      <w:bookmarkEnd w:id="166"/>
      <w:bookmarkEnd w:id="167"/>
    </w:p>
    <w:p>
      <w:pPr>
        <w:spacing w:line="570" w:lineRule="exact"/>
        <w:ind w:firstLine="640" w:firstLineChars="200"/>
        <w:rPr>
          <w:rFonts w:eastAsia="仿宋_GB2312"/>
          <w:sz w:val="32"/>
          <w:szCs w:val="32"/>
        </w:rPr>
      </w:pPr>
      <w:r>
        <w:rPr>
          <w:rFonts w:hint="eastAsia" w:eastAsia="仿宋_GB2312"/>
          <w:sz w:val="32"/>
          <w:szCs w:val="32"/>
        </w:rPr>
        <w:t>支持和鼓励三里屯、蓝色港湾、国贸、望京等重点商圈依托大数据、AR、VR等技术，率先打造一批数字潮流街区。鼓励重点商贸企业建立数字化运营服务平台，推动传统实体店铺数字化转型，加强经营活动的数据分析和策略调整，提高商贸中心的管理效率和服务水平。建设全区商圈大数据管理服务应用，基于客流、消费、交通、</w:t>
      </w:r>
      <w:r>
        <w:rPr>
          <w:rFonts w:eastAsia="仿宋_GB2312"/>
          <w:sz w:val="32"/>
          <w:szCs w:val="32"/>
        </w:rPr>
        <w:t>社交</w:t>
      </w:r>
      <w:r>
        <w:rPr>
          <w:rFonts w:hint="eastAsia" w:eastAsia="仿宋_GB2312"/>
          <w:sz w:val="32"/>
          <w:szCs w:val="32"/>
        </w:rPr>
        <w:t>、舆情等多维度数据，实现消费引导、智慧停车、智能监管、预测预警、应急调度、商业分析、模拟仿真等功能，优化提升消费者体验，提升商圈综合管理能力。</w:t>
      </w:r>
    </w:p>
    <w:p>
      <w:pPr>
        <w:spacing w:line="570" w:lineRule="exact"/>
        <w:ind w:firstLine="643" w:firstLineChars="200"/>
        <w:outlineLvl w:val="2"/>
        <w:rPr>
          <w:rFonts w:eastAsia="仿宋_GB2312"/>
          <w:b/>
          <w:bCs/>
          <w:sz w:val="32"/>
          <w:szCs w:val="32"/>
        </w:rPr>
      </w:pPr>
      <w:bookmarkStart w:id="168" w:name="_Toc79136179"/>
      <w:bookmarkStart w:id="169" w:name="_Hlk54357195"/>
      <w:r>
        <w:rPr>
          <w:rFonts w:eastAsia="仿宋_GB2312"/>
          <w:b/>
          <w:bCs/>
          <w:sz w:val="32"/>
          <w:szCs w:val="32"/>
        </w:rPr>
        <w:t>2</w:t>
      </w:r>
      <w:r>
        <w:rPr>
          <w:rFonts w:hint="eastAsia" w:eastAsia="仿宋_GB2312"/>
          <w:b/>
          <w:bCs/>
          <w:sz w:val="32"/>
          <w:szCs w:val="32"/>
        </w:rPr>
        <w:t>、发展新型数字消费</w:t>
      </w:r>
      <w:bookmarkEnd w:id="168"/>
    </w:p>
    <w:bookmarkEnd w:id="169"/>
    <w:p>
      <w:pPr>
        <w:spacing w:line="570" w:lineRule="exact"/>
        <w:ind w:firstLine="640" w:firstLineChars="200"/>
        <w:rPr>
          <w:rFonts w:eastAsia="仿宋_GB2312"/>
          <w:sz w:val="32"/>
        </w:rPr>
      </w:pPr>
      <w:r>
        <w:rPr>
          <w:rFonts w:hint="eastAsia" w:eastAsia="仿宋_GB2312"/>
          <w:bCs/>
          <w:sz w:val="32"/>
          <w:szCs w:val="32"/>
        </w:rPr>
        <w:t>加快新消费布局，推动线上与线下、服务消费和商品消费融合发展。大力引进国内外知名电商企业，</w:t>
      </w:r>
      <w:r>
        <w:rPr>
          <w:rFonts w:hint="eastAsia" w:eastAsia="仿宋_GB2312"/>
          <w:sz w:val="32"/>
        </w:rPr>
        <w:t>支持</w:t>
      </w:r>
      <w:r>
        <w:rPr>
          <w:rFonts w:hint="eastAsia" w:eastAsia="仿宋_GB2312"/>
          <w:sz w:val="32"/>
          <w:szCs w:val="32"/>
        </w:rPr>
        <w:t>开展直播带货、室外移动5G直播等</w:t>
      </w:r>
      <w:r>
        <w:rPr>
          <w:rFonts w:hint="eastAsia" w:eastAsia="仿宋_GB2312"/>
          <w:sz w:val="32"/>
        </w:rPr>
        <w:t>。以三里屯、蓝色港湾、国贸、望京小街等商圈为试点，构建潮流街区数字化消费场景。积极引入新零售新服</w:t>
      </w:r>
      <w:r>
        <w:rPr>
          <w:rFonts w:hint="eastAsia" w:eastAsia="仿宋_GB2312"/>
          <w:sz w:val="32"/>
          <w:szCs w:val="32"/>
        </w:rPr>
        <w:t>务业态，打造集</w:t>
      </w:r>
      <w:r>
        <w:rPr>
          <w:rFonts w:eastAsia="仿宋_GB2312"/>
          <w:sz w:val="32"/>
          <w:szCs w:val="32"/>
        </w:rPr>
        <w:t>5G</w:t>
      </w:r>
      <w:r>
        <w:rPr>
          <w:rFonts w:hint="eastAsia" w:eastAsia="仿宋_GB2312"/>
          <w:sz w:val="32"/>
          <w:szCs w:val="32"/>
        </w:rPr>
        <w:t>应用、刷脸支付、直播为一体的网红街区。依托龙头企业探索提升数字生活服务广度和深度，</w:t>
      </w:r>
      <w:r>
        <w:rPr>
          <w:rFonts w:hint="eastAsia" w:eastAsia="仿宋_GB2312"/>
          <w:sz w:val="32"/>
        </w:rPr>
        <w:t>推动无接触服务向住宿、生鲜零售、物流、金融等应用场景延伸。</w:t>
      </w:r>
      <w:r>
        <w:rPr>
          <w:rFonts w:hint="eastAsia" w:eastAsia="仿宋_GB2312"/>
          <w:sz w:val="32"/>
          <w:szCs w:val="32"/>
        </w:rPr>
        <w:t>建设夜经济相关配套信息基础设施，加强夜经济运行相关数据综合分析。</w:t>
      </w:r>
    </w:p>
    <w:p>
      <w:pPr>
        <w:keepNext/>
        <w:keepLines/>
        <w:spacing w:line="570" w:lineRule="exact"/>
        <w:ind w:firstLine="643" w:firstLineChars="200"/>
        <w:outlineLvl w:val="1"/>
        <w:rPr>
          <w:rFonts w:eastAsia="楷体_GB2312"/>
          <w:b/>
          <w:bCs/>
          <w:sz w:val="32"/>
          <w:szCs w:val="32"/>
        </w:rPr>
      </w:pPr>
      <w:bookmarkStart w:id="170" w:name="_Toc78985280"/>
      <w:bookmarkStart w:id="171" w:name="_Toc79136180"/>
      <w:bookmarkStart w:id="172" w:name="_Toc79136618"/>
      <w:r>
        <w:rPr>
          <w:rFonts w:hint="eastAsia" w:eastAsia="楷体_GB2312"/>
          <w:b/>
          <w:bCs/>
          <w:sz w:val="32"/>
          <w:szCs w:val="32"/>
        </w:rPr>
        <w:t>（二）智慧化公园场景</w:t>
      </w:r>
      <w:bookmarkEnd w:id="170"/>
      <w:bookmarkEnd w:id="171"/>
      <w:bookmarkEnd w:id="172"/>
    </w:p>
    <w:p>
      <w:pPr>
        <w:spacing w:line="570" w:lineRule="exact"/>
        <w:ind w:firstLine="643" w:firstLineChars="200"/>
        <w:outlineLvl w:val="2"/>
        <w:rPr>
          <w:rFonts w:eastAsia="仿宋_GB2312"/>
          <w:b/>
          <w:bCs/>
          <w:sz w:val="32"/>
          <w:szCs w:val="32"/>
        </w:rPr>
      </w:pPr>
      <w:bookmarkStart w:id="173" w:name="_Hlk54357233"/>
      <w:bookmarkStart w:id="174" w:name="_Toc78985281"/>
      <w:bookmarkStart w:id="175" w:name="_Toc79136181"/>
      <w:r>
        <w:rPr>
          <w:rFonts w:hint="eastAsia" w:eastAsia="仿宋_GB2312"/>
          <w:b/>
          <w:bCs/>
          <w:sz w:val="32"/>
          <w:szCs w:val="32"/>
        </w:rPr>
        <w:t>1、</w:t>
      </w:r>
      <w:bookmarkEnd w:id="173"/>
      <w:r>
        <w:rPr>
          <w:rFonts w:hint="eastAsia" w:eastAsia="仿宋_GB2312"/>
          <w:b/>
          <w:bCs/>
          <w:sz w:val="32"/>
          <w:szCs w:val="32"/>
        </w:rPr>
        <w:t>推动科技奥园创新应用</w:t>
      </w:r>
      <w:bookmarkEnd w:id="174"/>
      <w:bookmarkEnd w:id="175"/>
    </w:p>
    <w:p>
      <w:pPr>
        <w:spacing w:line="570" w:lineRule="exact"/>
        <w:ind w:firstLine="640" w:firstLineChars="200"/>
        <w:rPr>
          <w:rFonts w:eastAsia="仿宋_GB2312"/>
          <w:sz w:val="32"/>
        </w:rPr>
      </w:pPr>
      <w:r>
        <w:rPr>
          <w:rFonts w:hint="eastAsia" w:eastAsia="仿宋_GB2312"/>
          <w:sz w:val="32"/>
          <w:szCs w:val="32"/>
        </w:rPr>
        <w:t>加快推动奥林匹克中心区智慧示范园区建设，系统部署智慧场景，提供A</w:t>
      </w:r>
      <w:r>
        <w:rPr>
          <w:rFonts w:eastAsia="仿宋_GB2312"/>
          <w:sz w:val="32"/>
          <w:szCs w:val="32"/>
        </w:rPr>
        <w:t>R</w:t>
      </w:r>
      <w:r>
        <w:rPr>
          <w:rFonts w:hint="eastAsia" w:eastAsia="仿宋_GB2312"/>
          <w:sz w:val="32"/>
          <w:szCs w:val="32"/>
        </w:rPr>
        <w:t>导览、虚拟漫游、智能机器人、数字化3D重建等智能体验，推动数字孪生、云转播、沉浸式观赛、复眼摄像等技术应用。加快向社会开</w:t>
      </w:r>
      <w:r>
        <w:rPr>
          <w:rFonts w:hint="eastAsia" w:eastAsia="仿宋_GB2312"/>
          <w:sz w:val="32"/>
        </w:rPr>
        <w:t>放“科技冬奥”场景，支持机器视觉、智能语音、机器翻译、智能交互、控制决策、智能芯片等关键核心技术应用，引导重大前沿原创技术成果转化，推动人工智能、智能制造、区块链、物联网等综合解决方案在冬奥领域的应用试点示范。推动体育产业与旅游、文化、科技等产业的深度融合，</w:t>
      </w:r>
      <w:r>
        <w:rPr>
          <w:rFonts w:hint="eastAsia" w:eastAsia="仿宋_GB2312"/>
          <w:sz w:val="32"/>
          <w:szCs w:val="32"/>
        </w:rPr>
        <w:t>借助数字化营销</w:t>
      </w:r>
      <w:r>
        <w:rPr>
          <w:rFonts w:hint="eastAsia" w:eastAsia="仿宋_GB2312"/>
          <w:sz w:val="32"/>
        </w:rPr>
        <w:t>体系，打造具有国际影响力的奥园品牌。</w:t>
      </w:r>
    </w:p>
    <w:p>
      <w:pPr>
        <w:spacing w:line="570" w:lineRule="exact"/>
        <w:ind w:firstLine="643" w:firstLineChars="200"/>
        <w:outlineLvl w:val="2"/>
        <w:rPr>
          <w:rFonts w:eastAsia="仿宋_GB2312"/>
          <w:b/>
          <w:bCs/>
          <w:sz w:val="32"/>
          <w:szCs w:val="32"/>
        </w:rPr>
      </w:pPr>
      <w:bookmarkStart w:id="176" w:name="_Toc79136182"/>
      <w:r>
        <w:rPr>
          <w:rFonts w:hint="eastAsia" w:eastAsia="仿宋_GB2312"/>
          <w:b/>
          <w:bCs/>
          <w:sz w:val="32"/>
          <w:szCs w:val="32"/>
        </w:rPr>
        <w:t>2、打造温榆河智慧公园示范</w:t>
      </w:r>
      <w:bookmarkEnd w:id="176"/>
    </w:p>
    <w:p>
      <w:pPr>
        <w:spacing w:line="570" w:lineRule="exact"/>
        <w:ind w:firstLine="640" w:firstLineChars="200"/>
        <w:rPr>
          <w:rFonts w:eastAsia="仿宋_GB2312"/>
          <w:bCs/>
          <w:sz w:val="32"/>
          <w:szCs w:val="32"/>
        </w:rPr>
      </w:pPr>
      <w:r>
        <w:rPr>
          <w:rFonts w:hint="eastAsia" w:eastAsia="仿宋_GB2312"/>
          <w:bCs/>
          <w:sz w:val="32"/>
          <w:szCs w:val="32"/>
        </w:rPr>
        <w:t>以科技赋能为核心，利用智慧化手段推动温榆河基础设施智能化、游园服务人性化、生态保护科普化、公园治理智慧化、公园发展可持续。综合应用物联感知、人物交互等技术，推动公园全域感知，依托物联网建设应用实现公园泛在互联。面向游客</w:t>
      </w:r>
      <w:r>
        <w:rPr>
          <w:rFonts w:eastAsia="仿宋_GB2312"/>
          <w:bCs/>
          <w:sz w:val="32"/>
          <w:szCs w:val="32"/>
        </w:rPr>
        <w:t>提供</w:t>
      </w:r>
      <w:r>
        <w:rPr>
          <w:rFonts w:hint="eastAsia" w:eastAsia="仿宋_GB2312"/>
          <w:bCs/>
          <w:sz w:val="32"/>
          <w:szCs w:val="32"/>
        </w:rPr>
        <w:t>A</w:t>
      </w:r>
      <w:r>
        <w:rPr>
          <w:rFonts w:eastAsia="仿宋_GB2312"/>
          <w:bCs/>
          <w:sz w:val="32"/>
          <w:szCs w:val="32"/>
        </w:rPr>
        <w:t>I</w:t>
      </w:r>
      <w:r>
        <w:rPr>
          <w:rFonts w:hint="eastAsia" w:eastAsia="仿宋_GB2312"/>
          <w:bCs/>
          <w:sz w:val="32"/>
          <w:szCs w:val="32"/>
        </w:rPr>
        <w:t>伴游、5</w:t>
      </w:r>
      <w:r>
        <w:rPr>
          <w:rFonts w:eastAsia="仿宋_GB2312"/>
          <w:bCs/>
          <w:sz w:val="32"/>
          <w:szCs w:val="32"/>
        </w:rPr>
        <w:t>G+VR</w:t>
      </w:r>
      <w:r>
        <w:rPr>
          <w:rFonts w:hint="eastAsia" w:eastAsia="仿宋_GB2312"/>
          <w:bCs/>
          <w:sz w:val="32"/>
          <w:szCs w:val="32"/>
        </w:rPr>
        <w:t>直播、沉浸式体验、A</w:t>
      </w:r>
      <w:r>
        <w:rPr>
          <w:rFonts w:eastAsia="仿宋_GB2312"/>
          <w:bCs/>
          <w:sz w:val="32"/>
          <w:szCs w:val="32"/>
        </w:rPr>
        <w:t>I</w:t>
      </w:r>
      <w:r>
        <w:rPr>
          <w:rFonts w:hint="eastAsia" w:eastAsia="仿宋_GB2312"/>
          <w:bCs/>
          <w:sz w:val="32"/>
          <w:szCs w:val="32"/>
        </w:rPr>
        <w:t>健身跑道、无人售卖等智慧化应用服务。面向公园管理需求开发集视频监控、园区可视化管理、能耗管理、智能预案、数据分析、协同调度、应急指挥等于一体的综合管理平台。</w:t>
      </w:r>
    </w:p>
    <w:p>
      <w:pPr>
        <w:keepNext/>
        <w:keepLines/>
        <w:spacing w:line="570" w:lineRule="exact"/>
        <w:ind w:firstLine="643" w:firstLineChars="200"/>
        <w:outlineLvl w:val="1"/>
        <w:rPr>
          <w:rFonts w:eastAsia="楷体_GB2312"/>
          <w:b/>
          <w:bCs/>
          <w:sz w:val="32"/>
          <w:szCs w:val="32"/>
        </w:rPr>
      </w:pPr>
      <w:bookmarkStart w:id="177" w:name="_Toc79136619"/>
      <w:bookmarkStart w:id="178" w:name="_Toc78985283"/>
      <w:bookmarkStart w:id="179" w:name="_Toc79136183"/>
      <w:r>
        <w:rPr>
          <w:rFonts w:hint="eastAsia" w:eastAsia="楷体_GB2312"/>
          <w:b/>
          <w:bCs/>
          <w:sz w:val="32"/>
          <w:szCs w:val="32"/>
        </w:rPr>
        <w:t>（三）智能化园区场景</w:t>
      </w:r>
      <w:bookmarkEnd w:id="177"/>
      <w:bookmarkEnd w:id="178"/>
      <w:bookmarkEnd w:id="179"/>
    </w:p>
    <w:p>
      <w:pPr>
        <w:spacing w:line="570" w:lineRule="exact"/>
        <w:ind w:firstLine="643" w:firstLineChars="200"/>
        <w:outlineLvl w:val="2"/>
        <w:rPr>
          <w:rFonts w:eastAsia="仿宋_GB2312"/>
          <w:b/>
          <w:bCs/>
          <w:sz w:val="32"/>
          <w:szCs w:val="32"/>
        </w:rPr>
      </w:pPr>
      <w:bookmarkStart w:id="180" w:name="_Toc79136184"/>
      <w:bookmarkStart w:id="181" w:name="_Toc78985284"/>
      <w:r>
        <w:rPr>
          <w:rFonts w:hint="eastAsia" w:eastAsia="仿宋_GB2312"/>
          <w:b/>
          <w:bCs/>
          <w:sz w:val="32"/>
          <w:szCs w:val="32"/>
        </w:rPr>
        <w:t>1、提升智能化企业服务</w:t>
      </w:r>
      <w:bookmarkEnd w:id="180"/>
      <w:bookmarkEnd w:id="181"/>
    </w:p>
    <w:p>
      <w:pPr>
        <w:spacing w:line="570" w:lineRule="exact"/>
        <w:ind w:firstLine="640" w:firstLineChars="200"/>
        <w:rPr>
          <w:rFonts w:eastAsia="仿宋_GB2312"/>
          <w:bCs/>
          <w:sz w:val="32"/>
          <w:szCs w:val="32"/>
        </w:rPr>
      </w:pPr>
      <w:r>
        <w:rPr>
          <w:rFonts w:hint="eastAsia" w:eastAsia="仿宋_GB2312"/>
          <w:bCs/>
          <w:sz w:val="32"/>
          <w:szCs w:val="32"/>
        </w:rPr>
        <w:t>立足重点功能区建设，搭建服务全面、管理智能、高效精准的</w:t>
      </w:r>
      <w:r>
        <w:rPr>
          <w:rFonts w:eastAsia="仿宋_GB2312"/>
          <w:bCs/>
          <w:sz w:val="32"/>
          <w:szCs w:val="32"/>
        </w:rPr>
        <w:t>企业管理服务平台</w:t>
      </w:r>
      <w:r>
        <w:rPr>
          <w:rFonts w:hint="eastAsia" w:eastAsia="仿宋_GB2312"/>
          <w:bCs/>
          <w:sz w:val="32"/>
          <w:szCs w:val="32"/>
        </w:rPr>
        <w:t>，助力打造国际化营商环境。</w:t>
      </w:r>
      <w:bookmarkStart w:id="182" w:name="_Hlk31804417"/>
      <w:r>
        <w:rPr>
          <w:rFonts w:hint="eastAsia" w:eastAsia="仿宋_GB2312"/>
          <w:bCs/>
          <w:sz w:val="32"/>
          <w:szCs w:val="32"/>
        </w:rPr>
        <w:t>以企业全生命周期为主线，梳理优化涉企事项办理和服务流程</w:t>
      </w:r>
      <w:bookmarkEnd w:id="182"/>
      <w:r>
        <w:rPr>
          <w:rFonts w:hint="eastAsia" w:eastAsia="仿宋_GB2312"/>
          <w:bCs/>
          <w:sz w:val="32"/>
          <w:szCs w:val="32"/>
        </w:rPr>
        <w:t>，提供丰富、全面、优质的政务服务资源。集成知识产权、会展、租赁、人才等</w:t>
      </w:r>
      <w:r>
        <w:rPr>
          <w:rFonts w:eastAsia="仿宋_GB2312"/>
          <w:bCs/>
          <w:sz w:val="32"/>
          <w:szCs w:val="32"/>
        </w:rPr>
        <w:t>各类</w:t>
      </w:r>
      <w:r>
        <w:rPr>
          <w:rFonts w:hint="eastAsia" w:eastAsia="仿宋_GB2312"/>
          <w:bCs/>
          <w:sz w:val="32"/>
          <w:szCs w:val="32"/>
        </w:rPr>
        <w:t>市场化专业</w:t>
      </w:r>
      <w:r>
        <w:rPr>
          <w:rFonts w:eastAsia="仿宋_GB2312"/>
          <w:bCs/>
          <w:sz w:val="32"/>
          <w:szCs w:val="32"/>
        </w:rPr>
        <w:t>服务</w:t>
      </w:r>
      <w:r>
        <w:rPr>
          <w:rFonts w:hint="eastAsia" w:eastAsia="仿宋_GB2312"/>
          <w:bCs/>
          <w:sz w:val="32"/>
          <w:szCs w:val="32"/>
        </w:rPr>
        <w:t>资源，创新企业服务模式。建立</w:t>
      </w:r>
      <w:r>
        <w:rPr>
          <w:rFonts w:eastAsia="仿宋_GB2312"/>
          <w:bCs/>
          <w:sz w:val="32"/>
          <w:szCs w:val="32"/>
        </w:rPr>
        <w:t>完善企业</w:t>
      </w:r>
      <w:r>
        <w:rPr>
          <w:rFonts w:hint="eastAsia" w:eastAsia="仿宋_GB2312"/>
          <w:bCs/>
          <w:sz w:val="32"/>
          <w:szCs w:val="32"/>
        </w:rPr>
        <w:t>数据</w:t>
      </w:r>
      <w:r>
        <w:rPr>
          <w:rFonts w:eastAsia="仿宋_GB2312"/>
          <w:bCs/>
          <w:sz w:val="32"/>
          <w:szCs w:val="32"/>
        </w:rPr>
        <w:t>库</w:t>
      </w:r>
      <w:r>
        <w:rPr>
          <w:rFonts w:hint="eastAsia" w:eastAsia="仿宋_GB2312"/>
          <w:bCs/>
          <w:sz w:val="32"/>
          <w:szCs w:val="32"/>
        </w:rPr>
        <w:t>，做好重点企业监测管理，借助大数据、人工智能等技术提供更加高效精准的企业服务。</w:t>
      </w:r>
    </w:p>
    <w:p>
      <w:pPr>
        <w:spacing w:line="570" w:lineRule="exact"/>
        <w:ind w:firstLine="643" w:firstLineChars="200"/>
        <w:outlineLvl w:val="2"/>
        <w:rPr>
          <w:rFonts w:eastAsia="仿宋_GB2312"/>
          <w:b/>
          <w:bCs/>
          <w:sz w:val="32"/>
          <w:szCs w:val="32"/>
        </w:rPr>
      </w:pPr>
      <w:bookmarkStart w:id="183" w:name="_Toc78985285"/>
      <w:bookmarkStart w:id="184" w:name="_Toc79136185"/>
      <w:r>
        <w:rPr>
          <w:rFonts w:eastAsia="仿宋_GB2312"/>
          <w:b/>
          <w:bCs/>
          <w:sz w:val="32"/>
          <w:szCs w:val="32"/>
        </w:rPr>
        <w:t>2</w:t>
      </w:r>
      <w:r>
        <w:rPr>
          <w:rFonts w:hint="eastAsia" w:eastAsia="仿宋_GB2312"/>
          <w:b/>
          <w:bCs/>
          <w:sz w:val="32"/>
          <w:szCs w:val="32"/>
        </w:rPr>
        <w:t>、加强智能化园区运营</w:t>
      </w:r>
      <w:bookmarkEnd w:id="183"/>
      <w:bookmarkEnd w:id="184"/>
    </w:p>
    <w:p>
      <w:pPr>
        <w:spacing w:line="570" w:lineRule="exact"/>
        <w:ind w:firstLine="640" w:firstLineChars="200"/>
        <w:rPr>
          <w:rFonts w:eastAsia="仿宋_GB2312"/>
          <w:bCs/>
          <w:sz w:val="32"/>
          <w:szCs w:val="32"/>
        </w:rPr>
      </w:pPr>
      <w:r>
        <w:rPr>
          <w:rFonts w:hint="eastAsia" w:eastAsia="仿宋_GB2312"/>
          <w:sz w:val="32"/>
          <w:szCs w:val="32"/>
        </w:rPr>
        <w:t>依据CBD、中关村朝阳园、金盏国际合作服务区等重点园区建设需求，适度超前布局智能化基础设施，实现园区人、物、环境、资源和企业运营状态的全面感知和可视化管理。基于园区运营数据的全面采集和统一处理，推动数据集成、流程集成、应用集成及资源共享</w:t>
      </w:r>
      <w:r>
        <w:rPr>
          <w:rFonts w:hint="eastAsia" w:eastAsia="仿宋_GB2312"/>
          <w:bCs/>
          <w:sz w:val="32"/>
          <w:szCs w:val="32"/>
        </w:rPr>
        <w:t>。</w:t>
      </w:r>
      <w:r>
        <w:rPr>
          <w:rFonts w:hint="eastAsia" w:eastAsia="仿宋_GB2312"/>
          <w:sz w:val="32"/>
          <w:szCs w:val="32"/>
        </w:rPr>
        <w:t>借助超高清视频、人脸识别、物联网、VR、AR、5G等技术应用，打造服务便捷、管理高效、</w:t>
      </w:r>
      <w:r>
        <w:rPr>
          <w:rFonts w:hint="eastAsia" w:eastAsia="仿宋_GB2312"/>
          <w:bCs/>
          <w:sz w:val="32"/>
          <w:szCs w:val="32"/>
        </w:rPr>
        <w:t>运营科学的智慧园区。推动智慧楼宇建设，通过智慧能源、智慧</w:t>
      </w:r>
      <w:r>
        <w:rPr>
          <w:rFonts w:hint="eastAsia" w:eastAsia="仿宋_GB2312"/>
          <w:sz w:val="32"/>
          <w:szCs w:val="32"/>
        </w:rPr>
        <w:t>垃圾桶等系统建设应用构建绿色节能、环境友好的园区。</w:t>
      </w:r>
    </w:p>
    <w:p>
      <w:pPr>
        <w:spacing w:line="570" w:lineRule="exact"/>
        <w:ind w:firstLine="643" w:firstLineChars="200"/>
        <w:outlineLvl w:val="2"/>
        <w:rPr>
          <w:rFonts w:eastAsia="仿宋_GB2312"/>
          <w:b/>
          <w:bCs/>
          <w:sz w:val="32"/>
          <w:szCs w:val="32"/>
        </w:rPr>
      </w:pPr>
      <w:bookmarkStart w:id="185" w:name="_Toc79136186"/>
      <w:bookmarkStart w:id="186" w:name="_Toc78985286"/>
      <w:r>
        <w:rPr>
          <w:rFonts w:eastAsia="仿宋_GB2312"/>
          <w:b/>
          <w:bCs/>
          <w:sz w:val="32"/>
          <w:szCs w:val="32"/>
        </w:rPr>
        <w:t>3</w:t>
      </w:r>
      <w:r>
        <w:rPr>
          <w:rFonts w:hint="eastAsia" w:eastAsia="仿宋_GB2312"/>
          <w:b/>
          <w:bCs/>
          <w:sz w:val="32"/>
          <w:szCs w:val="32"/>
        </w:rPr>
        <w:t>、促进智能化精准招商</w:t>
      </w:r>
      <w:bookmarkEnd w:id="185"/>
      <w:bookmarkEnd w:id="186"/>
    </w:p>
    <w:p>
      <w:pPr>
        <w:spacing w:line="570" w:lineRule="exact"/>
        <w:ind w:firstLine="640" w:firstLineChars="200"/>
        <w:rPr>
          <w:rFonts w:eastAsia="仿宋_GB2312"/>
          <w:bCs/>
          <w:sz w:val="32"/>
          <w:szCs w:val="32"/>
        </w:rPr>
      </w:pPr>
      <w:r>
        <w:rPr>
          <w:rFonts w:hint="eastAsia" w:eastAsia="仿宋_GB2312"/>
          <w:bCs/>
          <w:sz w:val="32"/>
          <w:szCs w:val="32"/>
        </w:rPr>
        <w:t>建设智慧招商引资平台，提供覆盖广泛、功能强大、信息丰富的招商引资和投资促进服务，优化服务流程，实现</w:t>
      </w:r>
      <w:r>
        <w:rPr>
          <w:rFonts w:hint="eastAsia" w:eastAsia="仿宋_GB2312"/>
          <w:sz w:val="32"/>
          <w:szCs w:val="32"/>
        </w:rPr>
        <w:t>招商引资全过程数字化记录和全流程在线跟踪，借助人工智能、大数据、BIM等技术提供智能政策匹配、智能项目推荐、在线选址、智能</w:t>
      </w:r>
      <w:r>
        <w:rPr>
          <w:rFonts w:hint="eastAsia" w:eastAsia="仿宋_GB2312"/>
          <w:bCs/>
          <w:sz w:val="32"/>
          <w:szCs w:val="32"/>
        </w:rPr>
        <w:t>客服等服务，减少</w:t>
      </w:r>
      <w:r>
        <w:rPr>
          <w:rFonts w:eastAsia="仿宋_GB2312"/>
          <w:bCs/>
          <w:sz w:val="32"/>
          <w:szCs w:val="32"/>
        </w:rPr>
        <w:t>招引双方的</w:t>
      </w:r>
      <w:r>
        <w:rPr>
          <w:rFonts w:hint="eastAsia" w:eastAsia="仿宋_GB2312"/>
          <w:bCs/>
          <w:sz w:val="32"/>
          <w:szCs w:val="32"/>
        </w:rPr>
        <w:t>沟通和商务成本，助力资源统筹合理调配。以数据可视化形式展现产业招商地图、招商引资项目进度等信息，开展重点领域的产业分析，多维度深度挖掘企业信息，及时全面掌握招商引资情况，实现精准有效招商。</w:t>
      </w:r>
    </w:p>
    <w:p>
      <w:pPr>
        <w:keepNext/>
        <w:keepLines/>
        <w:spacing w:line="570" w:lineRule="exact"/>
        <w:ind w:firstLine="640" w:firstLineChars="200"/>
        <w:jc w:val="left"/>
        <w:outlineLvl w:val="0"/>
        <w:rPr>
          <w:rFonts w:eastAsia="黑体"/>
          <w:bCs/>
          <w:kern w:val="44"/>
          <w:sz w:val="32"/>
          <w:szCs w:val="44"/>
        </w:rPr>
      </w:pPr>
      <w:bookmarkStart w:id="187" w:name="_Toc78985287"/>
      <w:bookmarkStart w:id="188" w:name="_Toc79136187"/>
      <w:bookmarkStart w:id="189" w:name="_Toc79136620"/>
      <w:r>
        <w:rPr>
          <w:rFonts w:hint="eastAsia" w:eastAsia="黑体"/>
          <w:bCs/>
          <w:kern w:val="44"/>
          <w:sz w:val="32"/>
          <w:szCs w:val="44"/>
        </w:rPr>
        <w:t>九、提振智慧城市“新动能”</w:t>
      </w:r>
      <w:bookmarkEnd w:id="187"/>
      <w:bookmarkEnd w:id="188"/>
      <w:bookmarkEnd w:id="189"/>
    </w:p>
    <w:p>
      <w:pPr>
        <w:keepNext/>
        <w:keepLines/>
        <w:spacing w:line="570" w:lineRule="exact"/>
        <w:ind w:firstLine="643" w:firstLineChars="200"/>
        <w:outlineLvl w:val="1"/>
        <w:rPr>
          <w:rFonts w:eastAsia="楷体_GB2312"/>
          <w:b/>
          <w:bCs/>
          <w:sz w:val="32"/>
          <w:szCs w:val="32"/>
        </w:rPr>
      </w:pPr>
      <w:bookmarkStart w:id="190" w:name="_Toc78985288"/>
      <w:bookmarkStart w:id="191" w:name="_Toc79136621"/>
      <w:bookmarkStart w:id="192" w:name="_Toc79136188"/>
      <w:r>
        <w:rPr>
          <w:rFonts w:hint="eastAsia" w:eastAsia="楷体_GB2312"/>
          <w:b/>
          <w:bCs/>
          <w:sz w:val="32"/>
          <w:szCs w:val="32"/>
        </w:rPr>
        <w:t>（一）加快数字产业化</w:t>
      </w:r>
      <w:bookmarkEnd w:id="190"/>
      <w:bookmarkEnd w:id="191"/>
      <w:bookmarkEnd w:id="192"/>
    </w:p>
    <w:p>
      <w:pPr>
        <w:spacing w:line="570" w:lineRule="exact"/>
        <w:ind w:firstLine="643" w:firstLineChars="200"/>
        <w:outlineLvl w:val="2"/>
        <w:rPr>
          <w:rFonts w:eastAsia="仿宋_GB2312"/>
          <w:b/>
          <w:bCs/>
          <w:sz w:val="32"/>
          <w:szCs w:val="32"/>
        </w:rPr>
      </w:pPr>
      <w:bookmarkStart w:id="193" w:name="_Toc79136189"/>
      <w:r>
        <w:rPr>
          <w:rFonts w:hint="eastAsia" w:eastAsia="仿宋_GB2312"/>
          <w:b/>
          <w:bCs/>
          <w:sz w:val="32"/>
          <w:szCs w:val="32"/>
        </w:rPr>
        <w:t>1、扩大领跑产业优势</w:t>
      </w:r>
      <w:bookmarkEnd w:id="193"/>
    </w:p>
    <w:p>
      <w:pPr>
        <w:spacing w:line="570" w:lineRule="exact"/>
        <w:ind w:firstLine="640" w:firstLineChars="200"/>
        <w:rPr>
          <w:rFonts w:eastAsia="楷体"/>
          <w:sz w:val="32"/>
          <w:szCs w:val="32"/>
        </w:rPr>
      </w:pPr>
      <w:r>
        <w:rPr>
          <w:rFonts w:hint="eastAsia" w:eastAsia="仿宋_GB2312"/>
          <w:sz w:val="32"/>
          <w:szCs w:val="32"/>
        </w:rPr>
        <w:t>在中关村朝阳园打造数字经济核心区，</w:t>
      </w:r>
      <w:r>
        <w:rPr>
          <w:rFonts w:hint="eastAsia" w:eastAsia="仿宋_GB2312"/>
          <w:bCs/>
          <w:sz w:val="32"/>
          <w:szCs w:val="32"/>
        </w:rPr>
        <w:t>建设数字经济主题楼宇，</w:t>
      </w:r>
      <w:r>
        <w:rPr>
          <w:rFonts w:hint="eastAsia" w:eastAsia="仿宋_GB2312"/>
          <w:sz w:val="32"/>
          <w:szCs w:val="32"/>
        </w:rPr>
        <w:t>推动形成“国际化数字总部企业集群”。保持并进一步扩大领先数字产业的比较优势，做优做强大数据产业，推动数据资源开放共享与融合应用，推广云计算和边缘计算。推动工业互联网大数据中心建设，打造国家级工业</w:t>
      </w:r>
      <w:r>
        <w:rPr>
          <w:rFonts w:hint="eastAsia" w:eastAsia="仿宋_GB2312"/>
          <w:bCs/>
          <w:sz w:val="32"/>
          <w:szCs w:val="32"/>
        </w:rPr>
        <w:t>互联网示范基地，加快培育生产性服务业、专业服务业等新增长点，推动新型制造业和现代服务业融合发展。</w:t>
      </w:r>
      <w:r>
        <w:rPr>
          <w:rFonts w:hint="eastAsia" w:eastAsia="仿宋_GB2312"/>
          <w:sz w:val="32"/>
          <w:szCs w:val="32"/>
        </w:rPr>
        <w:t>积极争取北京市人工智能智算中心落地，推</w:t>
      </w:r>
      <w:r>
        <w:rPr>
          <w:rFonts w:hint="eastAsia" w:eastAsia="仿宋_GB2312"/>
          <w:bCs/>
          <w:sz w:val="32"/>
          <w:szCs w:val="32"/>
        </w:rPr>
        <w:t>进人工智能向房地产、商业、物流等传统产业渗透融合。</w:t>
      </w:r>
    </w:p>
    <w:p>
      <w:pPr>
        <w:spacing w:line="570" w:lineRule="exact"/>
        <w:ind w:firstLine="643" w:firstLineChars="200"/>
        <w:outlineLvl w:val="2"/>
        <w:rPr>
          <w:rFonts w:eastAsia="仿宋_GB2312"/>
          <w:b/>
          <w:bCs/>
          <w:sz w:val="32"/>
          <w:szCs w:val="32"/>
        </w:rPr>
      </w:pPr>
      <w:bookmarkStart w:id="194" w:name="_Toc79136190"/>
      <w:bookmarkStart w:id="195" w:name="_Toc78985290"/>
      <w:r>
        <w:rPr>
          <w:rFonts w:eastAsia="仿宋_GB2312"/>
          <w:b/>
          <w:bCs/>
          <w:sz w:val="32"/>
          <w:szCs w:val="32"/>
        </w:rPr>
        <w:t>2</w:t>
      </w:r>
      <w:r>
        <w:rPr>
          <w:rFonts w:hint="eastAsia" w:eastAsia="仿宋_GB2312"/>
          <w:b/>
          <w:bCs/>
          <w:sz w:val="32"/>
          <w:szCs w:val="32"/>
        </w:rPr>
        <w:t>、布局战略前沿产业</w:t>
      </w:r>
      <w:bookmarkEnd w:id="194"/>
      <w:bookmarkEnd w:id="195"/>
    </w:p>
    <w:p>
      <w:pPr>
        <w:spacing w:line="570" w:lineRule="exact"/>
        <w:ind w:firstLine="640" w:firstLineChars="200"/>
        <w:rPr>
          <w:rFonts w:eastAsia="仿宋_GB2312"/>
          <w:sz w:val="32"/>
          <w:szCs w:val="32"/>
        </w:rPr>
      </w:pPr>
      <w:r>
        <w:rPr>
          <w:rFonts w:hint="eastAsia" w:eastAsia="仿宋_GB2312"/>
          <w:sz w:val="32"/>
          <w:szCs w:val="32"/>
        </w:rPr>
        <w:t>加快新一代信息技术融合创新，完善</w:t>
      </w:r>
      <w:r>
        <w:rPr>
          <w:rFonts w:eastAsia="仿宋_GB2312"/>
          <w:sz w:val="32"/>
          <w:szCs w:val="32"/>
        </w:rPr>
        <w:t>5G</w:t>
      </w:r>
      <w:r>
        <w:rPr>
          <w:rFonts w:hint="eastAsia" w:eastAsia="仿宋_GB2312"/>
          <w:sz w:val="32"/>
          <w:szCs w:val="32"/>
        </w:rPr>
        <w:t>、区块链、物联网、信息安全等战略前沿数字产业布局。推动</w:t>
      </w:r>
      <w:r>
        <w:rPr>
          <w:rFonts w:eastAsia="仿宋_GB2312"/>
          <w:sz w:val="32"/>
          <w:szCs w:val="32"/>
        </w:rPr>
        <w:t>5G</w:t>
      </w:r>
      <w:r>
        <w:rPr>
          <w:rFonts w:hint="eastAsia" w:eastAsia="仿宋_GB2312"/>
          <w:sz w:val="32"/>
          <w:szCs w:val="32"/>
        </w:rPr>
        <w:t>核心产业发展，加强自主软硬件研发，加速打造</w:t>
      </w:r>
      <w:r>
        <w:rPr>
          <w:rFonts w:eastAsia="仿宋_GB2312"/>
          <w:sz w:val="32"/>
          <w:szCs w:val="32"/>
        </w:rPr>
        <w:t>5G</w:t>
      </w:r>
      <w:r>
        <w:rPr>
          <w:rFonts w:hint="eastAsia" w:eastAsia="仿宋_GB2312"/>
          <w:sz w:val="32"/>
          <w:szCs w:val="32"/>
        </w:rPr>
        <w:t>产业集群。加快区块链在跨境贸易、金融科技、文化创新、政务服务、医疗健康等领域应用，打造区块链产业集聚区。推广基于物联网的集成创新和应用服务，打造物联网产业集群。围绕实现关键核心技术自主可控，推进一批国家科技创新重大战略项目落地。积极推动信息安全创新中心建设，依托鲲鹏、</w:t>
      </w:r>
      <w:r>
        <w:rPr>
          <w:rFonts w:eastAsia="仿宋_GB2312"/>
          <w:sz w:val="32"/>
          <w:szCs w:val="32"/>
        </w:rPr>
        <w:t>360</w:t>
      </w:r>
      <w:r>
        <w:rPr>
          <w:rFonts w:hint="eastAsia" w:eastAsia="仿宋_GB2312"/>
          <w:sz w:val="32"/>
          <w:szCs w:val="32"/>
        </w:rPr>
        <w:t>等打造信息安全产业生态。</w:t>
      </w:r>
    </w:p>
    <w:p>
      <w:pPr>
        <w:keepNext/>
        <w:keepLines/>
        <w:spacing w:line="570" w:lineRule="exact"/>
        <w:ind w:firstLine="643" w:firstLineChars="200"/>
        <w:outlineLvl w:val="1"/>
        <w:rPr>
          <w:rFonts w:eastAsia="楷体_GB2312"/>
          <w:b/>
          <w:bCs/>
          <w:sz w:val="32"/>
          <w:szCs w:val="32"/>
        </w:rPr>
      </w:pPr>
      <w:bookmarkStart w:id="196" w:name="_Toc79136191"/>
      <w:bookmarkStart w:id="197" w:name="_Toc79136622"/>
      <w:bookmarkStart w:id="198" w:name="_Toc78985291"/>
      <w:r>
        <w:rPr>
          <w:rFonts w:hint="eastAsia" w:eastAsia="楷体_GB2312"/>
          <w:b/>
          <w:bCs/>
          <w:sz w:val="32"/>
          <w:szCs w:val="32"/>
        </w:rPr>
        <w:t>（二）推动产业数字化</w:t>
      </w:r>
      <w:bookmarkEnd w:id="196"/>
      <w:bookmarkEnd w:id="197"/>
      <w:bookmarkEnd w:id="198"/>
    </w:p>
    <w:p>
      <w:pPr>
        <w:spacing w:line="570" w:lineRule="exact"/>
        <w:ind w:firstLine="643" w:firstLineChars="200"/>
        <w:outlineLvl w:val="2"/>
        <w:rPr>
          <w:rFonts w:eastAsia="仿宋_GB2312"/>
          <w:b/>
          <w:bCs/>
          <w:sz w:val="32"/>
          <w:szCs w:val="32"/>
        </w:rPr>
      </w:pPr>
      <w:bookmarkStart w:id="199" w:name="_Toc79136192"/>
      <w:r>
        <w:rPr>
          <w:rFonts w:hint="eastAsia" w:eastAsia="仿宋_GB2312"/>
          <w:b/>
          <w:bCs/>
          <w:sz w:val="32"/>
          <w:szCs w:val="32"/>
        </w:rPr>
        <w:t>1、加快优势产业升级</w:t>
      </w:r>
      <w:bookmarkEnd w:id="199"/>
    </w:p>
    <w:p>
      <w:pPr>
        <w:spacing w:line="570" w:lineRule="exact"/>
        <w:ind w:firstLine="640" w:firstLineChars="200"/>
        <w:rPr>
          <w:rFonts w:eastAsia="仿宋_GB2312"/>
          <w:bCs/>
          <w:sz w:val="32"/>
          <w:szCs w:val="32"/>
        </w:rPr>
      </w:pPr>
      <w:r>
        <w:rPr>
          <w:rFonts w:hint="eastAsia" w:eastAsia="仿宋_GB2312"/>
          <w:sz w:val="32"/>
          <w:szCs w:val="32"/>
        </w:rPr>
        <w:t>依托C</w:t>
      </w:r>
      <w:r>
        <w:rPr>
          <w:rFonts w:eastAsia="仿宋_GB2312"/>
          <w:sz w:val="32"/>
          <w:szCs w:val="32"/>
        </w:rPr>
        <w:t>BD</w:t>
      </w:r>
      <w:r>
        <w:rPr>
          <w:rFonts w:hint="eastAsia" w:eastAsia="仿宋_GB2312"/>
          <w:sz w:val="32"/>
          <w:szCs w:val="32"/>
        </w:rPr>
        <w:t>、奥林匹克中心区、国家文创实验区、金盏国际合作服务区加快优势产业数字化转型，重点发展数字贸易、数字商务、跨境金融、数字文化等领域。建立文化旅游协同推进机制，利用数字化手段助力文化旅游和对外文化推广。以国家</w:t>
      </w:r>
      <w:r>
        <w:rPr>
          <w:rFonts w:hint="eastAsia" w:eastAsia="仿宋_GB2312"/>
          <w:bCs/>
          <w:sz w:val="32"/>
          <w:szCs w:val="32"/>
        </w:rPr>
        <w:t>文创实验区为依托，</w:t>
      </w:r>
      <w:r>
        <w:rPr>
          <w:rFonts w:hint="eastAsia" w:eastAsia="仿宋_GB2312"/>
          <w:sz w:val="32"/>
          <w:szCs w:val="32"/>
        </w:rPr>
        <w:t>推动人工智能、大数据、5G</w:t>
      </w:r>
      <w:r>
        <w:rPr>
          <w:rFonts w:eastAsia="仿宋_GB2312"/>
          <w:sz w:val="32"/>
          <w:szCs w:val="32"/>
        </w:rPr>
        <w:t>+8K</w:t>
      </w:r>
      <w:r>
        <w:rPr>
          <w:rFonts w:hint="eastAsia" w:eastAsia="仿宋_GB2312"/>
          <w:sz w:val="32"/>
          <w:szCs w:val="32"/>
        </w:rPr>
        <w:t>、VR等技术应用，</w:t>
      </w:r>
      <w:r>
        <w:rPr>
          <w:rFonts w:hint="eastAsia" w:eastAsia="仿宋_GB2312"/>
          <w:bCs/>
          <w:sz w:val="32"/>
          <w:szCs w:val="32"/>
        </w:rPr>
        <w:t>加快推动数字出版、数字广告、数字音乐、网络新视听、电子竞技、云上展会等新业态新模式创新发展。探索推进金融科技应用场景试验区建设，</w:t>
      </w:r>
      <w:r>
        <w:rPr>
          <w:rFonts w:hint="eastAsia" w:eastAsia="仿宋_GB2312"/>
          <w:sz w:val="32"/>
          <w:szCs w:val="32"/>
        </w:rPr>
        <w:t>加快数字货币试点建设，</w:t>
      </w:r>
      <w:r>
        <w:rPr>
          <w:rFonts w:hint="eastAsia" w:eastAsia="仿宋_GB2312"/>
          <w:bCs/>
          <w:sz w:val="32"/>
          <w:szCs w:val="32"/>
        </w:rPr>
        <w:t>引领跨境金融发展。</w:t>
      </w:r>
    </w:p>
    <w:p>
      <w:pPr>
        <w:spacing w:line="570" w:lineRule="exact"/>
        <w:ind w:firstLine="643" w:firstLineChars="200"/>
        <w:outlineLvl w:val="2"/>
        <w:rPr>
          <w:rFonts w:eastAsia="仿宋_GB2312"/>
          <w:b/>
          <w:bCs/>
          <w:sz w:val="32"/>
          <w:szCs w:val="32"/>
        </w:rPr>
      </w:pPr>
      <w:bookmarkStart w:id="200" w:name="_Toc79136193"/>
      <w:bookmarkStart w:id="201" w:name="_Toc78985293"/>
      <w:r>
        <w:rPr>
          <w:rFonts w:eastAsia="仿宋_GB2312"/>
          <w:b/>
          <w:bCs/>
          <w:sz w:val="32"/>
          <w:szCs w:val="32"/>
        </w:rPr>
        <w:t>2</w:t>
      </w:r>
      <w:r>
        <w:rPr>
          <w:rFonts w:hint="eastAsia" w:eastAsia="仿宋_GB2312"/>
          <w:b/>
          <w:bCs/>
          <w:sz w:val="32"/>
          <w:szCs w:val="32"/>
        </w:rPr>
        <w:t>、推动开放经济发展</w:t>
      </w:r>
      <w:bookmarkEnd w:id="200"/>
      <w:bookmarkEnd w:id="201"/>
    </w:p>
    <w:p>
      <w:pPr>
        <w:spacing w:line="570" w:lineRule="exact"/>
        <w:ind w:firstLine="640" w:firstLineChars="200"/>
        <w:rPr>
          <w:rFonts w:eastAsia="楷体"/>
          <w:sz w:val="32"/>
          <w:szCs w:val="32"/>
        </w:rPr>
      </w:pPr>
      <w:r>
        <w:rPr>
          <w:rFonts w:hint="eastAsia" w:eastAsia="仿宋_GB2312"/>
          <w:bCs/>
          <w:sz w:val="32"/>
          <w:szCs w:val="32"/>
        </w:rPr>
        <w:t>面向全区产业发展能级提升和京津冀区域产业布局优化需求，借助大数据、人工智能、区块链等技术，推动产业链供需匹配、补链强链，引导高端产业辐射外溢、协同联动发展。加快工业云协同制造，发展一批综合性、行业性工业电商平台，</w:t>
      </w:r>
      <w:r>
        <w:rPr>
          <w:rFonts w:eastAsia="仿宋_GB2312"/>
          <w:bCs/>
          <w:sz w:val="32"/>
          <w:szCs w:val="32"/>
        </w:rPr>
        <w:t>为京津冀制造业转型升级提供商务服务、金融服务、科技服务</w:t>
      </w:r>
      <w:r>
        <w:rPr>
          <w:rFonts w:hint="eastAsia" w:eastAsia="仿宋_GB2312"/>
          <w:bCs/>
          <w:sz w:val="32"/>
          <w:szCs w:val="32"/>
        </w:rPr>
        <w:t>。完善线上线下一体化的自贸区政务服务大厅，建设一站式涉外服务平台，打造国际资源要素配置的商务枢纽。依托金盏国际合作服务区构建数字贸易试验区，培育数字贸易产业集群，推动国际数字经济交往，探索跨境数据流动，打造对外开放国际合作新窗口。</w:t>
      </w:r>
    </w:p>
    <w:p>
      <w:pPr>
        <w:keepNext/>
        <w:keepLines/>
        <w:spacing w:line="570" w:lineRule="exact"/>
        <w:ind w:firstLine="640" w:firstLineChars="200"/>
        <w:jc w:val="left"/>
        <w:outlineLvl w:val="0"/>
        <w:rPr>
          <w:rFonts w:eastAsia="仿宋_GB2312"/>
          <w:sz w:val="32"/>
          <w:szCs w:val="32"/>
        </w:rPr>
      </w:pPr>
      <w:bookmarkStart w:id="202" w:name="_Toc79136623"/>
      <w:bookmarkStart w:id="203" w:name="_Toc79136194"/>
      <w:bookmarkStart w:id="204" w:name="_Toc78985294"/>
      <w:r>
        <w:rPr>
          <w:rFonts w:hint="eastAsia" w:eastAsia="黑体"/>
          <w:bCs/>
          <w:kern w:val="44"/>
          <w:sz w:val="32"/>
          <w:szCs w:val="44"/>
        </w:rPr>
        <w:t>十</w:t>
      </w:r>
      <w:r>
        <w:rPr>
          <w:rFonts w:eastAsia="黑体"/>
          <w:bCs/>
          <w:kern w:val="44"/>
          <w:sz w:val="32"/>
          <w:szCs w:val="44"/>
        </w:rPr>
        <w:t>、保障措施</w:t>
      </w:r>
      <w:bookmarkEnd w:id="155"/>
      <w:bookmarkEnd w:id="202"/>
      <w:bookmarkEnd w:id="203"/>
      <w:bookmarkEnd w:id="204"/>
    </w:p>
    <w:p>
      <w:pPr>
        <w:keepNext/>
        <w:keepLines/>
        <w:spacing w:line="570" w:lineRule="exact"/>
        <w:ind w:firstLine="643" w:firstLineChars="200"/>
        <w:outlineLvl w:val="1"/>
        <w:rPr>
          <w:rFonts w:eastAsia="楷体_GB2312"/>
          <w:b/>
          <w:bCs/>
          <w:sz w:val="32"/>
          <w:szCs w:val="32"/>
        </w:rPr>
      </w:pPr>
      <w:bookmarkStart w:id="205" w:name="_Toc79136195"/>
      <w:bookmarkStart w:id="206" w:name="_Toc79136624"/>
      <w:bookmarkStart w:id="207" w:name="_Toc78985295"/>
      <w:r>
        <w:rPr>
          <w:rFonts w:eastAsia="楷体_GB2312"/>
          <w:b/>
          <w:bCs/>
          <w:sz w:val="32"/>
          <w:szCs w:val="32"/>
        </w:rPr>
        <w:t>（一）</w:t>
      </w:r>
      <w:r>
        <w:rPr>
          <w:rFonts w:hint="eastAsia" w:eastAsia="楷体_GB2312"/>
          <w:b/>
          <w:bCs/>
          <w:sz w:val="32"/>
          <w:szCs w:val="32"/>
        </w:rPr>
        <w:t>强化组织协调机制</w:t>
      </w:r>
      <w:bookmarkEnd w:id="205"/>
      <w:bookmarkEnd w:id="206"/>
      <w:bookmarkEnd w:id="207"/>
    </w:p>
    <w:p>
      <w:pPr>
        <w:spacing w:line="570" w:lineRule="exact"/>
        <w:ind w:firstLine="640" w:firstLineChars="200"/>
        <w:rPr>
          <w:rFonts w:eastAsia="仿宋_GB2312"/>
          <w:sz w:val="32"/>
          <w:szCs w:val="32"/>
        </w:rPr>
      </w:pPr>
      <w:bookmarkStart w:id="208" w:name="_Toc54562770"/>
      <w:bookmarkStart w:id="209" w:name="_Toc78985296"/>
      <w:r>
        <w:rPr>
          <w:rFonts w:hint="eastAsia" w:eastAsia="仿宋_GB2312"/>
          <w:sz w:val="32"/>
          <w:szCs w:val="32"/>
        </w:rPr>
        <w:t>依托朝阳区“城市智慧大脑”建设工作专班，充分发挥统筹协调和总体推进作用，解决智慧城市建设中的重大问题，制定相关政策，明确建设目标、工作任务和实施计划，强化督促检查和考核评估。健全市、区、部门联动协调衔接机制，组建北京市朝阳区大数据管理中心，对接市级要求加强对全区大数据发展和应用工作的统筹协调、整体调配和统一管理。</w:t>
      </w:r>
    </w:p>
    <w:p>
      <w:pPr>
        <w:keepNext/>
        <w:keepLines/>
        <w:spacing w:line="570" w:lineRule="exact"/>
        <w:ind w:firstLine="643" w:firstLineChars="200"/>
        <w:outlineLvl w:val="1"/>
        <w:rPr>
          <w:rFonts w:eastAsia="楷体_GB2312"/>
          <w:b/>
          <w:bCs/>
          <w:sz w:val="32"/>
          <w:szCs w:val="32"/>
        </w:rPr>
      </w:pPr>
      <w:bookmarkStart w:id="210" w:name="_Toc79136196"/>
      <w:bookmarkStart w:id="211" w:name="_Toc79136625"/>
      <w:r>
        <w:rPr>
          <w:rFonts w:hint="eastAsia" w:eastAsia="楷体_GB2312"/>
          <w:b/>
          <w:bCs/>
          <w:sz w:val="32"/>
          <w:szCs w:val="32"/>
        </w:rPr>
        <w:t>（二）完善政策标准体系</w:t>
      </w:r>
      <w:bookmarkEnd w:id="208"/>
      <w:bookmarkEnd w:id="209"/>
      <w:bookmarkEnd w:id="210"/>
      <w:bookmarkEnd w:id="211"/>
    </w:p>
    <w:p>
      <w:pPr>
        <w:spacing w:line="570" w:lineRule="exact"/>
        <w:ind w:firstLine="640" w:firstLineChars="200"/>
        <w:rPr>
          <w:rFonts w:eastAsia="仿宋_GB2312"/>
          <w:sz w:val="32"/>
          <w:szCs w:val="32"/>
        </w:rPr>
      </w:pPr>
      <w:r>
        <w:rPr>
          <w:rFonts w:hint="eastAsia" w:eastAsia="仿宋_GB2312"/>
          <w:sz w:val="32"/>
          <w:szCs w:val="32"/>
        </w:rPr>
        <w:t>完善面向全区政务信息系统的数据标准和技术规范，持续推进全区数据资源管理体制机制建设，建立政府部门间及向社会的数据共享及开放规范。加强智慧城市技术架构的接口设计和标准制定，提升系统平台间的高效对接。研究制定人工智能、5G、物联网、大数据、区块链等新技术在智慧城市建设中的应用规划与标准规范，防范技术风险。</w:t>
      </w:r>
    </w:p>
    <w:p>
      <w:pPr>
        <w:keepNext/>
        <w:keepLines/>
        <w:spacing w:line="570" w:lineRule="exact"/>
        <w:ind w:firstLine="643" w:firstLineChars="200"/>
        <w:outlineLvl w:val="1"/>
        <w:rPr>
          <w:rFonts w:eastAsia="楷体_GB2312"/>
          <w:b/>
          <w:bCs/>
          <w:sz w:val="32"/>
          <w:szCs w:val="32"/>
        </w:rPr>
      </w:pPr>
      <w:bookmarkStart w:id="212" w:name="_Toc78985297"/>
      <w:bookmarkStart w:id="213" w:name="_Toc79136197"/>
      <w:bookmarkStart w:id="214" w:name="_Toc79136626"/>
      <w:r>
        <w:rPr>
          <w:rFonts w:hint="eastAsia" w:eastAsia="楷体_GB2312"/>
          <w:b/>
          <w:bCs/>
          <w:sz w:val="32"/>
          <w:szCs w:val="32"/>
        </w:rPr>
        <w:t>（三）强化网络安全保障</w:t>
      </w:r>
      <w:bookmarkEnd w:id="212"/>
      <w:bookmarkEnd w:id="213"/>
      <w:bookmarkEnd w:id="214"/>
    </w:p>
    <w:p>
      <w:pPr>
        <w:spacing w:line="570" w:lineRule="exact"/>
        <w:ind w:firstLine="640" w:firstLineChars="200"/>
        <w:rPr>
          <w:rFonts w:eastAsia="仿宋_GB2312"/>
          <w:sz w:val="32"/>
          <w:szCs w:val="32"/>
        </w:rPr>
      </w:pPr>
      <w:r>
        <w:rPr>
          <w:rFonts w:hint="eastAsia" w:eastAsia="仿宋_GB2312"/>
          <w:sz w:val="32"/>
          <w:szCs w:val="32"/>
        </w:rPr>
        <w:t>构建权责清晰、科学管控、保障有力的信息安全工作格局，加强安全管理制度、安全管理机构、安全管理人员、安全建设管理、安全运维管理等管理体系建设，进一步落实信息安全责任制，健全网络信息安全监测预警和应急处置机制，全面落实网络安全等级保护要求，加强对重要信息系统设计、建设实施、运行管理全过程的安全论证、审查、评估。</w:t>
      </w:r>
    </w:p>
    <w:p>
      <w:pPr>
        <w:keepNext/>
        <w:keepLines/>
        <w:spacing w:line="570" w:lineRule="exact"/>
        <w:ind w:firstLine="643" w:firstLineChars="200"/>
        <w:outlineLvl w:val="1"/>
        <w:rPr>
          <w:rFonts w:eastAsia="楷体_GB2312"/>
          <w:b/>
          <w:bCs/>
          <w:sz w:val="32"/>
          <w:szCs w:val="32"/>
        </w:rPr>
      </w:pPr>
      <w:bookmarkStart w:id="215" w:name="_Toc78985298"/>
      <w:bookmarkStart w:id="216" w:name="_Toc79136627"/>
      <w:bookmarkStart w:id="217" w:name="_Toc79136198"/>
      <w:r>
        <w:rPr>
          <w:rFonts w:hint="eastAsia" w:eastAsia="楷体_GB2312"/>
          <w:b/>
          <w:bCs/>
          <w:sz w:val="32"/>
          <w:szCs w:val="32"/>
        </w:rPr>
        <w:t>（四）</w:t>
      </w:r>
      <w:bookmarkEnd w:id="215"/>
      <w:r>
        <w:rPr>
          <w:rFonts w:hint="eastAsia" w:eastAsia="楷体_GB2312"/>
          <w:b/>
          <w:bCs/>
          <w:sz w:val="32"/>
          <w:szCs w:val="32"/>
        </w:rPr>
        <w:t>创新运营管理机制</w:t>
      </w:r>
      <w:bookmarkEnd w:id="216"/>
      <w:bookmarkEnd w:id="217"/>
    </w:p>
    <w:p>
      <w:pPr>
        <w:spacing w:line="570" w:lineRule="exact"/>
        <w:ind w:firstLine="640" w:firstLineChars="200"/>
        <w:rPr>
          <w:rFonts w:eastAsia="仿宋_GB2312"/>
          <w:sz w:val="32"/>
          <w:szCs w:val="32"/>
        </w:rPr>
      </w:pPr>
      <w:r>
        <w:rPr>
          <w:rFonts w:hint="eastAsia" w:eastAsia="仿宋_GB2312"/>
          <w:sz w:val="32"/>
          <w:szCs w:val="32"/>
        </w:rPr>
        <w:t>加强全区信息化资金投入，强化</w:t>
      </w:r>
      <w:r>
        <w:rPr>
          <w:rFonts w:eastAsia="仿宋_GB2312"/>
          <w:sz w:val="32"/>
          <w:szCs w:val="32"/>
        </w:rPr>
        <w:t>信息化资金和项目的统筹力度</w:t>
      </w:r>
      <w:r>
        <w:rPr>
          <w:rFonts w:hint="eastAsia" w:eastAsia="仿宋_GB2312"/>
          <w:sz w:val="32"/>
          <w:szCs w:val="32"/>
        </w:rPr>
        <w:t>。探索政府投资为引导、企业投资为主体、金融机构积极支持的投融资模式，设立智慧城市建设投资基金，加大向社会购买服务的力度，鼓励社会资本深度参与智慧城市建设运营。组建公司化运营平台，采用代建模式，依托区属国有企业通过成立控股或参股子公司的方式，全面负责总包、集成和运营工作。</w:t>
      </w:r>
    </w:p>
    <w:p>
      <w:pPr>
        <w:keepNext/>
        <w:keepLines/>
        <w:spacing w:line="570" w:lineRule="exact"/>
        <w:ind w:firstLine="643" w:firstLineChars="200"/>
        <w:outlineLvl w:val="1"/>
        <w:rPr>
          <w:rFonts w:eastAsia="楷体_GB2312"/>
          <w:b/>
          <w:bCs/>
          <w:sz w:val="32"/>
          <w:szCs w:val="32"/>
        </w:rPr>
      </w:pPr>
      <w:bookmarkStart w:id="218" w:name="_Toc79136628"/>
      <w:bookmarkStart w:id="219" w:name="_Toc78985299"/>
      <w:bookmarkStart w:id="220" w:name="_Toc79136199"/>
      <w:r>
        <w:rPr>
          <w:rFonts w:hint="eastAsia" w:eastAsia="楷体_GB2312"/>
          <w:b/>
          <w:bCs/>
          <w:sz w:val="32"/>
          <w:szCs w:val="32"/>
        </w:rPr>
        <w:t>（五）</w:t>
      </w:r>
      <w:r>
        <w:rPr>
          <w:rFonts w:eastAsia="楷体_GB2312"/>
          <w:b/>
          <w:bCs/>
          <w:sz w:val="32"/>
          <w:szCs w:val="32"/>
        </w:rPr>
        <w:t>建立常态宣传机制</w:t>
      </w:r>
      <w:bookmarkEnd w:id="218"/>
      <w:bookmarkEnd w:id="219"/>
      <w:bookmarkEnd w:id="220"/>
    </w:p>
    <w:p>
      <w:pPr>
        <w:spacing w:line="570" w:lineRule="exact"/>
        <w:ind w:firstLine="640" w:firstLineChars="200"/>
        <w:rPr>
          <w:rFonts w:eastAsia="黑体"/>
          <w:bCs/>
          <w:kern w:val="44"/>
          <w:sz w:val="32"/>
          <w:szCs w:val="44"/>
        </w:rPr>
      </w:pPr>
      <w:r>
        <w:rPr>
          <w:rFonts w:hint="eastAsia" w:eastAsia="仿宋_GB2312"/>
          <w:sz w:val="32"/>
          <w:szCs w:val="32"/>
        </w:rPr>
        <w:t>加强对政府领导干部和信息化工作队伍的培训，培养运用数字化思维解决实际问题的意识和能力。积极运用传统媒体和网络媒体等多种宣传渠道，全方位、多渠道加大对智慧城市建设的宣传报道，进一步提升企业和公众对智慧城市建设成效的认知和体验。举办具有国际影响力的智慧城市展会和高峰论坛，积极展现建设成果，促进合作交流落地。</w:t>
      </w:r>
    </w:p>
    <w:sectPr>
      <w:footerReference r:id="rId9" w:type="default"/>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MGDT">
    <w:panose1 w:val="02000400000000000000"/>
    <w:charset w:val="00"/>
    <w:family w:val="auto"/>
    <w:pitch w:val="default"/>
    <w:sig w:usb0="80000003" w:usb1="10000000" w:usb2="00000000" w:usb3="00000000" w:csb0="00000001" w:csb1="00000000"/>
  </w:font>
  <w:font w:name="等线">
    <w:altName w:val="宋体"/>
    <w:panose1 w:val="00000000000000000000"/>
    <w:charset w:val="86"/>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PAGE   \* MERGEFORMAT</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lang w:val="zh-CN"/>
      </w:rPr>
      <w:t>-</w:t>
    </w:r>
    <w:r>
      <w:rPr>
        <w:rFonts w:ascii="仿宋_GB2312" w:hAnsi="Times New Roman" w:eastAsia="仿宋_GB2312" w:cs="Times New Roman"/>
        <w:sz w:val="28"/>
        <w:szCs w:val="28"/>
      </w:rPr>
      <w:t xml:space="preserve"> 4 -</w:t>
    </w:r>
    <w:r>
      <w:rPr>
        <w:rFonts w:hint="eastAsia" w:ascii="仿宋_GB2312" w:hAnsi="Times New Roman" w:eastAsia="仿宋_GB2312"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PAGE   \* MERGEFORMAT</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lang w:val="zh-CN"/>
      </w:rPr>
      <w:t>16</w:t>
    </w:r>
    <w:r>
      <w:rPr>
        <w:rFonts w:hint="eastAsia" w:ascii="仿宋_GB2312" w:hAnsi="Times New Roman" w:eastAsia="仿宋_GB2312" w:cs="Times New Roman"/>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tzQ3MzG3MLMwsTBR0lEKTi0uzszPAykwrwUAKBhCgywAAAA="/>
  </w:docVars>
  <w:rsids>
    <w:rsidRoot w:val="00936E16"/>
    <w:rsid w:val="00000B33"/>
    <w:rsid w:val="00002EBC"/>
    <w:rsid w:val="000061D7"/>
    <w:rsid w:val="00006C18"/>
    <w:rsid w:val="00007433"/>
    <w:rsid w:val="00012E19"/>
    <w:rsid w:val="0001370D"/>
    <w:rsid w:val="00014AA4"/>
    <w:rsid w:val="00014F16"/>
    <w:rsid w:val="00015F43"/>
    <w:rsid w:val="0001677F"/>
    <w:rsid w:val="00016BF9"/>
    <w:rsid w:val="00016F28"/>
    <w:rsid w:val="000206AC"/>
    <w:rsid w:val="000210BE"/>
    <w:rsid w:val="00021CE6"/>
    <w:rsid w:val="00022C7B"/>
    <w:rsid w:val="00022CD3"/>
    <w:rsid w:val="00023DA9"/>
    <w:rsid w:val="00027342"/>
    <w:rsid w:val="00027B02"/>
    <w:rsid w:val="00035801"/>
    <w:rsid w:val="00040505"/>
    <w:rsid w:val="00040D13"/>
    <w:rsid w:val="00040E35"/>
    <w:rsid w:val="00042904"/>
    <w:rsid w:val="00043FBA"/>
    <w:rsid w:val="00045A98"/>
    <w:rsid w:val="00045DB1"/>
    <w:rsid w:val="00045F54"/>
    <w:rsid w:val="000507A8"/>
    <w:rsid w:val="000507D2"/>
    <w:rsid w:val="000530BA"/>
    <w:rsid w:val="00054114"/>
    <w:rsid w:val="000552AB"/>
    <w:rsid w:val="00056D31"/>
    <w:rsid w:val="00056FB8"/>
    <w:rsid w:val="0005794C"/>
    <w:rsid w:val="00061955"/>
    <w:rsid w:val="00062054"/>
    <w:rsid w:val="0006416A"/>
    <w:rsid w:val="00065268"/>
    <w:rsid w:val="0006538A"/>
    <w:rsid w:val="00067087"/>
    <w:rsid w:val="000710B7"/>
    <w:rsid w:val="000716D3"/>
    <w:rsid w:val="00071CAB"/>
    <w:rsid w:val="00073E38"/>
    <w:rsid w:val="00074E31"/>
    <w:rsid w:val="00076885"/>
    <w:rsid w:val="00077DCA"/>
    <w:rsid w:val="00080973"/>
    <w:rsid w:val="00082712"/>
    <w:rsid w:val="000837B1"/>
    <w:rsid w:val="00083D87"/>
    <w:rsid w:val="00083DE8"/>
    <w:rsid w:val="00084431"/>
    <w:rsid w:val="00084DD6"/>
    <w:rsid w:val="000902B9"/>
    <w:rsid w:val="00090BC1"/>
    <w:rsid w:val="00092CF8"/>
    <w:rsid w:val="0009524D"/>
    <w:rsid w:val="0009653B"/>
    <w:rsid w:val="00096A02"/>
    <w:rsid w:val="00097F0C"/>
    <w:rsid w:val="000A04F8"/>
    <w:rsid w:val="000A0C3B"/>
    <w:rsid w:val="000A0DB8"/>
    <w:rsid w:val="000A291C"/>
    <w:rsid w:val="000A29BE"/>
    <w:rsid w:val="000A398E"/>
    <w:rsid w:val="000A3E99"/>
    <w:rsid w:val="000A3F43"/>
    <w:rsid w:val="000A4A25"/>
    <w:rsid w:val="000A527F"/>
    <w:rsid w:val="000A56E8"/>
    <w:rsid w:val="000A5F33"/>
    <w:rsid w:val="000A7225"/>
    <w:rsid w:val="000A7BB1"/>
    <w:rsid w:val="000B0ED9"/>
    <w:rsid w:val="000B12EA"/>
    <w:rsid w:val="000B3525"/>
    <w:rsid w:val="000B4C74"/>
    <w:rsid w:val="000B6BD9"/>
    <w:rsid w:val="000C2EDA"/>
    <w:rsid w:val="000C3265"/>
    <w:rsid w:val="000C44F1"/>
    <w:rsid w:val="000C5CB5"/>
    <w:rsid w:val="000D032A"/>
    <w:rsid w:val="000D0421"/>
    <w:rsid w:val="000D07E9"/>
    <w:rsid w:val="000D1A7E"/>
    <w:rsid w:val="000D2186"/>
    <w:rsid w:val="000D2B7B"/>
    <w:rsid w:val="000D6307"/>
    <w:rsid w:val="000D6E4A"/>
    <w:rsid w:val="000E19E7"/>
    <w:rsid w:val="000E3352"/>
    <w:rsid w:val="000E419E"/>
    <w:rsid w:val="000E5658"/>
    <w:rsid w:val="000E6D7C"/>
    <w:rsid w:val="000E7D38"/>
    <w:rsid w:val="000E7D46"/>
    <w:rsid w:val="000F2090"/>
    <w:rsid w:val="000F2282"/>
    <w:rsid w:val="000F298B"/>
    <w:rsid w:val="000F3A91"/>
    <w:rsid w:val="000F5BA7"/>
    <w:rsid w:val="000F68E3"/>
    <w:rsid w:val="000F69D4"/>
    <w:rsid w:val="001016F8"/>
    <w:rsid w:val="00101A2D"/>
    <w:rsid w:val="00101B88"/>
    <w:rsid w:val="001020BD"/>
    <w:rsid w:val="0010263D"/>
    <w:rsid w:val="0010436F"/>
    <w:rsid w:val="00104F9E"/>
    <w:rsid w:val="00105A1B"/>
    <w:rsid w:val="001069E4"/>
    <w:rsid w:val="00106AFB"/>
    <w:rsid w:val="001141E3"/>
    <w:rsid w:val="00115153"/>
    <w:rsid w:val="001151E9"/>
    <w:rsid w:val="001163E1"/>
    <w:rsid w:val="00116C34"/>
    <w:rsid w:val="0011722C"/>
    <w:rsid w:val="001200BA"/>
    <w:rsid w:val="001201D2"/>
    <w:rsid w:val="00120789"/>
    <w:rsid w:val="00120D31"/>
    <w:rsid w:val="001211D2"/>
    <w:rsid w:val="00121614"/>
    <w:rsid w:val="00121DDE"/>
    <w:rsid w:val="0012222C"/>
    <w:rsid w:val="00122B36"/>
    <w:rsid w:val="00124388"/>
    <w:rsid w:val="001247EF"/>
    <w:rsid w:val="001258D5"/>
    <w:rsid w:val="00125FCE"/>
    <w:rsid w:val="00127617"/>
    <w:rsid w:val="00132513"/>
    <w:rsid w:val="00132DFE"/>
    <w:rsid w:val="00133C62"/>
    <w:rsid w:val="00133F54"/>
    <w:rsid w:val="00135C00"/>
    <w:rsid w:val="00137699"/>
    <w:rsid w:val="00140064"/>
    <w:rsid w:val="0014083A"/>
    <w:rsid w:val="001409DE"/>
    <w:rsid w:val="00140CC5"/>
    <w:rsid w:val="00142AE8"/>
    <w:rsid w:val="00142C47"/>
    <w:rsid w:val="0014303B"/>
    <w:rsid w:val="00146F98"/>
    <w:rsid w:val="00147178"/>
    <w:rsid w:val="001472F6"/>
    <w:rsid w:val="0014778D"/>
    <w:rsid w:val="001529F6"/>
    <w:rsid w:val="00154232"/>
    <w:rsid w:val="00154D7C"/>
    <w:rsid w:val="00156E59"/>
    <w:rsid w:val="0016081C"/>
    <w:rsid w:val="00162D6E"/>
    <w:rsid w:val="001643BF"/>
    <w:rsid w:val="00164B6C"/>
    <w:rsid w:val="0016676B"/>
    <w:rsid w:val="001704B2"/>
    <w:rsid w:val="00170C49"/>
    <w:rsid w:val="00170FB6"/>
    <w:rsid w:val="00170FF2"/>
    <w:rsid w:val="00172198"/>
    <w:rsid w:val="00173AEE"/>
    <w:rsid w:val="00173BBF"/>
    <w:rsid w:val="00173F5E"/>
    <w:rsid w:val="00174E3C"/>
    <w:rsid w:val="001754D4"/>
    <w:rsid w:val="0017569F"/>
    <w:rsid w:val="00175A8E"/>
    <w:rsid w:val="00176AC3"/>
    <w:rsid w:val="00177517"/>
    <w:rsid w:val="00182303"/>
    <w:rsid w:val="00185056"/>
    <w:rsid w:val="0018559D"/>
    <w:rsid w:val="00185E16"/>
    <w:rsid w:val="0018753E"/>
    <w:rsid w:val="00187607"/>
    <w:rsid w:val="00187D28"/>
    <w:rsid w:val="00187EED"/>
    <w:rsid w:val="00191B34"/>
    <w:rsid w:val="00191E83"/>
    <w:rsid w:val="00191EEA"/>
    <w:rsid w:val="001975B8"/>
    <w:rsid w:val="00197F59"/>
    <w:rsid w:val="001A02A4"/>
    <w:rsid w:val="001A0379"/>
    <w:rsid w:val="001A3BDE"/>
    <w:rsid w:val="001A3C7A"/>
    <w:rsid w:val="001A5984"/>
    <w:rsid w:val="001B00F2"/>
    <w:rsid w:val="001B04B7"/>
    <w:rsid w:val="001B1044"/>
    <w:rsid w:val="001B13F4"/>
    <w:rsid w:val="001B1FFB"/>
    <w:rsid w:val="001B2230"/>
    <w:rsid w:val="001B29C0"/>
    <w:rsid w:val="001B2C15"/>
    <w:rsid w:val="001B41B2"/>
    <w:rsid w:val="001B4AC7"/>
    <w:rsid w:val="001B60D9"/>
    <w:rsid w:val="001B79C8"/>
    <w:rsid w:val="001C05B0"/>
    <w:rsid w:val="001C12DD"/>
    <w:rsid w:val="001C1459"/>
    <w:rsid w:val="001C195D"/>
    <w:rsid w:val="001C1C46"/>
    <w:rsid w:val="001C2325"/>
    <w:rsid w:val="001C27EC"/>
    <w:rsid w:val="001C2D99"/>
    <w:rsid w:val="001C3CA1"/>
    <w:rsid w:val="001C6CA6"/>
    <w:rsid w:val="001C7B18"/>
    <w:rsid w:val="001D06A4"/>
    <w:rsid w:val="001D3CAD"/>
    <w:rsid w:val="001D5388"/>
    <w:rsid w:val="001D57E8"/>
    <w:rsid w:val="001D5A7A"/>
    <w:rsid w:val="001D611A"/>
    <w:rsid w:val="001D672B"/>
    <w:rsid w:val="001E239E"/>
    <w:rsid w:val="001E2978"/>
    <w:rsid w:val="001E3331"/>
    <w:rsid w:val="001E37EA"/>
    <w:rsid w:val="001E408F"/>
    <w:rsid w:val="001E5C44"/>
    <w:rsid w:val="001E69E0"/>
    <w:rsid w:val="001E6C5C"/>
    <w:rsid w:val="001E71B5"/>
    <w:rsid w:val="001F2324"/>
    <w:rsid w:val="001F3913"/>
    <w:rsid w:val="001F5030"/>
    <w:rsid w:val="001F6ECE"/>
    <w:rsid w:val="001F7048"/>
    <w:rsid w:val="001F7629"/>
    <w:rsid w:val="00200E3A"/>
    <w:rsid w:val="002027BF"/>
    <w:rsid w:val="00202A75"/>
    <w:rsid w:val="00203FD0"/>
    <w:rsid w:val="0020455F"/>
    <w:rsid w:val="0020517B"/>
    <w:rsid w:val="0020526D"/>
    <w:rsid w:val="00205B12"/>
    <w:rsid w:val="00207C57"/>
    <w:rsid w:val="0021008D"/>
    <w:rsid w:val="002109AC"/>
    <w:rsid w:val="00210EFD"/>
    <w:rsid w:val="00211AB8"/>
    <w:rsid w:val="0021327C"/>
    <w:rsid w:val="00215629"/>
    <w:rsid w:val="00216C2A"/>
    <w:rsid w:val="0021779A"/>
    <w:rsid w:val="002177A8"/>
    <w:rsid w:val="00217FA6"/>
    <w:rsid w:val="002200DF"/>
    <w:rsid w:val="00220163"/>
    <w:rsid w:val="002204AF"/>
    <w:rsid w:val="002212A3"/>
    <w:rsid w:val="00221A0C"/>
    <w:rsid w:val="00221C9B"/>
    <w:rsid w:val="0022241E"/>
    <w:rsid w:val="00222999"/>
    <w:rsid w:val="00222B12"/>
    <w:rsid w:val="00223678"/>
    <w:rsid w:val="00223BB7"/>
    <w:rsid w:val="002242B5"/>
    <w:rsid w:val="00224408"/>
    <w:rsid w:val="002244E9"/>
    <w:rsid w:val="00226375"/>
    <w:rsid w:val="002307B5"/>
    <w:rsid w:val="002319A6"/>
    <w:rsid w:val="00231C2D"/>
    <w:rsid w:val="002321E0"/>
    <w:rsid w:val="00233FFC"/>
    <w:rsid w:val="002366F2"/>
    <w:rsid w:val="0023697B"/>
    <w:rsid w:val="00245D25"/>
    <w:rsid w:val="00245F9E"/>
    <w:rsid w:val="002470A6"/>
    <w:rsid w:val="0024717A"/>
    <w:rsid w:val="00247634"/>
    <w:rsid w:val="00247BEC"/>
    <w:rsid w:val="002508C7"/>
    <w:rsid w:val="00251E2E"/>
    <w:rsid w:val="0025276F"/>
    <w:rsid w:val="002531CD"/>
    <w:rsid w:val="002537E2"/>
    <w:rsid w:val="00253C7E"/>
    <w:rsid w:val="00254B86"/>
    <w:rsid w:val="00260299"/>
    <w:rsid w:val="00260CBF"/>
    <w:rsid w:val="0026160F"/>
    <w:rsid w:val="002619C4"/>
    <w:rsid w:val="00265430"/>
    <w:rsid w:val="002656FA"/>
    <w:rsid w:val="00265B99"/>
    <w:rsid w:val="00266F43"/>
    <w:rsid w:val="002725DC"/>
    <w:rsid w:val="00274BFB"/>
    <w:rsid w:val="00276B37"/>
    <w:rsid w:val="00281566"/>
    <w:rsid w:val="00281E3F"/>
    <w:rsid w:val="00282579"/>
    <w:rsid w:val="00283C45"/>
    <w:rsid w:val="00291645"/>
    <w:rsid w:val="00292490"/>
    <w:rsid w:val="00294398"/>
    <w:rsid w:val="002955AB"/>
    <w:rsid w:val="00296622"/>
    <w:rsid w:val="002972FD"/>
    <w:rsid w:val="0029791E"/>
    <w:rsid w:val="002A018D"/>
    <w:rsid w:val="002A0E71"/>
    <w:rsid w:val="002A1220"/>
    <w:rsid w:val="002A24B6"/>
    <w:rsid w:val="002A29B7"/>
    <w:rsid w:val="002A4AF4"/>
    <w:rsid w:val="002A4E57"/>
    <w:rsid w:val="002A75B6"/>
    <w:rsid w:val="002A7AEE"/>
    <w:rsid w:val="002B05EA"/>
    <w:rsid w:val="002B0F2F"/>
    <w:rsid w:val="002B134C"/>
    <w:rsid w:val="002B13DD"/>
    <w:rsid w:val="002B1DA2"/>
    <w:rsid w:val="002B67F0"/>
    <w:rsid w:val="002B7281"/>
    <w:rsid w:val="002C62FC"/>
    <w:rsid w:val="002C77AC"/>
    <w:rsid w:val="002C79DA"/>
    <w:rsid w:val="002D0EE5"/>
    <w:rsid w:val="002D0F8F"/>
    <w:rsid w:val="002D1896"/>
    <w:rsid w:val="002D5C90"/>
    <w:rsid w:val="002D6B15"/>
    <w:rsid w:val="002D6B2D"/>
    <w:rsid w:val="002E0329"/>
    <w:rsid w:val="002E0882"/>
    <w:rsid w:val="002E0D08"/>
    <w:rsid w:val="002E170F"/>
    <w:rsid w:val="002E1B94"/>
    <w:rsid w:val="002E228D"/>
    <w:rsid w:val="002E264F"/>
    <w:rsid w:val="002E2FFA"/>
    <w:rsid w:val="002E4094"/>
    <w:rsid w:val="002E5209"/>
    <w:rsid w:val="002E633F"/>
    <w:rsid w:val="002E7930"/>
    <w:rsid w:val="002F16D7"/>
    <w:rsid w:val="002F1D35"/>
    <w:rsid w:val="002F25C4"/>
    <w:rsid w:val="002F3F64"/>
    <w:rsid w:val="002F7996"/>
    <w:rsid w:val="00300C5B"/>
    <w:rsid w:val="00300C97"/>
    <w:rsid w:val="0030271A"/>
    <w:rsid w:val="00302EC5"/>
    <w:rsid w:val="00303174"/>
    <w:rsid w:val="003031A0"/>
    <w:rsid w:val="00303D1A"/>
    <w:rsid w:val="0030499C"/>
    <w:rsid w:val="00305552"/>
    <w:rsid w:val="003067B1"/>
    <w:rsid w:val="003067D8"/>
    <w:rsid w:val="003075D2"/>
    <w:rsid w:val="00307EE3"/>
    <w:rsid w:val="00310DF8"/>
    <w:rsid w:val="003138E4"/>
    <w:rsid w:val="003140D2"/>
    <w:rsid w:val="0031438B"/>
    <w:rsid w:val="00314C7A"/>
    <w:rsid w:val="00315387"/>
    <w:rsid w:val="003203B4"/>
    <w:rsid w:val="0032111D"/>
    <w:rsid w:val="003213E9"/>
    <w:rsid w:val="00321AFF"/>
    <w:rsid w:val="0032279B"/>
    <w:rsid w:val="00325B17"/>
    <w:rsid w:val="00326D51"/>
    <w:rsid w:val="003326A2"/>
    <w:rsid w:val="00333B73"/>
    <w:rsid w:val="00334B27"/>
    <w:rsid w:val="003355BC"/>
    <w:rsid w:val="00335CB5"/>
    <w:rsid w:val="0033669F"/>
    <w:rsid w:val="00337678"/>
    <w:rsid w:val="00340996"/>
    <w:rsid w:val="003469C5"/>
    <w:rsid w:val="00346B4D"/>
    <w:rsid w:val="003501F2"/>
    <w:rsid w:val="00350A5D"/>
    <w:rsid w:val="00350F5C"/>
    <w:rsid w:val="00352123"/>
    <w:rsid w:val="00353A5B"/>
    <w:rsid w:val="00353AEE"/>
    <w:rsid w:val="00355D3E"/>
    <w:rsid w:val="00357ED7"/>
    <w:rsid w:val="00360127"/>
    <w:rsid w:val="003604E0"/>
    <w:rsid w:val="0036086E"/>
    <w:rsid w:val="00360DBE"/>
    <w:rsid w:val="00361451"/>
    <w:rsid w:val="00364E46"/>
    <w:rsid w:val="0036513F"/>
    <w:rsid w:val="00365463"/>
    <w:rsid w:val="00366AB6"/>
    <w:rsid w:val="003670DD"/>
    <w:rsid w:val="003705E2"/>
    <w:rsid w:val="003707B7"/>
    <w:rsid w:val="00371203"/>
    <w:rsid w:val="00373277"/>
    <w:rsid w:val="00373462"/>
    <w:rsid w:val="00374B44"/>
    <w:rsid w:val="0037696A"/>
    <w:rsid w:val="00377538"/>
    <w:rsid w:val="00381479"/>
    <w:rsid w:val="003818B0"/>
    <w:rsid w:val="003822B1"/>
    <w:rsid w:val="00383121"/>
    <w:rsid w:val="00384B80"/>
    <w:rsid w:val="0038627C"/>
    <w:rsid w:val="003872BA"/>
    <w:rsid w:val="00387440"/>
    <w:rsid w:val="003879CA"/>
    <w:rsid w:val="00387E6B"/>
    <w:rsid w:val="00390234"/>
    <w:rsid w:val="00390564"/>
    <w:rsid w:val="00390AAD"/>
    <w:rsid w:val="00390D8C"/>
    <w:rsid w:val="00392F11"/>
    <w:rsid w:val="00394734"/>
    <w:rsid w:val="00394C62"/>
    <w:rsid w:val="00395304"/>
    <w:rsid w:val="00397F13"/>
    <w:rsid w:val="003A1386"/>
    <w:rsid w:val="003A16C7"/>
    <w:rsid w:val="003A2485"/>
    <w:rsid w:val="003A3A1E"/>
    <w:rsid w:val="003A4490"/>
    <w:rsid w:val="003A4FD4"/>
    <w:rsid w:val="003B0722"/>
    <w:rsid w:val="003B55F5"/>
    <w:rsid w:val="003C1DBF"/>
    <w:rsid w:val="003C4749"/>
    <w:rsid w:val="003C5CC2"/>
    <w:rsid w:val="003C65EB"/>
    <w:rsid w:val="003C6C33"/>
    <w:rsid w:val="003D00E1"/>
    <w:rsid w:val="003D18BB"/>
    <w:rsid w:val="003D2A4A"/>
    <w:rsid w:val="003D2CF3"/>
    <w:rsid w:val="003D3372"/>
    <w:rsid w:val="003D589A"/>
    <w:rsid w:val="003D6936"/>
    <w:rsid w:val="003D7599"/>
    <w:rsid w:val="003E0AA0"/>
    <w:rsid w:val="003E2545"/>
    <w:rsid w:val="003F1CA0"/>
    <w:rsid w:val="003F1E26"/>
    <w:rsid w:val="003F362E"/>
    <w:rsid w:val="003F4482"/>
    <w:rsid w:val="003F5962"/>
    <w:rsid w:val="003F5B24"/>
    <w:rsid w:val="003F6291"/>
    <w:rsid w:val="003F6468"/>
    <w:rsid w:val="003F763B"/>
    <w:rsid w:val="003F77C8"/>
    <w:rsid w:val="00400F40"/>
    <w:rsid w:val="0040137A"/>
    <w:rsid w:val="00403AFC"/>
    <w:rsid w:val="004049C3"/>
    <w:rsid w:val="00404ADB"/>
    <w:rsid w:val="00405A9F"/>
    <w:rsid w:val="0041147B"/>
    <w:rsid w:val="00413896"/>
    <w:rsid w:val="0041393B"/>
    <w:rsid w:val="00413A8B"/>
    <w:rsid w:val="00414A6E"/>
    <w:rsid w:val="00416111"/>
    <w:rsid w:val="00416F64"/>
    <w:rsid w:val="0042013D"/>
    <w:rsid w:val="004213BA"/>
    <w:rsid w:val="00422343"/>
    <w:rsid w:val="00424C98"/>
    <w:rsid w:val="00425B65"/>
    <w:rsid w:val="00427DFD"/>
    <w:rsid w:val="00427F26"/>
    <w:rsid w:val="00430135"/>
    <w:rsid w:val="0043275E"/>
    <w:rsid w:val="0043431A"/>
    <w:rsid w:val="004372B3"/>
    <w:rsid w:val="0044250B"/>
    <w:rsid w:val="0044325F"/>
    <w:rsid w:val="0044451F"/>
    <w:rsid w:val="004455EA"/>
    <w:rsid w:val="00445938"/>
    <w:rsid w:val="00447D70"/>
    <w:rsid w:val="00450CDA"/>
    <w:rsid w:val="0045195E"/>
    <w:rsid w:val="00454B40"/>
    <w:rsid w:val="00455B8B"/>
    <w:rsid w:val="004562CB"/>
    <w:rsid w:val="00456696"/>
    <w:rsid w:val="004573FF"/>
    <w:rsid w:val="00460E2B"/>
    <w:rsid w:val="00462C5A"/>
    <w:rsid w:val="0046372B"/>
    <w:rsid w:val="00463F96"/>
    <w:rsid w:val="004666C0"/>
    <w:rsid w:val="00466C52"/>
    <w:rsid w:val="0046775B"/>
    <w:rsid w:val="004708BB"/>
    <w:rsid w:val="00470909"/>
    <w:rsid w:val="00472E4E"/>
    <w:rsid w:val="00474178"/>
    <w:rsid w:val="004758BB"/>
    <w:rsid w:val="0047666F"/>
    <w:rsid w:val="004775D6"/>
    <w:rsid w:val="0048048D"/>
    <w:rsid w:val="0048066E"/>
    <w:rsid w:val="00480B20"/>
    <w:rsid w:val="00481DD7"/>
    <w:rsid w:val="004827B4"/>
    <w:rsid w:val="00482903"/>
    <w:rsid w:val="004842DE"/>
    <w:rsid w:val="00484B54"/>
    <w:rsid w:val="00486162"/>
    <w:rsid w:val="004868A0"/>
    <w:rsid w:val="004868D7"/>
    <w:rsid w:val="004902D5"/>
    <w:rsid w:val="004910F9"/>
    <w:rsid w:val="00491917"/>
    <w:rsid w:val="0049211C"/>
    <w:rsid w:val="004927FE"/>
    <w:rsid w:val="00494303"/>
    <w:rsid w:val="004946AC"/>
    <w:rsid w:val="00495879"/>
    <w:rsid w:val="0049621D"/>
    <w:rsid w:val="004A0074"/>
    <w:rsid w:val="004A14C7"/>
    <w:rsid w:val="004A1E18"/>
    <w:rsid w:val="004A53EC"/>
    <w:rsid w:val="004A65F0"/>
    <w:rsid w:val="004A67D7"/>
    <w:rsid w:val="004A7761"/>
    <w:rsid w:val="004A7B3B"/>
    <w:rsid w:val="004B09D6"/>
    <w:rsid w:val="004B26AA"/>
    <w:rsid w:val="004B39E1"/>
    <w:rsid w:val="004B3BE1"/>
    <w:rsid w:val="004B486E"/>
    <w:rsid w:val="004B4F0A"/>
    <w:rsid w:val="004B5743"/>
    <w:rsid w:val="004B5C29"/>
    <w:rsid w:val="004B731D"/>
    <w:rsid w:val="004B76E1"/>
    <w:rsid w:val="004B7EF6"/>
    <w:rsid w:val="004C0EED"/>
    <w:rsid w:val="004C12FE"/>
    <w:rsid w:val="004C2E6C"/>
    <w:rsid w:val="004C479D"/>
    <w:rsid w:val="004C4C35"/>
    <w:rsid w:val="004C52CD"/>
    <w:rsid w:val="004C6D5D"/>
    <w:rsid w:val="004D232D"/>
    <w:rsid w:val="004D2856"/>
    <w:rsid w:val="004D2EEB"/>
    <w:rsid w:val="004D313D"/>
    <w:rsid w:val="004D4598"/>
    <w:rsid w:val="004D48F4"/>
    <w:rsid w:val="004D5804"/>
    <w:rsid w:val="004D5F34"/>
    <w:rsid w:val="004D6D86"/>
    <w:rsid w:val="004E1098"/>
    <w:rsid w:val="004E16FC"/>
    <w:rsid w:val="004E1A4D"/>
    <w:rsid w:val="004E28BE"/>
    <w:rsid w:val="004E3866"/>
    <w:rsid w:val="004E3B9D"/>
    <w:rsid w:val="004E468A"/>
    <w:rsid w:val="004E4F04"/>
    <w:rsid w:val="004E5380"/>
    <w:rsid w:val="004E7375"/>
    <w:rsid w:val="004E79F2"/>
    <w:rsid w:val="004F108D"/>
    <w:rsid w:val="004F21CF"/>
    <w:rsid w:val="004F3BA3"/>
    <w:rsid w:val="004F40DB"/>
    <w:rsid w:val="004F5536"/>
    <w:rsid w:val="004F6387"/>
    <w:rsid w:val="004F6636"/>
    <w:rsid w:val="004F66A5"/>
    <w:rsid w:val="004F6E5A"/>
    <w:rsid w:val="0050117C"/>
    <w:rsid w:val="00501C2B"/>
    <w:rsid w:val="00501E75"/>
    <w:rsid w:val="00502A11"/>
    <w:rsid w:val="00503768"/>
    <w:rsid w:val="00504749"/>
    <w:rsid w:val="0050572C"/>
    <w:rsid w:val="005059C4"/>
    <w:rsid w:val="00506CB6"/>
    <w:rsid w:val="00510A6E"/>
    <w:rsid w:val="00510AB1"/>
    <w:rsid w:val="00510EA7"/>
    <w:rsid w:val="005113AF"/>
    <w:rsid w:val="00516D30"/>
    <w:rsid w:val="00520532"/>
    <w:rsid w:val="00520BF4"/>
    <w:rsid w:val="0052136E"/>
    <w:rsid w:val="00521514"/>
    <w:rsid w:val="005220B1"/>
    <w:rsid w:val="0052229C"/>
    <w:rsid w:val="00522E1E"/>
    <w:rsid w:val="0052332A"/>
    <w:rsid w:val="00523C29"/>
    <w:rsid w:val="00533193"/>
    <w:rsid w:val="00533E73"/>
    <w:rsid w:val="00536442"/>
    <w:rsid w:val="00536DF4"/>
    <w:rsid w:val="00537388"/>
    <w:rsid w:val="00541FFF"/>
    <w:rsid w:val="0054263D"/>
    <w:rsid w:val="0054326E"/>
    <w:rsid w:val="00543966"/>
    <w:rsid w:val="00544740"/>
    <w:rsid w:val="00546585"/>
    <w:rsid w:val="0054658E"/>
    <w:rsid w:val="005510C7"/>
    <w:rsid w:val="00554C04"/>
    <w:rsid w:val="00554F57"/>
    <w:rsid w:val="00557362"/>
    <w:rsid w:val="00560290"/>
    <w:rsid w:val="00562029"/>
    <w:rsid w:val="00562A36"/>
    <w:rsid w:val="00566C6C"/>
    <w:rsid w:val="00566F44"/>
    <w:rsid w:val="00567041"/>
    <w:rsid w:val="00567A88"/>
    <w:rsid w:val="00571327"/>
    <w:rsid w:val="00571930"/>
    <w:rsid w:val="00573E68"/>
    <w:rsid w:val="00575A40"/>
    <w:rsid w:val="00576997"/>
    <w:rsid w:val="00576D56"/>
    <w:rsid w:val="00577D3B"/>
    <w:rsid w:val="00580960"/>
    <w:rsid w:val="00580C44"/>
    <w:rsid w:val="0058140D"/>
    <w:rsid w:val="00581A04"/>
    <w:rsid w:val="00581FFF"/>
    <w:rsid w:val="00584AFA"/>
    <w:rsid w:val="00584D37"/>
    <w:rsid w:val="00584F24"/>
    <w:rsid w:val="00587EF1"/>
    <w:rsid w:val="0059048D"/>
    <w:rsid w:val="00590FCE"/>
    <w:rsid w:val="005925F8"/>
    <w:rsid w:val="00593100"/>
    <w:rsid w:val="00593EB8"/>
    <w:rsid w:val="0059414B"/>
    <w:rsid w:val="00595091"/>
    <w:rsid w:val="005958AA"/>
    <w:rsid w:val="005A0BA6"/>
    <w:rsid w:val="005A139B"/>
    <w:rsid w:val="005A1F6A"/>
    <w:rsid w:val="005A2A2E"/>
    <w:rsid w:val="005A315D"/>
    <w:rsid w:val="005A5E12"/>
    <w:rsid w:val="005A5E77"/>
    <w:rsid w:val="005B1356"/>
    <w:rsid w:val="005B18A7"/>
    <w:rsid w:val="005B1B72"/>
    <w:rsid w:val="005B3D8D"/>
    <w:rsid w:val="005B4A59"/>
    <w:rsid w:val="005B5791"/>
    <w:rsid w:val="005C1070"/>
    <w:rsid w:val="005C268C"/>
    <w:rsid w:val="005C3BCF"/>
    <w:rsid w:val="005C3DE3"/>
    <w:rsid w:val="005C53C2"/>
    <w:rsid w:val="005C59DF"/>
    <w:rsid w:val="005C5B83"/>
    <w:rsid w:val="005C5EC9"/>
    <w:rsid w:val="005C60A7"/>
    <w:rsid w:val="005C7114"/>
    <w:rsid w:val="005D21EA"/>
    <w:rsid w:val="005D3608"/>
    <w:rsid w:val="005D4F4B"/>
    <w:rsid w:val="005D71DC"/>
    <w:rsid w:val="005D76D3"/>
    <w:rsid w:val="005E013B"/>
    <w:rsid w:val="005E103B"/>
    <w:rsid w:val="005E194F"/>
    <w:rsid w:val="005E262A"/>
    <w:rsid w:val="005E2D95"/>
    <w:rsid w:val="005E404D"/>
    <w:rsid w:val="005E4E8D"/>
    <w:rsid w:val="005F0122"/>
    <w:rsid w:val="005F07DC"/>
    <w:rsid w:val="005F112F"/>
    <w:rsid w:val="005F1D87"/>
    <w:rsid w:val="005F4A72"/>
    <w:rsid w:val="005F4B5A"/>
    <w:rsid w:val="005F672F"/>
    <w:rsid w:val="005F6E2C"/>
    <w:rsid w:val="005F76DB"/>
    <w:rsid w:val="00601110"/>
    <w:rsid w:val="00602DB2"/>
    <w:rsid w:val="006045EF"/>
    <w:rsid w:val="006056A6"/>
    <w:rsid w:val="0060665A"/>
    <w:rsid w:val="00606AFD"/>
    <w:rsid w:val="00606B49"/>
    <w:rsid w:val="00607CA2"/>
    <w:rsid w:val="0061067A"/>
    <w:rsid w:val="006114F9"/>
    <w:rsid w:val="00611AD1"/>
    <w:rsid w:val="0061256A"/>
    <w:rsid w:val="00614CC7"/>
    <w:rsid w:val="00620172"/>
    <w:rsid w:val="00620598"/>
    <w:rsid w:val="006229B4"/>
    <w:rsid w:val="00622B4A"/>
    <w:rsid w:val="00623968"/>
    <w:rsid w:val="00625496"/>
    <w:rsid w:val="006257A7"/>
    <w:rsid w:val="00627165"/>
    <w:rsid w:val="006275E4"/>
    <w:rsid w:val="00627AAA"/>
    <w:rsid w:val="006302CD"/>
    <w:rsid w:val="006309D5"/>
    <w:rsid w:val="00630A7E"/>
    <w:rsid w:val="006312A9"/>
    <w:rsid w:val="006317A0"/>
    <w:rsid w:val="006348D8"/>
    <w:rsid w:val="006408C8"/>
    <w:rsid w:val="00641EDA"/>
    <w:rsid w:val="00642FB4"/>
    <w:rsid w:val="00643440"/>
    <w:rsid w:val="006462C5"/>
    <w:rsid w:val="00650C02"/>
    <w:rsid w:val="00651107"/>
    <w:rsid w:val="00651C38"/>
    <w:rsid w:val="00653C19"/>
    <w:rsid w:val="00655D12"/>
    <w:rsid w:val="00656150"/>
    <w:rsid w:val="006615EF"/>
    <w:rsid w:val="00661709"/>
    <w:rsid w:val="00664BB1"/>
    <w:rsid w:val="00665ED9"/>
    <w:rsid w:val="00666899"/>
    <w:rsid w:val="00666B83"/>
    <w:rsid w:val="0067039E"/>
    <w:rsid w:val="006709F9"/>
    <w:rsid w:val="00671B60"/>
    <w:rsid w:val="0067367C"/>
    <w:rsid w:val="006739CF"/>
    <w:rsid w:val="00674D84"/>
    <w:rsid w:val="0067652E"/>
    <w:rsid w:val="00676556"/>
    <w:rsid w:val="00680AEA"/>
    <w:rsid w:val="0068174D"/>
    <w:rsid w:val="00682212"/>
    <w:rsid w:val="00682B09"/>
    <w:rsid w:val="00684668"/>
    <w:rsid w:val="0068510D"/>
    <w:rsid w:val="006853CD"/>
    <w:rsid w:val="0068672F"/>
    <w:rsid w:val="00686AC6"/>
    <w:rsid w:val="006874B7"/>
    <w:rsid w:val="006900FF"/>
    <w:rsid w:val="00690429"/>
    <w:rsid w:val="00690835"/>
    <w:rsid w:val="0069224E"/>
    <w:rsid w:val="0069286F"/>
    <w:rsid w:val="00693D7F"/>
    <w:rsid w:val="00696710"/>
    <w:rsid w:val="00696AED"/>
    <w:rsid w:val="00697B15"/>
    <w:rsid w:val="006A0BB2"/>
    <w:rsid w:val="006A228D"/>
    <w:rsid w:val="006A26AD"/>
    <w:rsid w:val="006A3C03"/>
    <w:rsid w:val="006A3D21"/>
    <w:rsid w:val="006A512C"/>
    <w:rsid w:val="006A7D7C"/>
    <w:rsid w:val="006A7EBB"/>
    <w:rsid w:val="006B0129"/>
    <w:rsid w:val="006B0B18"/>
    <w:rsid w:val="006B0B69"/>
    <w:rsid w:val="006B1FA1"/>
    <w:rsid w:val="006B2F37"/>
    <w:rsid w:val="006B486E"/>
    <w:rsid w:val="006B52FF"/>
    <w:rsid w:val="006B6871"/>
    <w:rsid w:val="006B69C3"/>
    <w:rsid w:val="006C0791"/>
    <w:rsid w:val="006C09FE"/>
    <w:rsid w:val="006C0C57"/>
    <w:rsid w:val="006C4F60"/>
    <w:rsid w:val="006C66D4"/>
    <w:rsid w:val="006C6D52"/>
    <w:rsid w:val="006D14FB"/>
    <w:rsid w:val="006D3EF7"/>
    <w:rsid w:val="006D4C6D"/>
    <w:rsid w:val="006D4C8E"/>
    <w:rsid w:val="006D55B4"/>
    <w:rsid w:val="006D57C3"/>
    <w:rsid w:val="006D5FA8"/>
    <w:rsid w:val="006D6B82"/>
    <w:rsid w:val="006E0E1B"/>
    <w:rsid w:val="006E4A0F"/>
    <w:rsid w:val="006E5119"/>
    <w:rsid w:val="006E5B4F"/>
    <w:rsid w:val="006E7A29"/>
    <w:rsid w:val="006F2652"/>
    <w:rsid w:val="006F361E"/>
    <w:rsid w:val="006F6411"/>
    <w:rsid w:val="006F6F04"/>
    <w:rsid w:val="006F7961"/>
    <w:rsid w:val="006F7A4B"/>
    <w:rsid w:val="007003AE"/>
    <w:rsid w:val="00700D1D"/>
    <w:rsid w:val="00701E57"/>
    <w:rsid w:val="00702520"/>
    <w:rsid w:val="0070325D"/>
    <w:rsid w:val="00704CB3"/>
    <w:rsid w:val="00705203"/>
    <w:rsid w:val="007057C9"/>
    <w:rsid w:val="00707456"/>
    <w:rsid w:val="00707575"/>
    <w:rsid w:val="007078EA"/>
    <w:rsid w:val="00710545"/>
    <w:rsid w:val="00710730"/>
    <w:rsid w:val="007107B4"/>
    <w:rsid w:val="00711B33"/>
    <w:rsid w:val="007127EF"/>
    <w:rsid w:val="00715DCA"/>
    <w:rsid w:val="007178AE"/>
    <w:rsid w:val="0072066C"/>
    <w:rsid w:val="00722C6A"/>
    <w:rsid w:val="00723A4C"/>
    <w:rsid w:val="00725647"/>
    <w:rsid w:val="00725BBC"/>
    <w:rsid w:val="00726AEB"/>
    <w:rsid w:val="00727156"/>
    <w:rsid w:val="0073099C"/>
    <w:rsid w:val="00730D75"/>
    <w:rsid w:val="00731A66"/>
    <w:rsid w:val="00732A15"/>
    <w:rsid w:val="007406DF"/>
    <w:rsid w:val="00740DAB"/>
    <w:rsid w:val="00741035"/>
    <w:rsid w:val="007410C8"/>
    <w:rsid w:val="007420F5"/>
    <w:rsid w:val="00742BA7"/>
    <w:rsid w:val="0074375F"/>
    <w:rsid w:val="00745203"/>
    <w:rsid w:val="00745856"/>
    <w:rsid w:val="007462ED"/>
    <w:rsid w:val="007465B7"/>
    <w:rsid w:val="00751788"/>
    <w:rsid w:val="007517EE"/>
    <w:rsid w:val="00751806"/>
    <w:rsid w:val="007522DD"/>
    <w:rsid w:val="00754112"/>
    <w:rsid w:val="00754779"/>
    <w:rsid w:val="00756252"/>
    <w:rsid w:val="00757DA0"/>
    <w:rsid w:val="00761195"/>
    <w:rsid w:val="007622FB"/>
    <w:rsid w:val="0076425E"/>
    <w:rsid w:val="007646A8"/>
    <w:rsid w:val="007662E5"/>
    <w:rsid w:val="00771C82"/>
    <w:rsid w:val="00772B23"/>
    <w:rsid w:val="007744C9"/>
    <w:rsid w:val="00775578"/>
    <w:rsid w:val="0077641A"/>
    <w:rsid w:val="007766D4"/>
    <w:rsid w:val="00776EC5"/>
    <w:rsid w:val="0077716B"/>
    <w:rsid w:val="00777753"/>
    <w:rsid w:val="00780952"/>
    <w:rsid w:val="00782F55"/>
    <w:rsid w:val="00783ABD"/>
    <w:rsid w:val="00783FA6"/>
    <w:rsid w:val="00785AC8"/>
    <w:rsid w:val="007869CE"/>
    <w:rsid w:val="00787258"/>
    <w:rsid w:val="0079487C"/>
    <w:rsid w:val="007949A5"/>
    <w:rsid w:val="00794B1D"/>
    <w:rsid w:val="007961BF"/>
    <w:rsid w:val="007963BE"/>
    <w:rsid w:val="007A0609"/>
    <w:rsid w:val="007A36BE"/>
    <w:rsid w:val="007A4718"/>
    <w:rsid w:val="007A6BDA"/>
    <w:rsid w:val="007A7883"/>
    <w:rsid w:val="007A7DF0"/>
    <w:rsid w:val="007B0EDE"/>
    <w:rsid w:val="007B238F"/>
    <w:rsid w:val="007B46F8"/>
    <w:rsid w:val="007B630D"/>
    <w:rsid w:val="007B7DB9"/>
    <w:rsid w:val="007C05D1"/>
    <w:rsid w:val="007C0AE6"/>
    <w:rsid w:val="007C2813"/>
    <w:rsid w:val="007C318B"/>
    <w:rsid w:val="007C358A"/>
    <w:rsid w:val="007C4BED"/>
    <w:rsid w:val="007C4C3B"/>
    <w:rsid w:val="007C6D53"/>
    <w:rsid w:val="007C736F"/>
    <w:rsid w:val="007D1A1A"/>
    <w:rsid w:val="007D1AD3"/>
    <w:rsid w:val="007D1E34"/>
    <w:rsid w:val="007D3EFA"/>
    <w:rsid w:val="007D5233"/>
    <w:rsid w:val="007D52C7"/>
    <w:rsid w:val="007D533E"/>
    <w:rsid w:val="007D73AE"/>
    <w:rsid w:val="007E0EA5"/>
    <w:rsid w:val="007E1266"/>
    <w:rsid w:val="007E1996"/>
    <w:rsid w:val="007E1FA5"/>
    <w:rsid w:val="007E2266"/>
    <w:rsid w:val="007E23D5"/>
    <w:rsid w:val="007E2FD4"/>
    <w:rsid w:val="007E7437"/>
    <w:rsid w:val="007E7B67"/>
    <w:rsid w:val="007F270F"/>
    <w:rsid w:val="007F3274"/>
    <w:rsid w:val="007F3678"/>
    <w:rsid w:val="007F37A2"/>
    <w:rsid w:val="007F384C"/>
    <w:rsid w:val="007F3BC1"/>
    <w:rsid w:val="007F4175"/>
    <w:rsid w:val="007F51A7"/>
    <w:rsid w:val="007F5C43"/>
    <w:rsid w:val="007F6D3B"/>
    <w:rsid w:val="007F72BA"/>
    <w:rsid w:val="00800154"/>
    <w:rsid w:val="00800417"/>
    <w:rsid w:val="00800C47"/>
    <w:rsid w:val="008010F6"/>
    <w:rsid w:val="00801168"/>
    <w:rsid w:val="008023B1"/>
    <w:rsid w:val="00803F15"/>
    <w:rsid w:val="00804143"/>
    <w:rsid w:val="008054E0"/>
    <w:rsid w:val="00805A2A"/>
    <w:rsid w:val="00807808"/>
    <w:rsid w:val="008078E6"/>
    <w:rsid w:val="00810500"/>
    <w:rsid w:val="00810747"/>
    <w:rsid w:val="0081204A"/>
    <w:rsid w:val="0081227F"/>
    <w:rsid w:val="0081290A"/>
    <w:rsid w:val="0081292F"/>
    <w:rsid w:val="008149CD"/>
    <w:rsid w:val="00814D22"/>
    <w:rsid w:val="00815E80"/>
    <w:rsid w:val="008160A5"/>
    <w:rsid w:val="00820A00"/>
    <w:rsid w:val="00820BC0"/>
    <w:rsid w:val="0082159E"/>
    <w:rsid w:val="008216CA"/>
    <w:rsid w:val="008218BC"/>
    <w:rsid w:val="008235E0"/>
    <w:rsid w:val="00823D60"/>
    <w:rsid w:val="008243A9"/>
    <w:rsid w:val="00825807"/>
    <w:rsid w:val="00826676"/>
    <w:rsid w:val="00827667"/>
    <w:rsid w:val="0082782E"/>
    <w:rsid w:val="0083064E"/>
    <w:rsid w:val="00830D7C"/>
    <w:rsid w:val="00833340"/>
    <w:rsid w:val="008334C0"/>
    <w:rsid w:val="00833ECA"/>
    <w:rsid w:val="0083497D"/>
    <w:rsid w:val="008353F7"/>
    <w:rsid w:val="00835678"/>
    <w:rsid w:val="00835988"/>
    <w:rsid w:val="00835A22"/>
    <w:rsid w:val="008361EB"/>
    <w:rsid w:val="008413D9"/>
    <w:rsid w:val="00841A9B"/>
    <w:rsid w:val="00842130"/>
    <w:rsid w:val="00842384"/>
    <w:rsid w:val="00842F98"/>
    <w:rsid w:val="008444C6"/>
    <w:rsid w:val="00844961"/>
    <w:rsid w:val="00844AB2"/>
    <w:rsid w:val="00845C3F"/>
    <w:rsid w:val="00845C45"/>
    <w:rsid w:val="00846003"/>
    <w:rsid w:val="00847649"/>
    <w:rsid w:val="00847AB5"/>
    <w:rsid w:val="00850557"/>
    <w:rsid w:val="00852460"/>
    <w:rsid w:val="00852725"/>
    <w:rsid w:val="00853D49"/>
    <w:rsid w:val="00856C57"/>
    <w:rsid w:val="00856FC4"/>
    <w:rsid w:val="0085786D"/>
    <w:rsid w:val="00860000"/>
    <w:rsid w:val="00860691"/>
    <w:rsid w:val="008615E2"/>
    <w:rsid w:val="008619A8"/>
    <w:rsid w:val="00862C7C"/>
    <w:rsid w:val="0086366D"/>
    <w:rsid w:val="00863B6B"/>
    <w:rsid w:val="00863F65"/>
    <w:rsid w:val="008662EE"/>
    <w:rsid w:val="00866805"/>
    <w:rsid w:val="00867C9D"/>
    <w:rsid w:val="00872376"/>
    <w:rsid w:val="008827D6"/>
    <w:rsid w:val="00884498"/>
    <w:rsid w:val="00885130"/>
    <w:rsid w:val="00885799"/>
    <w:rsid w:val="00885A4A"/>
    <w:rsid w:val="008871FF"/>
    <w:rsid w:val="00887FF8"/>
    <w:rsid w:val="00890B7E"/>
    <w:rsid w:val="00891DEF"/>
    <w:rsid w:val="00893874"/>
    <w:rsid w:val="00893C20"/>
    <w:rsid w:val="00894B4C"/>
    <w:rsid w:val="00894BFF"/>
    <w:rsid w:val="008954F1"/>
    <w:rsid w:val="00895D9E"/>
    <w:rsid w:val="008971F7"/>
    <w:rsid w:val="00897E66"/>
    <w:rsid w:val="008A0A12"/>
    <w:rsid w:val="008A19F3"/>
    <w:rsid w:val="008A1DBF"/>
    <w:rsid w:val="008A4ACB"/>
    <w:rsid w:val="008A6062"/>
    <w:rsid w:val="008A7B75"/>
    <w:rsid w:val="008B0004"/>
    <w:rsid w:val="008B0CC5"/>
    <w:rsid w:val="008B1637"/>
    <w:rsid w:val="008B17B8"/>
    <w:rsid w:val="008B1B15"/>
    <w:rsid w:val="008B27A8"/>
    <w:rsid w:val="008B3A0F"/>
    <w:rsid w:val="008B6859"/>
    <w:rsid w:val="008C05E9"/>
    <w:rsid w:val="008C0948"/>
    <w:rsid w:val="008C0D38"/>
    <w:rsid w:val="008C0FFB"/>
    <w:rsid w:val="008C3BCD"/>
    <w:rsid w:val="008C544D"/>
    <w:rsid w:val="008C6407"/>
    <w:rsid w:val="008C7572"/>
    <w:rsid w:val="008C7829"/>
    <w:rsid w:val="008D02F8"/>
    <w:rsid w:val="008D03D7"/>
    <w:rsid w:val="008D07FD"/>
    <w:rsid w:val="008D114F"/>
    <w:rsid w:val="008D1E9A"/>
    <w:rsid w:val="008D3AE4"/>
    <w:rsid w:val="008D6ACA"/>
    <w:rsid w:val="008D7119"/>
    <w:rsid w:val="008E0695"/>
    <w:rsid w:val="008E0E0F"/>
    <w:rsid w:val="008E270C"/>
    <w:rsid w:val="008E5BCB"/>
    <w:rsid w:val="008E61EB"/>
    <w:rsid w:val="008E6522"/>
    <w:rsid w:val="008E7176"/>
    <w:rsid w:val="008F15D4"/>
    <w:rsid w:val="008F55A5"/>
    <w:rsid w:val="008F68B6"/>
    <w:rsid w:val="008F761B"/>
    <w:rsid w:val="00900D9F"/>
    <w:rsid w:val="0090138F"/>
    <w:rsid w:val="0090198C"/>
    <w:rsid w:val="00901E0B"/>
    <w:rsid w:val="00903D37"/>
    <w:rsid w:val="0090445D"/>
    <w:rsid w:val="00905BF7"/>
    <w:rsid w:val="00906172"/>
    <w:rsid w:val="00906C2D"/>
    <w:rsid w:val="0090706A"/>
    <w:rsid w:val="00907574"/>
    <w:rsid w:val="00910669"/>
    <w:rsid w:val="009121DE"/>
    <w:rsid w:val="00912DAF"/>
    <w:rsid w:val="009130C8"/>
    <w:rsid w:val="00915C58"/>
    <w:rsid w:val="00916FCD"/>
    <w:rsid w:val="00917A77"/>
    <w:rsid w:val="00921563"/>
    <w:rsid w:val="00922CCF"/>
    <w:rsid w:val="00923C92"/>
    <w:rsid w:val="009269CF"/>
    <w:rsid w:val="00926C37"/>
    <w:rsid w:val="00926EBE"/>
    <w:rsid w:val="00927D7F"/>
    <w:rsid w:val="009328E0"/>
    <w:rsid w:val="00933E55"/>
    <w:rsid w:val="00934D0C"/>
    <w:rsid w:val="0093564B"/>
    <w:rsid w:val="00936280"/>
    <w:rsid w:val="00936E16"/>
    <w:rsid w:val="0093720A"/>
    <w:rsid w:val="0093725C"/>
    <w:rsid w:val="00940686"/>
    <w:rsid w:val="00942CA1"/>
    <w:rsid w:val="00947B73"/>
    <w:rsid w:val="00951429"/>
    <w:rsid w:val="0095273A"/>
    <w:rsid w:val="00952F88"/>
    <w:rsid w:val="0095371C"/>
    <w:rsid w:val="00954162"/>
    <w:rsid w:val="00954640"/>
    <w:rsid w:val="00956440"/>
    <w:rsid w:val="00956E05"/>
    <w:rsid w:val="00961FCA"/>
    <w:rsid w:val="009634A4"/>
    <w:rsid w:val="00963D02"/>
    <w:rsid w:val="0096595D"/>
    <w:rsid w:val="00965C6B"/>
    <w:rsid w:val="00966151"/>
    <w:rsid w:val="00966DA4"/>
    <w:rsid w:val="0096710C"/>
    <w:rsid w:val="00967DE0"/>
    <w:rsid w:val="00972981"/>
    <w:rsid w:val="00972E30"/>
    <w:rsid w:val="00973C49"/>
    <w:rsid w:val="00974644"/>
    <w:rsid w:val="00975D0A"/>
    <w:rsid w:val="00976B2F"/>
    <w:rsid w:val="00980629"/>
    <w:rsid w:val="00982187"/>
    <w:rsid w:val="00983A4F"/>
    <w:rsid w:val="00984DDD"/>
    <w:rsid w:val="009860DD"/>
    <w:rsid w:val="00986A90"/>
    <w:rsid w:val="00986FB6"/>
    <w:rsid w:val="009936AB"/>
    <w:rsid w:val="00993BEE"/>
    <w:rsid w:val="00993E64"/>
    <w:rsid w:val="00994CD5"/>
    <w:rsid w:val="0099538A"/>
    <w:rsid w:val="0099538B"/>
    <w:rsid w:val="0099546F"/>
    <w:rsid w:val="00995942"/>
    <w:rsid w:val="00996059"/>
    <w:rsid w:val="009969E6"/>
    <w:rsid w:val="00996E63"/>
    <w:rsid w:val="0099782B"/>
    <w:rsid w:val="009A09A3"/>
    <w:rsid w:val="009A3482"/>
    <w:rsid w:val="009A4A23"/>
    <w:rsid w:val="009A50F4"/>
    <w:rsid w:val="009A7E3C"/>
    <w:rsid w:val="009B15C1"/>
    <w:rsid w:val="009B182A"/>
    <w:rsid w:val="009B26D5"/>
    <w:rsid w:val="009B2BE1"/>
    <w:rsid w:val="009B5519"/>
    <w:rsid w:val="009B70D4"/>
    <w:rsid w:val="009B778B"/>
    <w:rsid w:val="009B7A1F"/>
    <w:rsid w:val="009B7D82"/>
    <w:rsid w:val="009C0A72"/>
    <w:rsid w:val="009C2BC3"/>
    <w:rsid w:val="009C37ED"/>
    <w:rsid w:val="009C38F0"/>
    <w:rsid w:val="009C4898"/>
    <w:rsid w:val="009C4FFD"/>
    <w:rsid w:val="009C552E"/>
    <w:rsid w:val="009C6059"/>
    <w:rsid w:val="009C7490"/>
    <w:rsid w:val="009C7CE6"/>
    <w:rsid w:val="009D00F4"/>
    <w:rsid w:val="009D0D63"/>
    <w:rsid w:val="009D1F3C"/>
    <w:rsid w:val="009D3C72"/>
    <w:rsid w:val="009D7BF5"/>
    <w:rsid w:val="009E0582"/>
    <w:rsid w:val="009E15DD"/>
    <w:rsid w:val="009E25AB"/>
    <w:rsid w:val="009E2662"/>
    <w:rsid w:val="009E3F04"/>
    <w:rsid w:val="009E6122"/>
    <w:rsid w:val="009F122B"/>
    <w:rsid w:val="009F209B"/>
    <w:rsid w:val="009F49FB"/>
    <w:rsid w:val="009F4A3B"/>
    <w:rsid w:val="009F54BD"/>
    <w:rsid w:val="009F6753"/>
    <w:rsid w:val="009F6A12"/>
    <w:rsid w:val="00A0057B"/>
    <w:rsid w:val="00A00C0F"/>
    <w:rsid w:val="00A00E09"/>
    <w:rsid w:val="00A00F92"/>
    <w:rsid w:val="00A02E8D"/>
    <w:rsid w:val="00A02ED6"/>
    <w:rsid w:val="00A030D1"/>
    <w:rsid w:val="00A03F19"/>
    <w:rsid w:val="00A060D1"/>
    <w:rsid w:val="00A0667E"/>
    <w:rsid w:val="00A068BB"/>
    <w:rsid w:val="00A06A3B"/>
    <w:rsid w:val="00A06A68"/>
    <w:rsid w:val="00A07A72"/>
    <w:rsid w:val="00A109EE"/>
    <w:rsid w:val="00A12520"/>
    <w:rsid w:val="00A12964"/>
    <w:rsid w:val="00A149CB"/>
    <w:rsid w:val="00A14D97"/>
    <w:rsid w:val="00A155DE"/>
    <w:rsid w:val="00A1592F"/>
    <w:rsid w:val="00A2017D"/>
    <w:rsid w:val="00A20E2F"/>
    <w:rsid w:val="00A218A1"/>
    <w:rsid w:val="00A22FC4"/>
    <w:rsid w:val="00A23162"/>
    <w:rsid w:val="00A240D4"/>
    <w:rsid w:val="00A260C2"/>
    <w:rsid w:val="00A26D67"/>
    <w:rsid w:val="00A32F42"/>
    <w:rsid w:val="00A3347A"/>
    <w:rsid w:val="00A337E5"/>
    <w:rsid w:val="00A33B27"/>
    <w:rsid w:val="00A33D28"/>
    <w:rsid w:val="00A33E47"/>
    <w:rsid w:val="00A34BE1"/>
    <w:rsid w:val="00A371A3"/>
    <w:rsid w:val="00A37CF1"/>
    <w:rsid w:val="00A414D6"/>
    <w:rsid w:val="00A41A7A"/>
    <w:rsid w:val="00A44A0E"/>
    <w:rsid w:val="00A50946"/>
    <w:rsid w:val="00A5233A"/>
    <w:rsid w:val="00A5289C"/>
    <w:rsid w:val="00A5399E"/>
    <w:rsid w:val="00A54D83"/>
    <w:rsid w:val="00A5535E"/>
    <w:rsid w:val="00A55DA5"/>
    <w:rsid w:val="00A565B3"/>
    <w:rsid w:val="00A569D8"/>
    <w:rsid w:val="00A57EFB"/>
    <w:rsid w:val="00A60394"/>
    <w:rsid w:val="00A60441"/>
    <w:rsid w:val="00A6181F"/>
    <w:rsid w:val="00A61DF7"/>
    <w:rsid w:val="00A64791"/>
    <w:rsid w:val="00A648F7"/>
    <w:rsid w:val="00A649D0"/>
    <w:rsid w:val="00A66370"/>
    <w:rsid w:val="00A66F48"/>
    <w:rsid w:val="00A67CD5"/>
    <w:rsid w:val="00A67EB1"/>
    <w:rsid w:val="00A67FA2"/>
    <w:rsid w:val="00A704F0"/>
    <w:rsid w:val="00A70F91"/>
    <w:rsid w:val="00A725E5"/>
    <w:rsid w:val="00A72DAC"/>
    <w:rsid w:val="00A739CF"/>
    <w:rsid w:val="00A74331"/>
    <w:rsid w:val="00A75359"/>
    <w:rsid w:val="00A80732"/>
    <w:rsid w:val="00A82EDA"/>
    <w:rsid w:val="00A834D1"/>
    <w:rsid w:val="00A8407D"/>
    <w:rsid w:val="00A85062"/>
    <w:rsid w:val="00A853B3"/>
    <w:rsid w:val="00A87656"/>
    <w:rsid w:val="00A879FB"/>
    <w:rsid w:val="00A925D6"/>
    <w:rsid w:val="00A9430C"/>
    <w:rsid w:val="00A94D59"/>
    <w:rsid w:val="00A954D1"/>
    <w:rsid w:val="00A95907"/>
    <w:rsid w:val="00A95C47"/>
    <w:rsid w:val="00A962D1"/>
    <w:rsid w:val="00A9661B"/>
    <w:rsid w:val="00A977CD"/>
    <w:rsid w:val="00AA043E"/>
    <w:rsid w:val="00AA20B5"/>
    <w:rsid w:val="00AA36A2"/>
    <w:rsid w:val="00AA41C9"/>
    <w:rsid w:val="00AA5A0B"/>
    <w:rsid w:val="00AA5F29"/>
    <w:rsid w:val="00AA7E69"/>
    <w:rsid w:val="00AB053F"/>
    <w:rsid w:val="00AB0917"/>
    <w:rsid w:val="00AB0BD2"/>
    <w:rsid w:val="00AB0C8C"/>
    <w:rsid w:val="00AB2028"/>
    <w:rsid w:val="00AB2947"/>
    <w:rsid w:val="00AB29B8"/>
    <w:rsid w:val="00AB3A90"/>
    <w:rsid w:val="00AB56DD"/>
    <w:rsid w:val="00AB58E0"/>
    <w:rsid w:val="00AB5BD6"/>
    <w:rsid w:val="00AB63AE"/>
    <w:rsid w:val="00AB64BE"/>
    <w:rsid w:val="00AC335D"/>
    <w:rsid w:val="00AC3791"/>
    <w:rsid w:val="00AC4458"/>
    <w:rsid w:val="00AC59BD"/>
    <w:rsid w:val="00AC640F"/>
    <w:rsid w:val="00AC6738"/>
    <w:rsid w:val="00AD0E3D"/>
    <w:rsid w:val="00AD15B9"/>
    <w:rsid w:val="00AD37A3"/>
    <w:rsid w:val="00AD44BD"/>
    <w:rsid w:val="00AD4925"/>
    <w:rsid w:val="00AD748B"/>
    <w:rsid w:val="00AD7A13"/>
    <w:rsid w:val="00AE0E42"/>
    <w:rsid w:val="00AE13EB"/>
    <w:rsid w:val="00AE19DA"/>
    <w:rsid w:val="00AE1E7B"/>
    <w:rsid w:val="00AE4991"/>
    <w:rsid w:val="00AE6BE0"/>
    <w:rsid w:val="00AE7105"/>
    <w:rsid w:val="00AE73B6"/>
    <w:rsid w:val="00AE7CCA"/>
    <w:rsid w:val="00AF3ABB"/>
    <w:rsid w:val="00AF5927"/>
    <w:rsid w:val="00AF5D6C"/>
    <w:rsid w:val="00AF6050"/>
    <w:rsid w:val="00AF72F8"/>
    <w:rsid w:val="00AF7FE8"/>
    <w:rsid w:val="00B0015A"/>
    <w:rsid w:val="00B01C74"/>
    <w:rsid w:val="00B01D16"/>
    <w:rsid w:val="00B041E1"/>
    <w:rsid w:val="00B057A1"/>
    <w:rsid w:val="00B07AF9"/>
    <w:rsid w:val="00B11F27"/>
    <w:rsid w:val="00B12007"/>
    <w:rsid w:val="00B1252F"/>
    <w:rsid w:val="00B13FAC"/>
    <w:rsid w:val="00B140A8"/>
    <w:rsid w:val="00B145AC"/>
    <w:rsid w:val="00B146D6"/>
    <w:rsid w:val="00B15143"/>
    <w:rsid w:val="00B16B06"/>
    <w:rsid w:val="00B1769A"/>
    <w:rsid w:val="00B17FCE"/>
    <w:rsid w:val="00B206B2"/>
    <w:rsid w:val="00B2112C"/>
    <w:rsid w:val="00B222E4"/>
    <w:rsid w:val="00B27971"/>
    <w:rsid w:val="00B302BE"/>
    <w:rsid w:val="00B30FD5"/>
    <w:rsid w:val="00B422E7"/>
    <w:rsid w:val="00B44149"/>
    <w:rsid w:val="00B44DB5"/>
    <w:rsid w:val="00B44E5A"/>
    <w:rsid w:val="00B4641B"/>
    <w:rsid w:val="00B513B0"/>
    <w:rsid w:val="00B53A20"/>
    <w:rsid w:val="00B5425E"/>
    <w:rsid w:val="00B54578"/>
    <w:rsid w:val="00B549CD"/>
    <w:rsid w:val="00B55050"/>
    <w:rsid w:val="00B55AA8"/>
    <w:rsid w:val="00B55CB2"/>
    <w:rsid w:val="00B56FF9"/>
    <w:rsid w:val="00B57915"/>
    <w:rsid w:val="00B57F1C"/>
    <w:rsid w:val="00B6154A"/>
    <w:rsid w:val="00B62DEF"/>
    <w:rsid w:val="00B637B8"/>
    <w:rsid w:val="00B638C0"/>
    <w:rsid w:val="00B64047"/>
    <w:rsid w:val="00B6456A"/>
    <w:rsid w:val="00B664A7"/>
    <w:rsid w:val="00B66906"/>
    <w:rsid w:val="00B6795B"/>
    <w:rsid w:val="00B70478"/>
    <w:rsid w:val="00B705BE"/>
    <w:rsid w:val="00B70A55"/>
    <w:rsid w:val="00B70E42"/>
    <w:rsid w:val="00B71F00"/>
    <w:rsid w:val="00B72ABD"/>
    <w:rsid w:val="00B72DD2"/>
    <w:rsid w:val="00B75916"/>
    <w:rsid w:val="00B75B72"/>
    <w:rsid w:val="00B77ED9"/>
    <w:rsid w:val="00B8063C"/>
    <w:rsid w:val="00B81627"/>
    <w:rsid w:val="00B81CAA"/>
    <w:rsid w:val="00B820DF"/>
    <w:rsid w:val="00B82F2A"/>
    <w:rsid w:val="00B9007C"/>
    <w:rsid w:val="00B91E39"/>
    <w:rsid w:val="00B93D40"/>
    <w:rsid w:val="00B94B98"/>
    <w:rsid w:val="00B9709A"/>
    <w:rsid w:val="00BA0A87"/>
    <w:rsid w:val="00BA283A"/>
    <w:rsid w:val="00BA3621"/>
    <w:rsid w:val="00BA411D"/>
    <w:rsid w:val="00BA5765"/>
    <w:rsid w:val="00BA68E8"/>
    <w:rsid w:val="00BA77DC"/>
    <w:rsid w:val="00BB0DF6"/>
    <w:rsid w:val="00BB1794"/>
    <w:rsid w:val="00BB1C76"/>
    <w:rsid w:val="00BB2EA4"/>
    <w:rsid w:val="00BB5024"/>
    <w:rsid w:val="00BB5112"/>
    <w:rsid w:val="00BB61AD"/>
    <w:rsid w:val="00BB6CCF"/>
    <w:rsid w:val="00BC0ED6"/>
    <w:rsid w:val="00BC13CA"/>
    <w:rsid w:val="00BC2B0F"/>
    <w:rsid w:val="00BC5B90"/>
    <w:rsid w:val="00BC5F99"/>
    <w:rsid w:val="00BC6B28"/>
    <w:rsid w:val="00BC710F"/>
    <w:rsid w:val="00BC7A13"/>
    <w:rsid w:val="00BD0DAF"/>
    <w:rsid w:val="00BD0F0C"/>
    <w:rsid w:val="00BD17EC"/>
    <w:rsid w:val="00BD3443"/>
    <w:rsid w:val="00BD4080"/>
    <w:rsid w:val="00BD4344"/>
    <w:rsid w:val="00BD501E"/>
    <w:rsid w:val="00BD5B5A"/>
    <w:rsid w:val="00BD6BFF"/>
    <w:rsid w:val="00BD7127"/>
    <w:rsid w:val="00BD73F0"/>
    <w:rsid w:val="00BD7404"/>
    <w:rsid w:val="00BE052E"/>
    <w:rsid w:val="00BE200A"/>
    <w:rsid w:val="00BE20A8"/>
    <w:rsid w:val="00BE2425"/>
    <w:rsid w:val="00BE2EB8"/>
    <w:rsid w:val="00BE50F4"/>
    <w:rsid w:val="00BF1D11"/>
    <w:rsid w:val="00BF21B2"/>
    <w:rsid w:val="00BF311B"/>
    <w:rsid w:val="00BF43B5"/>
    <w:rsid w:val="00BF597C"/>
    <w:rsid w:val="00BF63F2"/>
    <w:rsid w:val="00BF69DB"/>
    <w:rsid w:val="00BF6E07"/>
    <w:rsid w:val="00BF7B68"/>
    <w:rsid w:val="00BF7D50"/>
    <w:rsid w:val="00C026E8"/>
    <w:rsid w:val="00C027D2"/>
    <w:rsid w:val="00C03580"/>
    <w:rsid w:val="00C04C21"/>
    <w:rsid w:val="00C05BC8"/>
    <w:rsid w:val="00C07865"/>
    <w:rsid w:val="00C1067C"/>
    <w:rsid w:val="00C1103E"/>
    <w:rsid w:val="00C16ADD"/>
    <w:rsid w:val="00C16F8D"/>
    <w:rsid w:val="00C1734C"/>
    <w:rsid w:val="00C17F69"/>
    <w:rsid w:val="00C219B2"/>
    <w:rsid w:val="00C235B3"/>
    <w:rsid w:val="00C2447C"/>
    <w:rsid w:val="00C269A3"/>
    <w:rsid w:val="00C273AE"/>
    <w:rsid w:val="00C273C2"/>
    <w:rsid w:val="00C279F0"/>
    <w:rsid w:val="00C27A59"/>
    <w:rsid w:val="00C30AA2"/>
    <w:rsid w:val="00C331B4"/>
    <w:rsid w:val="00C34848"/>
    <w:rsid w:val="00C352B9"/>
    <w:rsid w:val="00C36367"/>
    <w:rsid w:val="00C37255"/>
    <w:rsid w:val="00C411E9"/>
    <w:rsid w:val="00C415DD"/>
    <w:rsid w:val="00C41C6B"/>
    <w:rsid w:val="00C434AE"/>
    <w:rsid w:val="00C449A5"/>
    <w:rsid w:val="00C44E34"/>
    <w:rsid w:val="00C461C4"/>
    <w:rsid w:val="00C504D8"/>
    <w:rsid w:val="00C50E50"/>
    <w:rsid w:val="00C52675"/>
    <w:rsid w:val="00C52CE4"/>
    <w:rsid w:val="00C556EC"/>
    <w:rsid w:val="00C56FBA"/>
    <w:rsid w:val="00C60484"/>
    <w:rsid w:val="00C61439"/>
    <w:rsid w:val="00C6214C"/>
    <w:rsid w:val="00C66B80"/>
    <w:rsid w:val="00C70200"/>
    <w:rsid w:val="00C71025"/>
    <w:rsid w:val="00C714D6"/>
    <w:rsid w:val="00C71A7A"/>
    <w:rsid w:val="00C7337C"/>
    <w:rsid w:val="00C74DC6"/>
    <w:rsid w:val="00C74E62"/>
    <w:rsid w:val="00C76662"/>
    <w:rsid w:val="00C771FF"/>
    <w:rsid w:val="00C83988"/>
    <w:rsid w:val="00C86FC8"/>
    <w:rsid w:val="00C874E9"/>
    <w:rsid w:val="00C900DB"/>
    <w:rsid w:val="00C90558"/>
    <w:rsid w:val="00C90839"/>
    <w:rsid w:val="00C90D55"/>
    <w:rsid w:val="00C92395"/>
    <w:rsid w:val="00C92FAA"/>
    <w:rsid w:val="00C9453D"/>
    <w:rsid w:val="00C949A0"/>
    <w:rsid w:val="00C97018"/>
    <w:rsid w:val="00C97F1C"/>
    <w:rsid w:val="00C97FBB"/>
    <w:rsid w:val="00CA334B"/>
    <w:rsid w:val="00CA3E31"/>
    <w:rsid w:val="00CA40C0"/>
    <w:rsid w:val="00CA4607"/>
    <w:rsid w:val="00CA5102"/>
    <w:rsid w:val="00CA650A"/>
    <w:rsid w:val="00CB207F"/>
    <w:rsid w:val="00CB2DB4"/>
    <w:rsid w:val="00CB39DD"/>
    <w:rsid w:val="00CB50FB"/>
    <w:rsid w:val="00CB57F6"/>
    <w:rsid w:val="00CB62F2"/>
    <w:rsid w:val="00CB6557"/>
    <w:rsid w:val="00CB6AAE"/>
    <w:rsid w:val="00CC07C2"/>
    <w:rsid w:val="00CC1459"/>
    <w:rsid w:val="00CC183F"/>
    <w:rsid w:val="00CC2F06"/>
    <w:rsid w:val="00CC39F1"/>
    <w:rsid w:val="00CC427B"/>
    <w:rsid w:val="00CC4ADD"/>
    <w:rsid w:val="00CC5FBD"/>
    <w:rsid w:val="00CC6F38"/>
    <w:rsid w:val="00CC7D36"/>
    <w:rsid w:val="00CD047C"/>
    <w:rsid w:val="00CD0F6B"/>
    <w:rsid w:val="00CD154D"/>
    <w:rsid w:val="00CD25D4"/>
    <w:rsid w:val="00CD290B"/>
    <w:rsid w:val="00CD3425"/>
    <w:rsid w:val="00CD49BF"/>
    <w:rsid w:val="00CD5582"/>
    <w:rsid w:val="00CD596D"/>
    <w:rsid w:val="00CD6423"/>
    <w:rsid w:val="00CD72A3"/>
    <w:rsid w:val="00CE023A"/>
    <w:rsid w:val="00CE0EFB"/>
    <w:rsid w:val="00CE13AE"/>
    <w:rsid w:val="00CE2573"/>
    <w:rsid w:val="00CE3F1D"/>
    <w:rsid w:val="00CE3FFB"/>
    <w:rsid w:val="00CE453D"/>
    <w:rsid w:val="00CE4EDF"/>
    <w:rsid w:val="00CE5ADF"/>
    <w:rsid w:val="00CE5B18"/>
    <w:rsid w:val="00CF1F81"/>
    <w:rsid w:val="00CF3DB7"/>
    <w:rsid w:val="00CF40CB"/>
    <w:rsid w:val="00CF594A"/>
    <w:rsid w:val="00D001FE"/>
    <w:rsid w:val="00D01A2B"/>
    <w:rsid w:val="00D022C4"/>
    <w:rsid w:val="00D03E10"/>
    <w:rsid w:val="00D06790"/>
    <w:rsid w:val="00D0740D"/>
    <w:rsid w:val="00D077C2"/>
    <w:rsid w:val="00D10906"/>
    <w:rsid w:val="00D10BEA"/>
    <w:rsid w:val="00D12DB1"/>
    <w:rsid w:val="00D1389D"/>
    <w:rsid w:val="00D13FA4"/>
    <w:rsid w:val="00D142A3"/>
    <w:rsid w:val="00D156C3"/>
    <w:rsid w:val="00D158E3"/>
    <w:rsid w:val="00D1746C"/>
    <w:rsid w:val="00D2304A"/>
    <w:rsid w:val="00D23541"/>
    <w:rsid w:val="00D23CE4"/>
    <w:rsid w:val="00D26681"/>
    <w:rsid w:val="00D27136"/>
    <w:rsid w:val="00D273B5"/>
    <w:rsid w:val="00D27850"/>
    <w:rsid w:val="00D30F4B"/>
    <w:rsid w:val="00D31AB8"/>
    <w:rsid w:val="00D31E55"/>
    <w:rsid w:val="00D32097"/>
    <w:rsid w:val="00D3243C"/>
    <w:rsid w:val="00D32C2E"/>
    <w:rsid w:val="00D32D3D"/>
    <w:rsid w:val="00D32F90"/>
    <w:rsid w:val="00D33452"/>
    <w:rsid w:val="00D339FA"/>
    <w:rsid w:val="00D3552A"/>
    <w:rsid w:val="00D3667A"/>
    <w:rsid w:val="00D40151"/>
    <w:rsid w:val="00D414AF"/>
    <w:rsid w:val="00D423C7"/>
    <w:rsid w:val="00D42A14"/>
    <w:rsid w:val="00D47ADC"/>
    <w:rsid w:val="00D510C7"/>
    <w:rsid w:val="00D5174C"/>
    <w:rsid w:val="00D52060"/>
    <w:rsid w:val="00D5265E"/>
    <w:rsid w:val="00D53024"/>
    <w:rsid w:val="00D54DC4"/>
    <w:rsid w:val="00D56DB2"/>
    <w:rsid w:val="00D5735C"/>
    <w:rsid w:val="00D60256"/>
    <w:rsid w:val="00D60734"/>
    <w:rsid w:val="00D62BD6"/>
    <w:rsid w:val="00D64EAF"/>
    <w:rsid w:val="00D651A0"/>
    <w:rsid w:val="00D6567F"/>
    <w:rsid w:val="00D659E6"/>
    <w:rsid w:val="00D65B17"/>
    <w:rsid w:val="00D6638F"/>
    <w:rsid w:val="00D677DA"/>
    <w:rsid w:val="00D70021"/>
    <w:rsid w:val="00D7093C"/>
    <w:rsid w:val="00D72822"/>
    <w:rsid w:val="00D730A4"/>
    <w:rsid w:val="00D7340D"/>
    <w:rsid w:val="00D73BC4"/>
    <w:rsid w:val="00D740C7"/>
    <w:rsid w:val="00D755CE"/>
    <w:rsid w:val="00D75CDC"/>
    <w:rsid w:val="00D762BB"/>
    <w:rsid w:val="00D76705"/>
    <w:rsid w:val="00D80B32"/>
    <w:rsid w:val="00D80B59"/>
    <w:rsid w:val="00D81B6B"/>
    <w:rsid w:val="00D82789"/>
    <w:rsid w:val="00D84CDA"/>
    <w:rsid w:val="00D85522"/>
    <w:rsid w:val="00D85E9F"/>
    <w:rsid w:val="00D85EDF"/>
    <w:rsid w:val="00D90159"/>
    <w:rsid w:val="00D911F2"/>
    <w:rsid w:val="00D92224"/>
    <w:rsid w:val="00D9402D"/>
    <w:rsid w:val="00D95EE0"/>
    <w:rsid w:val="00D9671A"/>
    <w:rsid w:val="00D977C0"/>
    <w:rsid w:val="00D978BD"/>
    <w:rsid w:val="00D97C2C"/>
    <w:rsid w:val="00D97E92"/>
    <w:rsid w:val="00DA0D3A"/>
    <w:rsid w:val="00DA15E2"/>
    <w:rsid w:val="00DA24A9"/>
    <w:rsid w:val="00DA2E9C"/>
    <w:rsid w:val="00DA7760"/>
    <w:rsid w:val="00DA793F"/>
    <w:rsid w:val="00DB0908"/>
    <w:rsid w:val="00DB6C5A"/>
    <w:rsid w:val="00DB74FA"/>
    <w:rsid w:val="00DB7B54"/>
    <w:rsid w:val="00DC4370"/>
    <w:rsid w:val="00DC4F7F"/>
    <w:rsid w:val="00DC5B5B"/>
    <w:rsid w:val="00DC5E3E"/>
    <w:rsid w:val="00DC7651"/>
    <w:rsid w:val="00DD11DE"/>
    <w:rsid w:val="00DD1B3D"/>
    <w:rsid w:val="00DD2993"/>
    <w:rsid w:val="00DD3251"/>
    <w:rsid w:val="00DD34D0"/>
    <w:rsid w:val="00DD36AA"/>
    <w:rsid w:val="00DD504B"/>
    <w:rsid w:val="00DD5792"/>
    <w:rsid w:val="00DD7F28"/>
    <w:rsid w:val="00DE013F"/>
    <w:rsid w:val="00DE105B"/>
    <w:rsid w:val="00DE1667"/>
    <w:rsid w:val="00DE2A7E"/>
    <w:rsid w:val="00DE5F01"/>
    <w:rsid w:val="00DE6FC3"/>
    <w:rsid w:val="00DF24A9"/>
    <w:rsid w:val="00DF24F2"/>
    <w:rsid w:val="00DF4903"/>
    <w:rsid w:val="00DF619A"/>
    <w:rsid w:val="00E01FAB"/>
    <w:rsid w:val="00E02FD3"/>
    <w:rsid w:val="00E0385F"/>
    <w:rsid w:val="00E05156"/>
    <w:rsid w:val="00E05BE2"/>
    <w:rsid w:val="00E06512"/>
    <w:rsid w:val="00E06EED"/>
    <w:rsid w:val="00E072C3"/>
    <w:rsid w:val="00E110C6"/>
    <w:rsid w:val="00E12BC7"/>
    <w:rsid w:val="00E12CB3"/>
    <w:rsid w:val="00E12E57"/>
    <w:rsid w:val="00E13A07"/>
    <w:rsid w:val="00E15B2C"/>
    <w:rsid w:val="00E15E99"/>
    <w:rsid w:val="00E1690D"/>
    <w:rsid w:val="00E20D70"/>
    <w:rsid w:val="00E21634"/>
    <w:rsid w:val="00E21841"/>
    <w:rsid w:val="00E22ADF"/>
    <w:rsid w:val="00E22D67"/>
    <w:rsid w:val="00E243D2"/>
    <w:rsid w:val="00E2443D"/>
    <w:rsid w:val="00E25462"/>
    <w:rsid w:val="00E25869"/>
    <w:rsid w:val="00E268C9"/>
    <w:rsid w:val="00E30D37"/>
    <w:rsid w:val="00E3127C"/>
    <w:rsid w:val="00E312F8"/>
    <w:rsid w:val="00E331B4"/>
    <w:rsid w:val="00E341EE"/>
    <w:rsid w:val="00E3452A"/>
    <w:rsid w:val="00E365A7"/>
    <w:rsid w:val="00E367C9"/>
    <w:rsid w:val="00E37934"/>
    <w:rsid w:val="00E37FEE"/>
    <w:rsid w:val="00E40EFC"/>
    <w:rsid w:val="00E42AD0"/>
    <w:rsid w:val="00E431BE"/>
    <w:rsid w:val="00E44DE5"/>
    <w:rsid w:val="00E45791"/>
    <w:rsid w:val="00E45974"/>
    <w:rsid w:val="00E45D32"/>
    <w:rsid w:val="00E47044"/>
    <w:rsid w:val="00E53340"/>
    <w:rsid w:val="00E53A9B"/>
    <w:rsid w:val="00E53CC9"/>
    <w:rsid w:val="00E53E63"/>
    <w:rsid w:val="00E53F61"/>
    <w:rsid w:val="00E552A1"/>
    <w:rsid w:val="00E552A3"/>
    <w:rsid w:val="00E55BB9"/>
    <w:rsid w:val="00E626F2"/>
    <w:rsid w:val="00E63052"/>
    <w:rsid w:val="00E65578"/>
    <w:rsid w:val="00E67C1E"/>
    <w:rsid w:val="00E67C96"/>
    <w:rsid w:val="00E722FF"/>
    <w:rsid w:val="00E72A22"/>
    <w:rsid w:val="00E72E02"/>
    <w:rsid w:val="00E73278"/>
    <w:rsid w:val="00E7371E"/>
    <w:rsid w:val="00E73A91"/>
    <w:rsid w:val="00E75665"/>
    <w:rsid w:val="00E75AEC"/>
    <w:rsid w:val="00E772F4"/>
    <w:rsid w:val="00E81AC5"/>
    <w:rsid w:val="00E81F75"/>
    <w:rsid w:val="00E82000"/>
    <w:rsid w:val="00E829E5"/>
    <w:rsid w:val="00E82A28"/>
    <w:rsid w:val="00E83C85"/>
    <w:rsid w:val="00E85C06"/>
    <w:rsid w:val="00E915F9"/>
    <w:rsid w:val="00E9217A"/>
    <w:rsid w:val="00E92632"/>
    <w:rsid w:val="00E92E7E"/>
    <w:rsid w:val="00E92FFE"/>
    <w:rsid w:val="00E9402C"/>
    <w:rsid w:val="00E96CCA"/>
    <w:rsid w:val="00E97143"/>
    <w:rsid w:val="00EA0073"/>
    <w:rsid w:val="00EA13AB"/>
    <w:rsid w:val="00EA1D9F"/>
    <w:rsid w:val="00EA23C9"/>
    <w:rsid w:val="00EA2A09"/>
    <w:rsid w:val="00EA2D87"/>
    <w:rsid w:val="00EA30BC"/>
    <w:rsid w:val="00EA37FC"/>
    <w:rsid w:val="00EA40E3"/>
    <w:rsid w:val="00EA4190"/>
    <w:rsid w:val="00EB078A"/>
    <w:rsid w:val="00EB1159"/>
    <w:rsid w:val="00EB3916"/>
    <w:rsid w:val="00EB4EDC"/>
    <w:rsid w:val="00EB7DC1"/>
    <w:rsid w:val="00EC1348"/>
    <w:rsid w:val="00EC1B8F"/>
    <w:rsid w:val="00EC1E73"/>
    <w:rsid w:val="00EC1FB2"/>
    <w:rsid w:val="00EC2930"/>
    <w:rsid w:val="00EC2CEE"/>
    <w:rsid w:val="00EC3C00"/>
    <w:rsid w:val="00EC58A7"/>
    <w:rsid w:val="00EC5E64"/>
    <w:rsid w:val="00EC6B62"/>
    <w:rsid w:val="00EC7693"/>
    <w:rsid w:val="00ED0565"/>
    <w:rsid w:val="00ED1113"/>
    <w:rsid w:val="00ED1AAB"/>
    <w:rsid w:val="00ED280E"/>
    <w:rsid w:val="00ED34B2"/>
    <w:rsid w:val="00ED4CC9"/>
    <w:rsid w:val="00ED6E6B"/>
    <w:rsid w:val="00ED7F39"/>
    <w:rsid w:val="00EE04B3"/>
    <w:rsid w:val="00EE0E65"/>
    <w:rsid w:val="00EE2291"/>
    <w:rsid w:val="00EE68CC"/>
    <w:rsid w:val="00EE7AC5"/>
    <w:rsid w:val="00EF0286"/>
    <w:rsid w:val="00EF2670"/>
    <w:rsid w:val="00EF4CB5"/>
    <w:rsid w:val="00EF71AD"/>
    <w:rsid w:val="00EF71D1"/>
    <w:rsid w:val="00EF7657"/>
    <w:rsid w:val="00F00AB6"/>
    <w:rsid w:val="00F014C0"/>
    <w:rsid w:val="00F03E35"/>
    <w:rsid w:val="00F0588E"/>
    <w:rsid w:val="00F06549"/>
    <w:rsid w:val="00F07580"/>
    <w:rsid w:val="00F07C6E"/>
    <w:rsid w:val="00F100F1"/>
    <w:rsid w:val="00F1218F"/>
    <w:rsid w:val="00F14130"/>
    <w:rsid w:val="00F16434"/>
    <w:rsid w:val="00F16969"/>
    <w:rsid w:val="00F17965"/>
    <w:rsid w:val="00F2050C"/>
    <w:rsid w:val="00F211AD"/>
    <w:rsid w:val="00F21455"/>
    <w:rsid w:val="00F24D8C"/>
    <w:rsid w:val="00F30510"/>
    <w:rsid w:val="00F3250A"/>
    <w:rsid w:val="00F34122"/>
    <w:rsid w:val="00F35D17"/>
    <w:rsid w:val="00F36480"/>
    <w:rsid w:val="00F3692C"/>
    <w:rsid w:val="00F40615"/>
    <w:rsid w:val="00F415A5"/>
    <w:rsid w:val="00F416F5"/>
    <w:rsid w:val="00F43303"/>
    <w:rsid w:val="00F4346F"/>
    <w:rsid w:val="00F44143"/>
    <w:rsid w:val="00F45C16"/>
    <w:rsid w:val="00F4604E"/>
    <w:rsid w:val="00F462CC"/>
    <w:rsid w:val="00F46670"/>
    <w:rsid w:val="00F4697B"/>
    <w:rsid w:val="00F47D48"/>
    <w:rsid w:val="00F50DA9"/>
    <w:rsid w:val="00F519A9"/>
    <w:rsid w:val="00F520B6"/>
    <w:rsid w:val="00F524E2"/>
    <w:rsid w:val="00F54F58"/>
    <w:rsid w:val="00F562B8"/>
    <w:rsid w:val="00F572A9"/>
    <w:rsid w:val="00F57E6B"/>
    <w:rsid w:val="00F60AF6"/>
    <w:rsid w:val="00F60DBA"/>
    <w:rsid w:val="00F618A3"/>
    <w:rsid w:val="00F6192E"/>
    <w:rsid w:val="00F62AE6"/>
    <w:rsid w:val="00F63585"/>
    <w:rsid w:val="00F64F2D"/>
    <w:rsid w:val="00F67342"/>
    <w:rsid w:val="00F67BD7"/>
    <w:rsid w:val="00F70D61"/>
    <w:rsid w:val="00F70E9F"/>
    <w:rsid w:val="00F70F99"/>
    <w:rsid w:val="00F72D64"/>
    <w:rsid w:val="00F7362A"/>
    <w:rsid w:val="00F75390"/>
    <w:rsid w:val="00F76EB3"/>
    <w:rsid w:val="00F77CED"/>
    <w:rsid w:val="00F8003C"/>
    <w:rsid w:val="00F80B16"/>
    <w:rsid w:val="00F8100F"/>
    <w:rsid w:val="00F8164F"/>
    <w:rsid w:val="00F81937"/>
    <w:rsid w:val="00F825A2"/>
    <w:rsid w:val="00F83051"/>
    <w:rsid w:val="00F83880"/>
    <w:rsid w:val="00F8393D"/>
    <w:rsid w:val="00F850E2"/>
    <w:rsid w:val="00F86D3B"/>
    <w:rsid w:val="00F934C5"/>
    <w:rsid w:val="00F94950"/>
    <w:rsid w:val="00F94A95"/>
    <w:rsid w:val="00F95ACE"/>
    <w:rsid w:val="00F96C6B"/>
    <w:rsid w:val="00F9791D"/>
    <w:rsid w:val="00FA0614"/>
    <w:rsid w:val="00FA0A31"/>
    <w:rsid w:val="00FA34D5"/>
    <w:rsid w:val="00FA3B30"/>
    <w:rsid w:val="00FA5D73"/>
    <w:rsid w:val="00FA6F3B"/>
    <w:rsid w:val="00FB1486"/>
    <w:rsid w:val="00FB2007"/>
    <w:rsid w:val="00FB42F2"/>
    <w:rsid w:val="00FB4395"/>
    <w:rsid w:val="00FB675E"/>
    <w:rsid w:val="00FB7EE6"/>
    <w:rsid w:val="00FC24DD"/>
    <w:rsid w:val="00FC31C3"/>
    <w:rsid w:val="00FC3755"/>
    <w:rsid w:val="00FC38B4"/>
    <w:rsid w:val="00FC3DD7"/>
    <w:rsid w:val="00FC4E90"/>
    <w:rsid w:val="00FC5043"/>
    <w:rsid w:val="00FC531A"/>
    <w:rsid w:val="00FC7C54"/>
    <w:rsid w:val="00FD1073"/>
    <w:rsid w:val="00FD1E58"/>
    <w:rsid w:val="00FD2A02"/>
    <w:rsid w:val="00FD43A2"/>
    <w:rsid w:val="00FD56FB"/>
    <w:rsid w:val="00FE0D98"/>
    <w:rsid w:val="00FE0F70"/>
    <w:rsid w:val="00FE1AE4"/>
    <w:rsid w:val="00FE431A"/>
    <w:rsid w:val="00FE4584"/>
    <w:rsid w:val="00FE466B"/>
    <w:rsid w:val="00FE5E4C"/>
    <w:rsid w:val="00FE6A4A"/>
    <w:rsid w:val="00FE786C"/>
    <w:rsid w:val="00FF0E74"/>
    <w:rsid w:val="00FF17AA"/>
    <w:rsid w:val="00FF31EE"/>
    <w:rsid w:val="00FF396B"/>
    <w:rsid w:val="00FF5F66"/>
    <w:rsid w:val="00FF75D9"/>
    <w:rsid w:val="00FF7709"/>
    <w:rsid w:val="22D325E2"/>
    <w:rsid w:val="36E47E1E"/>
    <w:rsid w:val="57EF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line="570" w:lineRule="exact"/>
      <w:jc w:val="center"/>
      <w:outlineLvl w:val="0"/>
    </w:pPr>
    <w:rPr>
      <w:rFonts w:eastAsia="黑体"/>
      <w:bCs/>
      <w:kern w:val="44"/>
      <w:sz w:val="32"/>
      <w:szCs w:val="44"/>
    </w:rPr>
  </w:style>
  <w:style w:type="paragraph" w:styleId="3">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99"/>
    <w:rPr>
      <w:b/>
      <w:bCs/>
    </w:rPr>
  </w:style>
  <w:style w:type="paragraph" w:styleId="5">
    <w:name w:val="annotation text"/>
    <w:basedOn w:val="1"/>
    <w:link w:val="34"/>
    <w:unhideWhenUsed/>
    <w:qFormat/>
    <w:uiPriority w:val="99"/>
    <w:pPr>
      <w:jc w:val="left"/>
    </w:pPr>
  </w:style>
  <w:style w:type="paragraph" w:styleId="6">
    <w:name w:val="toc 7"/>
    <w:basedOn w:val="1"/>
    <w:next w:val="1"/>
    <w:unhideWhenUsed/>
    <w:qFormat/>
    <w:uiPriority w:val="39"/>
    <w:pPr>
      <w:ind w:left="1260"/>
      <w:jc w:val="left"/>
    </w:pPr>
    <w:rPr>
      <w:rFonts w:asciiTheme="minorHAnsi" w:eastAsiaTheme="minorHAnsi"/>
      <w:sz w:val="18"/>
      <w:szCs w:val="18"/>
    </w:rPr>
  </w:style>
  <w:style w:type="paragraph" w:styleId="7">
    <w:name w:val="toc 5"/>
    <w:basedOn w:val="1"/>
    <w:next w:val="1"/>
    <w:unhideWhenUsed/>
    <w:qFormat/>
    <w:uiPriority w:val="39"/>
    <w:pPr>
      <w:ind w:left="840"/>
      <w:jc w:val="left"/>
    </w:pPr>
    <w:rPr>
      <w:rFonts w:asciiTheme="minorHAnsi" w:eastAsiaTheme="minorHAnsi"/>
      <w:sz w:val="18"/>
      <w:szCs w:val="18"/>
    </w:rPr>
  </w:style>
  <w:style w:type="paragraph" w:styleId="8">
    <w:name w:val="toc 3"/>
    <w:basedOn w:val="1"/>
    <w:next w:val="1"/>
    <w:unhideWhenUsed/>
    <w:qFormat/>
    <w:uiPriority w:val="39"/>
    <w:pPr>
      <w:ind w:left="420"/>
      <w:jc w:val="left"/>
    </w:pPr>
    <w:rPr>
      <w:rFonts w:asciiTheme="minorHAnsi" w:eastAsiaTheme="minorHAnsi"/>
      <w:i/>
      <w:iCs/>
      <w:sz w:val="20"/>
      <w:szCs w:val="20"/>
    </w:rPr>
  </w:style>
  <w:style w:type="paragraph" w:styleId="9">
    <w:name w:val="toc 8"/>
    <w:basedOn w:val="1"/>
    <w:next w:val="1"/>
    <w:unhideWhenUsed/>
    <w:qFormat/>
    <w:uiPriority w:val="39"/>
    <w:pPr>
      <w:ind w:left="1470"/>
      <w:jc w:val="left"/>
    </w:pPr>
    <w:rPr>
      <w:rFonts w:asciiTheme="minorHAnsi" w:eastAsiaTheme="minorHAnsi"/>
      <w:sz w:val="18"/>
      <w:szCs w:val="18"/>
    </w:rPr>
  </w:style>
  <w:style w:type="paragraph" w:styleId="10">
    <w:name w:val="Balloon Text"/>
    <w:basedOn w:val="1"/>
    <w:link w:val="30"/>
    <w:unhideWhenUsed/>
    <w:qFormat/>
    <w:uiPriority w:val="99"/>
    <w:rPr>
      <w:sz w:val="18"/>
      <w:szCs w:val="18"/>
    </w:rPr>
  </w:style>
  <w:style w:type="paragraph" w:styleId="11">
    <w:name w:val="footer"/>
    <w:basedOn w:val="1"/>
    <w:link w:val="3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4">
    <w:name w:val="toc 4"/>
    <w:basedOn w:val="1"/>
    <w:next w:val="1"/>
    <w:unhideWhenUsed/>
    <w:qFormat/>
    <w:uiPriority w:val="39"/>
    <w:pPr>
      <w:ind w:left="630"/>
      <w:jc w:val="left"/>
    </w:pPr>
    <w:rPr>
      <w:rFonts w:asciiTheme="minorHAnsi" w:eastAsiaTheme="minorHAnsi"/>
      <w:sz w:val="18"/>
      <w:szCs w:val="18"/>
    </w:rPr>
  </w:style>
  <w:style w:type="paragraph" w:styleId="15">
    <w:name w:val="footnote text"/>
    <w:basedOn w:val="1"/>
    <w:link w:val="36"/>
    <w:unhideWhenUsed/>
    <w:qFormat/>
    <w:uiPriority w:val="99"/>
    <w:pPr>
      <w:snapToGrid w:val="0"/>
      <w:jc w:val="left"/>
    </w:pPr>
    <w:rPr>
      <w:sz w:val="18"/>
      <w:szCs w:val="18"/>
    </w:rPr>
  </w:style>
  <w:style w:type="paragraph" w:styleId="16">
    <w:name w:val="toc 6"/>
    <w:basedOn w:val="1"/>
    <w:next w:val="1"/>
    <w:unhideWhenUsed/>
    <w:qFormat/>
    <w:uiPriority w:val="39"/>
    <w:pPr>
      <w:ind w:left="1050"/>
      <w:jc w:val="left"/>
    </w:pPr>
    <w:rPr>
      <w:rFonts w:asciiTheme="minorHAnsi" w:eastAsiaTheme="minorHAnsi"/>
      <w:sz w:val="18"/>
      <w:szCs w:val="18"/>
    </w:rPr>
  </w:style>
  <w:style w:type="paragraph" w:styleId="17">
    <w:name w:val="toc 2"/>
    <w:basedOn w:val="1"/>
    <w:next w:val="1"/>
    <w:unhideWhenUsed/>
    <w:qFormat/>
    <w:uiPriority w:val="39"/>
    <w:pPr>
      <w:ind w:left="210"/>
      <w:jc w:val="left"/>
    </w:pPr>
    <w:rPr>
      <w:rFonts w:asciiTheme="minorHAnsi" w:eastAsiaTheme="minorHAnsi"/>
      <w:smallCaps/>
      <w:sz w:val="20"/>
      <w:szCs w:val="20"/>
    </w:rPr>
  </w:style>
  <w:style w:type="paragraph" w:styleId="18">
    <w:name w:val="toc 9"/>
    <w:basedOn w:val="1"/>
    <w:next w:val="1"/>
    <w:unhideWhenUsed/>
    <w:qFormat/>
    <w:uiPriority w:val="39"/>
    <w:pPr>
      <w:ind w:left="1680"/>
      <w:jc w:val="left"/>
    </w:pPr>
    <w:rPr>
      <w:rFonts w:asciiTheme="minorHAnsi" w:eastAsiaTheme="minorHAnsi"/>
      <w:sz w:val="18"/>
      <w:szCs w:val="18"/>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line number"/>
    <w:basedOn w:val="19"/>
    <w:unhideWhenUsed/>
    <w:qFormat/>
    <w:uiPriority w:val="99"/>
  </w:style>
  <w:style w:type="character" w:styleId="23">
    <w:name w:val="Hyperlink"/>
    <w:basedOn w:val="19"/>
    <w:unhideWhenUsed/>
    <w:qFormat/>
    <w:uiPriority w:val="99"/>
    <w:rPr>
      <w:color w:val="0000FF"/>
      <w:u w:val="single"/>
    </w:rPr>
  </w:style>
  <w:style w:type="character" w:styleId="24">
    <w:name w:val="annotation reference"/>
    <w:basedOn w:val="19"/>
    <w:unhideWhenUsed/>
    <w:qFormat/>
    <w:uiPriority w:val="99"/>
    <w:rPr>
      <w:sz w:val="21"/>
      <w:szCs w:val="21"/>
    </w:rPr>
  </w:style>
  <w:style w:type="character" w:styleId="25">
    <w:name w:val="footnote reference"/>
    <w:basedOn w:val="19"/>
    <w:unhideWhenUsed/>
    <w:qFormat/>
    <w:uiPriority w:val="99"/>
    <w:rPr>
      <w:vertAlign w:val="superscript"/>
    </w:rPr>
  </w:style>
  <w:style w:type="table" w:styleId="27">
    <w:name w:val="Table Grid"/>
    <w:basedOn w:val="2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字符"/>
    <w:basedOn w:val="19"/>
    <w:link w:val="2"/>
    <w:qFormat/>
    <w:uiPriority w:val="9"/>
    <w:rPr>
      <w:rFonts w:ascii="Times New Roman" w:hAnsi="Times New Roman" w:eastAsia="黑体" w:cs="Times New Roman"/>
      <w:bCs/>
      <w:kern w:val="44"/>
      <w:sz w:val="32"/>
      <w:szCs w:val="44"/>
    </w:rPr>
  </w:style>
  <w:style w:type="paragraph" w:customStyle="1" w:styleId="29">
    <w:name w:val="List Paragraph"/>
    <w:basedOn w:val="1"/>
    <w:link w:val="40"/>
    <w:qFormat/>
    <w:uiPriority w:val="34"/>
    <w:pPr>
      <w:ind w:firstLine="420" w:firstLineChars="200"/>
    </w:pPr>
  </w:style>
  <w:style w:type="character" w:customStyle="1" w:styleId="30">
    <w:name w:val="批注框文本 字符"/>
    <w:basedOn w:val="19"/>
    <w:link w:val="10"/>
    <w:semiHidden/>
    <w:qFormat/>
    <w:uiPriority w:val="99"/>
    <w:rPr>
      <w:rFonts w:ascii="Times New Roman" w:hAnsi="Times New Roman" w:eastAsia="宋体" w:cs="Times New Roman"/>
      <w:sz w:val="18"/>
      <w:szCs w:val="18"/>
    </w:rPr>
  </w:style>
  <w:style w:type="character" w:customStyle="1" w:styleId="31">
    <w:name w:val="页眉 字符"/>
    <w:basedOn w:val="19"/>
    <w:link w:val="12"/>
    <w:qFormat/>
    <w:uiPriority w:val="99"/>
    <w:rPr>
      <w:sz w:val="18"/>
      <w:szCs w:val="18"/>
    </w:rPr>
  </w:style>
  <w:style w:type="character" w:customStyle="1" w:styleId="32">
    <w:name w:val="页脚 字符"/>
    <w:basedOn w:val="19"/>
    <w:link w:val="11"/>
    <w:qFormat/>
    <w:uiPriority w:val="99"/>
    <w:rPr>
      <w:sz w:val="18"/>
      <w:szCs w:val="18"/>
    </w:rPr>
  </w:style>
  <w:style w:type="character" w:customStyle="1" w:styleId="33">
    <w:name w:val="标题 3 字符"/>
    <w:basedOn w:val="19"/>
    <w:link w:val="3"/>
    <w:qFormat/>
    <w:uiPriority w:val="9"/>
    <w:rPr>
      <w:rFonts w:ascii="Times New Roman" w:hAnsi="Times New Roman" w:eastAsia="宋体" w:cs="Times New Roman"/>
      <w:b/>
      <w:bCs/>
      <w:sz w:val="32"/>
      <w:szCs w:val="32"/>
    </w:rPr>
  </w:style>
  <w:style w:type="character" w:customStyle="1" w:styleId="34">
    <w:name w:val="批注文字 字符"/>
    <w:basedOn w:val="19"/>
    <w:link w:val="5"/>
    <w:qFormat/>
    <w:uiPriority w:val="99"/>
    <w:rPr>
      <w:rFonts w:ascii="Times New Roman" w:hAnsi="Times New Roman" w:eastAsia="宋体" w:cs="Times New Roman"/>
      <w:szCs w:val="24"/>
    </w:rPr>
  </w:style>
  <w:style w:type="character" w:customStyle="1" w:styleId="35">
    <w:name w:val="批注主题 字符"/>
    <w:basedOn w:val="34"/>
    <w:link w:val="4"/>
    <w:semiHidden/>
    <w:qFormat/>
    <w:uiPriority w:val="99"/>
    <w:rPr>
      <w:rFonts w:ascii="Times New Roman" w:hAnsi="Times New Roman" w:eastAsia="宋体" w:cs="Times New Roman"/>
      <w:b/>
      <w:bCs/>
      <w:szCs w:val="24"/>
    </w:rPr>
  </w:style>
  <w:style w:type="character" w:customStyle="1" w:styleId="36">
    <w:name w:val="脚注文本 字符"/>
    <w:basedOn w:val="19"/>
    <w:link w:val="15"/>
    <w:semiHidden/>
    <w:qFormat/>
    <w:uiPriority w:val="99"/>
    <w:rPr>
      <w:rFonts w:ascii="Times New Roman" w:hAnsi="Times New Roman" w:eastAsia="宋体" w:cs="Times New Roman"/>
      <w:sz w:val="18"/>
      <w:szCs w:val="18"/>
    </w:rPr>
  </w:style>
  <w:style w:type="paragraph" w:customStyle="1" w:styleId="37">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9">
    <w:name w:val="msoins"/>
    <w:basedOn w:val="19"/>
    <w:qFormat/>
    <w:uiPriority w:val="0"/>
  </w:style>
  <w:style w:type="character" w:customStyle="1" w:styleId="40">
    <w:name w:val="列出段落 字符"/>
    <w:link w:val="29"/>
    <w:qFormat/>
    <w:uiPriority w:val="34"/>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9468A-9AD3-4B7F-8E25-D7BD5D552A3E}">
  <ds:schemaRefs/>
</ds:datastoreItem>
</file>

<file path=docProps/app.xml><?xml version="1.0" encoding="utf-8"?>
<Properties xmlns="http://schemas.openxmlformats.org/officeDocument/2006/extended-properties" xmlns:vt="http://schemas.openxmlformats.org/officeDocument/2006/docPropsVTypes">
  <Template>Normal</Template>
  <Pages>36</Pages>
  <Words>3090</Words>
  <Characters>17618</Characters>
  <Lines>146</Lines>
  <Paragraphs>41</Paragraphs>
  <ScaleCrop>false</ScaleCrop>
  <LinksUpToDate>false</LinksUpToDate>
  <CharactersWithSpaces>20667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2021-04-01T02:34:00Z</dcterms:created>
  <dc:creator>Yufei Fang</dc:creator>
  <cp:lastModifiedBy>曾向昀</cp:lastModifiedBy>
  <cp:lastPrinted>2020-11-30T07:09:00Z</cp:lastPrinted>
  <dcterms:modified xsi:type="dcterms:W3CDTF">2021-11-11T01:26:38Z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