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部门整体绩效评价报告</w:t>
      </w:r>
    </w:p>
    <w:p>
      <w:pPr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一、本部门职能</w:t>
      </w:r>
    </w:p>
    <w:p>
      <w:pPr>
        <w:ind w:firstLine="643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（一）部门机构设置情况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根据中共北京市朝阳区委办公室、北京市朝阳区人民政府办公室批准《北京市朝阳区小红门乡（地区）机构改革方案》，设立北京市朝阳区小红门乡人民政府。小红门乡（地区）所属事业单位5个：</w:t>
      </w:r>
      <w:r>
        <w:rPr>
          <w:rFonts w:hint="eastAsia" w:ascii="宋体" w:hAnsi="宋体" w:eastAsia="宋体" w:cs="宋体"/>
          <w:bCs/>
          <w:sz w:val="32"/>
          <w:szCs w:val="32"/>
        </w:rPr>
        <w:t>⑴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北京市朝阳区小红门（地区）便民服务中心；</w:t>
      </w:r>
      <w:r>
        <w:rPr>
          <w:rFonts w:hint="eastAsia" w:ascii="宋体" w:hAnsi="宋体" w:eastAsia="宋体" w:cs="宋体"/>
          <w:bCs/>
          <w:sz w:val="32"/>
          <w:szCs w:val="32"/>
        </w:rPr>
        <w:t>⑵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北京市朝阳区小红门（地区）市民活动中心；</w:t>
      </w:r>
      <w:r>
        <w:rPr>
          <w:rFonts w:hint="eastAsia" w:ascii="宋体" w:hAnsi="宋体" w:eastAsia="宋体" w:cs="宋体"/>
          <w:bCs/>
          <w:sz w:val="32"/>
          <w:szCs w:val="32"/>
        </w:rPr>
        <w:t>⑶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北京市朝阳区小红门乡（地区）市民诉求处置中心；</w:t>
      </w:r>
      <w:r>
        <w:rPr>
          <w:rFonts w:hint="eastAsia" w:ascii="宋体" w:hAnsi="宋体" w:eastAsia="宋体" w:cs="宋体"/>
          <w:bCs/>
          <w:sz w:val="32"/>
          <w:szCs w:val="32"/>
        </w:rPr>
        <w:t>⑷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北京市朝阳区小红门乡农村合作经济经营管理站；</w:t>
      </w:r>
      <w:r>
        <w:rPr>
          <w:rFonts w:hint="eastAsia" w:ascii="宋体" w:hAnsi="宋体" w:eastAsia="宋体" w:cs="宋体"/>
          <w:bCs/>
          <w:sz w:val="32"/>
          <w:szCs w:val="32"/>
        </w:rPr>
        <w:t>⑸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北京市朝阳区小红门乡（地区）社会公共事务服务中心。</w:t>
      </w:r>
    </w:p>
    <w:p>
      <w:pPr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（二）部门职能情况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小红门乡人民政府（地区办事处）主要职责： 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（1）贯彻执行法律、法规、规章和市、区政府的决定、命令，执行本级人民代表大会的决议，发布决定和命令。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（2）执行本行政区域内的经济和社会发展计划、预算，管理本行政区域内的经济、教育、科学、文化、卫生、体育事业和财政、民政、司法行政、计划生育等行政工作。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（3）保护社会主义全民所有的财产和劳动群众集体所有的财产，保护公民私人所有的合法财产，维护社会秩序，保障公民的人身权利、民主权利和其他权利。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（4）保护各种经济组织的合法权益。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（5）保障少数民族的权利和尊重少数民族的风俗习惯。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（6）保障宪法和法律赋予妇女的男女平等、同工同酬和婚姻自由等各项权利。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7）推进村（社区）发展建设，指导村民委员会、社区居民委员会工作，支持和促进依法自治，完善服务功能，提升治理水平；组织动员辖区单位和各类社会组织参与基层治理工作，统筹辖区资源，实现共建共治共享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（8）承办区政府交办的其他事项。</w:t>
      </w:r>
    </w:p>
    <w:p>
      <w:pPr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（三）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部门整体绩效目标设立情况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2024年度，我乡部门整体绩效目标为：严格落实资金使用，保障人员支出、机构正常运行支出；维护地区安全稳定；加强环境整治，整体提高地区环境卫生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水平</w:t>
      </w:r>
      <w:r>
        <w:rPr>
          <w:rFonts w:ascii="Times New Roman" w:hAnsi="Times New Roman" w:eastAsia="仿宋_GB2312" w:cs="Times New Roman"/>
          <w:sz w:val="32"/>
          <w:szCs w:val="32"/>
        </w:rPr>
        <w:t>，达到环卫要求；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提高</w:t>
      </w:r>
      <w:r>
        <w:rPr>
          <w:rFonts w:ascii="Times New Roman" w:hAnsi="Times New Roman" w:eastAsia="仿宋_GB2312" w:cs="Times New Roman"/>
          <w:sz w:val="32"/>
          <w:szCs w:val="32"/>
        </w:rPr>
        <w:t>园林绿化非常规水源利用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率</w:t>
      </w:r>
      <w:r>
        <w:rPr>
          <w:rFonts w:ascii="Times New Roman" w:hAnsi="Times New Roman" w:eastAsia="仿宋_GB2312" w:cs="Times New Roman"/>
          <w:sz w:val="32"/>
          <w:szCs w:val="32"/>
        </w:rPr>
        <w:t>；保障地区民生建设；开展丰富多彩的文化体育活动；提高群众安全感指数等。根据预算项目资金安排，结合我乡各职能科室项目实际安排情况，合理制定我乡整体目标。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二、当年度预算执行情况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年全年预算数223,510.68万元，其中，基本支出预算数5,203.02万元，项目支出预算数218,307.66万元，其他支出预算数0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万元。资金总体支出</w:t>
      </w:r>
      <w:r>
        <w:rPr>
          <w:rFonts w:ascii="Times New Roman" w:hAnsi="Times New Roman" w:eastAsia="仿宋_GB2312" w:cs="Times New Roman"/>
          <w:sz w:val="32"/>
          <w:szCs w:val="32"/>
        </w:rPr>
        <w:t>223,510.68万元，其中，基本支出5,203.02万元，项目支出218,307.66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万元，其他支出0万元。预算执行率为100%。</w:t>
      </w:r>
    </w:p>
    <w:p>
      <w:pPr>
        <w:spacing w:line="600" w:lineRule="exact"/>
        <w:ind w:left="105" w:leftChars="50" w:firstLine="480" w:firstLineChars="15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 xml:space="preserve">三、整体绩效目标实现情况 </w:t>
      </w:r>
    </w:p>
    <w:p>
      <w:pPr>
        <w:spacing w:line="600" w:lineRule="exact"/>
        <w:ind w:left="105" w:leftChars="50" w:firstLine="482" w:firstLineChars="15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（一）产出完成情况分析</w:t>
      </w:r>
    </w:p>
    <w:p>
      <w:pPr>
        <w:spacing w:line="600" w:lineRule="exact"/>
        <w:ind w:left="105" w:leftChars="50" w:firstLine="480" w:firstLineChars="1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1.产出数量和产出质量</w:t>
      </w:r>
    </w:p>
    <w:p>
      <w:pPr>
        <w:spacing w:line="600" w:lineRule="exact"/>
        <w:ind w:left="105" w:leftChars="50" w:firstLine="480" w:firstLineChars="1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针对不同项目性质，安排不同种类的活动，在保证活动开展数量的前提下，不断提高活动质量。如：党建工作主题活动、社区公益事业工作等。</w:t>
      </w:r>
    </w:p>
    <w:p>
      <w:pPr>
        <w:numPr>
          <w:ilvl w:val="0"/>
          <w:numId w:val="1"/>
        </w:numPr>
        <w:spacing w:line="600" w:lineRule="exact"/>
        <w:ind w:left="420" w:leftChars="200" w:firstLine="320" w:firstLineChars="1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产出进度</w:t>
      </w:r>
    </w:p>
    <w:p>
      <w:pPr>
        <w:spacing w:line="600" w:lineRule="exact"/>
        <w:ind w:left="630" w:leftChars="3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根据年度各项工作安排，依据项目实际进展，加强资金</w:t>
      </w: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支出管理，严格执行经费预算批复，及时根据工作变化做好支出进度与工作进度相匹配，产出进度达到了年度确定的目标。在项目执行过程中，各部门与经济办一起监督项目进程，并进行阶段性的工作总结。</w:t>
      </w:r>
    </w:p>
    <w:p>
      <w:pPr>
        <w:numPr>
          <w:ilvl w:val="0"/>
          <w:numId w:val="2"/>
        </w:numPr>
        <w:spacing w:line="600" w:lineRule="exact"/>
        <w:ind w:left="105" w:leftChars="50" w:firstLine="480" w:firstLineChars="1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产出成本       </w:t>
      </w:r>
    </w:p>
    <w:p>
      <w:pPr>
        <w:spacing w:line="600" w:lineRule="exact"/>
        <w:ind w:left="420" w:left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按照年度确定的工作目标和实际履职工作需要，严格落实</w:t>
      </w: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过“紧日子”思想，压缩一般性开支。基本支出主要用于保障人员支出及日常公用等；项目支出用于保障各部门和各业务科室运转类保障性支出，在年度预算资金内控制成本支出。                          </w:t>
      </w:r>
    </w:p>
    <w:p>
      <w:pPr>
        <w:spacing w:line="600" w:lineRule="exact"/>
        <w:ind w:left="105" w:leftChars="50" w:firstLine="482" w:firstLineChars="15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（二）效果实现情况分析</w:t>
      </w:r>
    </w:p>
    <w:p>
      <w:pPr>
        <w:spacing w:line="600" w:lineRule="exact"/>
        <w:ind w:left="105" w:leftChars="50" w:firstLine="480" w:firstLineChars="1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1.经济效益</w:t>
      </w: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对于经济效益指标，严格控制项目成本，确保项目按要求合理支出。</w:t>
      </w:r>
    </w:p>
    <w:p>
      <w:pPr>
        <w:numPr>
          <w:ilvl w:val="0"/>
          <w:numId w:val="3"/>
        </w:numPr>
        <w:spacing w:line="600" w:lineRule="exact"/>
        <w:ind w:left="105" w:leftChars="50" w:firstLine="480" w:firstLineChars="1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社会效益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小红门地区始终以群众满意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度</w:t>
      </w:r>
      <w:r>
        <w:rPr>
          <w:rFonts w:ascii="Times New Roman" w:hAnsi="Times New Roman" w:eastAsia="仿宋_GB2312" w:cs="Times New Roman"/>
          <w:sz w:val="32"/>
          <w:szCs w:val="32"/>
        </w:rPr>
        <w:t>作为工作的出发点和落脚点，深化党建引领，突出为民导向，着力提升群众的获得感、幸福感、安全感，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取得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良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好的社会效益。</w:t>
      </w:r>
    </w:p>
    <w:p>
      <w:pPr>
        <w:numPr>
          <w:ilvl w:val="0"/>
          <w:numId w:val="3"/>
        </w:numPr>
        <w:spacing w:line="600" w:lineRule="exact"/>
        <w:ind w:left="105" w:leftChars="50" w:firstLine="480" w:firstLineChars="1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环境效益</w:t>
      </w:r>
    </w:p>
    <w:p>
      <w:pPr>
        <w:pStyle w:val="2"/>
        <w:ind w:left="420" w:leftChars="200" w:firstLine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对于环境整治项目，将环境效益作为重点指标，不断推</w:t>
      </w:r>
    </w:p>
    <w:p>
      <w:pPr>
        <w:pStyle w:val="2"/>
        <w:ind w:left="0" w:leftChars="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动环境质量改善、</w:t>
      </w:r>
      <w:r>
        <w:rPr>
          <w:rFonts w:hint="eastAsia" w:eastAsia="仿宋_GB2312"/>
          <w:sz w:val="32"/>
          <w:szCs w:val="32"/>
          <w:lang w:eastAsia="zh-CN"/>
        </w:rPr>
        <w:t>有效</w:t>
      </w:r>
      <w:r>
        <w:rPr>
          <w:rFonts w:eastAsia="仿宋_GB2312"/>
          <w:sz w:val="32"/>
          <w:szCs w:val="32"/>
        </w:rPr>
        <w:t>维护生态环境</w:t>
      </w:r>
      <w:r>
        <w:rPr>
          <w:rFonts w:hint="eastAsia" w:eastAsia="仿宋_GB2312"/>
          <w:sz w:val="32"/>
          <w:szCs w:val="32"/>
          <w:lang w:eastAsia="zh-CN"/>
        </w:rPr>
        <w:t>稳定</w:t>
      </w:r>
      <w:r>
        <w:rPr>
          <w:rFonts w:eastAsia="仿宋_GB2312"/>
          <w:sz w:val="32"/>
          <w:szCs w:val="32"/>
        </w:rPr>
        <w:t>。</w:t>
      </w:r>
    </w:p>
    <w:p>
      <w:pPr>
        <w:pStyle w:val="3"/>
        <w:spacing w:before="101" w:line="357" w:lineRule="auto"/>
        <w:ind w:right="91" w:firstLine="480" w:firstLineChars="1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4.可持续性影响</w:t>
      </w:r>
    </w:p>
    <w:p>
      <w:pPr>
        <w:pStyle w:val="2"/>
        <w:ind w:left="420" w:leftChars="200" w:firstLine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不断加强机关干部队伍建设，提升服务保障能力。一方面</w:t>
      </w:r>
    </w:p>
    <w:p>
      <w:pPr>
        <w:pStyle w:val="2"/>
        <w:ind w:firstLine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增强工作能力、优化政务服务，持续提升服务水平和质量；</w:t>
      </w:r>
      <w:r>
        <w:rPr>
          <w:rFonts w:eastAsia="仿宋_GB2312"/>
          <w:sz w:val="32"/>
          <w:szCs w:val="32"/>
        </w:rPr>
        <w:t>另一方面，本年度</w:t>
      </w:r>
      <w:r>
        <w:rPr>
          <w:rFonts w:hint="eastAsia" w:eastAsia="仿宋_GB2312"/>
          <w:sz w:val="32"/>
          <w:szCs w:val="32"/>
          <w:lang w:eastAsia="zh-CN"/>
        </w:rPr>
        <w:t>部分</w:t>
      </w:r>
      <w:r>
        <w:rPr>
          <w:rFonts w:eastAsia="仿宋_GB2312"/>
          <w:sz w:val="32"/>
          <w:szCs w:val="32"/>
        </w:rPr>
        <w:t>环境项目，工程竣工后</w:t>
      </w:r>
      <w:r>
        <w:rPr>
          <w:rFonts w:hint="eastAsia" w:eastAsia="仿宋_GB2312"/>
          <w:sz w:val="32"/>
          <w:szCs w:val="32"/>
          <w:lang w:eastAsia="zh-CN"/>
        </w:rPr>
        <w:t>显著改善</w:t>
      </w:r>
      <w:r>
        <w:rPr>
          <w:rFonts w:eastAsia="仿宋_GB2312"/>
          <w:sz w:val="32"/>
          <w:szCs w:val="32"/>
        </w:rPr>
        <w:t>群众</w:t>
      </w:r>
      <w:r>
        <w:rPr>
          <w:rFonts w:hint="eastAsia" w:eastAsia="仿宋_GB2312"/>
          <w:sz w:val="32"/>
          <w:szCs w:val="32"/>
          <w:lang w:eastAsia="zh-CN"/>
        </w:rPr>
        <w:t>生活</w:t>
      </w:r>
      <w:r>
        <w:rPr>
          <w:rFonts w:eastAsia="仿宋_GB2312"/>
          <w:sz w:val="32"/>
          <w:szCs w:val="32"/>
        </w:rPr>
        <w:t>质量。</w:t>
      </w:r>
    </w:p>
    <w:p>
      <w:pPr>
        <w:spacing w:line="600" w:lineRule="exact"/>
        <w:ind w:firstLine="480" w:firstLineChars="1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5.服务对象满意度</w:t>
      </w:r>
    </w:p>
    <w:p>
      <w:pPr>
        <w:pStyle w:val="2"/>
        <w:ind w:left="420" w:leftChars="200" w:firstLine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在项目实施过程中，我们除了对资金的使用情况进行跟踪</w:t>
      </w:r>
    </w:p>
    <w:p>
      <w:pPr>
        <w:pStyle w:val="2"/>
        <w:ind w:left="0" w:leftChars="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外，也对服务对象满意度</w:t>
      </w:r>
      <w:r>
        <w:rPr>
          <w:rFonts w:hint="eastAsia" w:eastAsia="仿宋_GB2312"/>
          <w:sz w:val="32"/>
          <w:szCs w:val="32"/>
          <w:lang w:eastAsia="zh-CN"/>
        </w:rPr>
        <w:t>高度重视</w:t>
      </w:r>
      <w:r>
        <w:rPr>
          <w:rFonts w:eastAsia="仿宋_GB2312"/>
          <w:sz w:val="32"/>
          <w:szCs w:val="32"/>
        </w:rPr>
        <w:t>。回应群众关切</w:t>
      </w:r>
      <w:r>
        <w:rPr>
          <w:rFonts w:hint="eastAsia" w:eastAsia="仿宋_GB2312"/>
          <w:sz w:val="32"/>
          <w:szCs w:val="32"/>
          <w:lang w:eastAsia="zh-CN"/>
        </w:rPr>
        <w:t>问题</w:t>
      </w:r>
      <w:r>
        <w:rPr>
          <w:rFonts w:eastAsia="仿宋_GB2312"/>
          <w:sz w:val="32"/>
          <w:szCs w:val="32"/>
        </w:rPr>
        <w:t>，群众满意度持续攀升。</w:t>
      </w:r>
    </w:p>
    <w:p>
      <w:pPr>
        <w:pStyle w:val="2"/>
        <w:ind w:firstLine="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四、预算管理情况分析</w:t>
      </w:r>
    </w:p>
    <w:p>
      <w:pPr>
        <w:spacing w:line="600" w:lineRule="exact"/>
        <w:ind w:left="105" w:leftChars="50" w:firstLine="482" w:firstLineChars="15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（一）财务管理</w:t>
      </w:r>
    </w:p>
    <w:p>
      <w:pPr>
        <w:spacing w:line="600" w:lineRule="exact"/>
        <w:ind w:left="105" w:leftChars="50" w:firstLine="480" w:firstLineChars="1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1.财务管理制度健全性</w:t>
      </w:r>
    </w:p>
    <w:p>
      <w:pPr>
        <w:pStyle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在预算资金的安排、使用和管理上，我乡严格落实中央八项规定及其实施细则，坚持政府过 “紧日子”。完善“三重一大”决策制度、重大行政决策程序。通过规范资金支出程序、把控审批支付要点，确保每笔支出依法合规、资金落到实处。</w:t>
      </w:r>
    </w:p>
    <w:p>
      <w:pPr>
        <w:numPr>
          <w:ilvl w:val="0"/>
          <w:numId w:val="4"/>
        </w:numPr>
        <w:spacing w:line="600" w:lineRule="exact"/>
        <w:ind w:left="105" w:leftChars="50" w:firstLine="480" w:firstLineChars="1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资金使用合规性和安全性</w:t>
      </w:r>
    </w:p>
    <w:p>
      <w:pPr>
        <w:pStyle w:val="2"/>
        <w:ind w:firstLine="0"/>
        <w:rPr>
          <w:rFonts w:eastAsia="仿宋_GB2312"/>
          <w:sz w:val="32"/>
          <w:szCs w:val="32"/>
        </w:rPr>
      </w:pPr>
      <w:r>
        <w:rPr>
          <w:rFonts w:eastAsia="仿宋_GB2312"/>
        </w:rPr>
        <w:t xml:space="preserve">     </w:t>
      </w:r>
      <w:r>
        <w:rPr>
          <w:rFonts w:eastAsia="仿宋_GB2312"/>
          <w:sz w:val="32"/>
          <w:szCs w:val="32"/>
        </w:rPr>
        <w:t>我乡严格按照部门预算管理要求，从预算编制入手，强化资金各环节的合规性、严格执行区财政局事前绩效评估，预算评审和执行跟踪</w:t>
      </w:r>
      <w:r>
        <w:rPr>
          <w:rFonts w:hint="eastAsia" w:eastAsia="仿宋_GB2312"/>
          <w:sz w:val="32"/>
          <w:szCs w:val="32"/>
          <w:lang w:eastAsia="zh-CN"/>
        </w:rPr>
        <w:t>全过程</w:t>
      </w:r>
      <w:r>
        <w:rPr>
          <w:rFonts w:eastAsia="仿宋_GB2312"/>
          <w:sz w:val="32"/>
          <w:szCs w:val="32"/>
        </w:rPr>
        <w:t>。不断加强财务管理，规范审批程序，强化内部控制确保各项资金支出符合财务规定。</w:t>
      </w:r>
    </w:p>
    <w:p>
      <w:pPr>
        <w:spacing w:line="600" w:lineRule="exact"/>
        <w:ind w:left="105" w:leftChars="50" w:firstLine="480" w:firstLineChars="1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3.会计基础信息完善性</w:t>
      </w:r>
    </w:p>
    <w:p>
      <w:pPr>
        <w:spacing w:line="600" w:lineRule="exact"/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严格执行政府会计制度做好财务工作，加强对预算、财务、采购等知识的学习，确保会计核算的规范和预决算数据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准确完整，按区财政局要求做好预决算信息公开工作。</w:t>
      </w:r>
    </w:p>
    <w:p>
      <w:pPr>
        <w:spacing w:line="600" w:lineRule="exact"/>
        <w:ind w:firstLine="643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（二）资产管理</w:t>
      </w:r>
    </w:p>
    <w:p>
      <w:pPr>
        <w:pStyle w:val="2"/>
      </w:pPr>
      <w:r>
        <w:rPr>
          <w:rFonts w:eastAsia="仿宋_GB2312"/>
          <w:sz w:val="32"/>
          <w:szCs w:val="32"/>
        </w:rPr>
        <w:t>资产管理严格执行资产管理各项规定，强化资产的日常管理，扎实落实资产管理工作。资产配置按存量实行严格的控制管理，强化资产配置的预算理念，细化资产配置的预算编制，规范执行资产采购的审批程序。</w:t>
      </w:r>
    </w:p>
    <w:p>
      <w:pPr>
        <w:spacing w:line="600" w:lineRule="exact"/>
        <w:ind w:left="420" w:left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（三）绩效管理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2024年，我乡较好地实现了部门整体绩效目标，对纳入了考核范围的项目进行了自评，全部项目均填报了项目支出绩效自评表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我乡较好地实现了部门整体绩效目标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取得了较好的社会效益。</w:t>
      </w:r>
    </w:p>
    <w:p>
      <w:pPr>
        <w:spacing w:line="600" w:lineRule="exact"/>
        <w:ind w:left="420" w:left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（四）结转结余率</w:t>
      </w:r>
    </w:p>
    <w:p>
      <w:pPr>
        <w:pStyle w:val="2"/>
        <w:ind w:left="420" w:leftChars="200" w:firstLine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我单位2024年度财政资金无结转结余，结转结余率为0。</w:t>
      </w:r>
    </w:p>
    <w:p>
      <w:pPr>
        <w:pStyle w:val="2"/>
        <w:ind w:firstLine="0"/>
        <w:rPr>
          <w:rFonts w:eastAsia="仿宋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（五）部门预决算差异率</w:t>
      </w:r>
    </w:p>
    <w:p>
      <w:pPr>
        <w:pStyle w:val="2"/>
        <w:ind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我单位2024年年初预算数为：</w:t>
      </w:r>
      <w:bookmarkStart w:id="0" w:name="OLE_LINK1"/>
      <w:bookmarkStart w:id="1" w:name="OLE_LINK2"/>
      <w:r>
        <w:rPr>
          <w:rFonts w:eastAsia="仿宋_GB2312"/>
          <w:sz w:val="32"/>
          <w:szCs w:val="32"/>
        </w:rPr>
        <w:t>14,002.97</w:t>
      </w:r>
      <w:bookmarkEnd w:id="0"/>
      <w:bookmarkEnd w:id="1"/>
      <w:r>
        <w:rPr>
          <w:rFonts w:eastAsia="仿宋_GB2312"/>
          <w:sz w:val="32"/>
          <w:szCs w:val="32"/>
        </w:rPr>
        <w:t>万元，决算数为：223,510.68万元，部门预决算差异率为：</w:t>
      </w: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96.17</w:t>
      </w:r>
      <w:r>
        <w:rPr>
          <w:rFonts w:eastAsia="仿宋_GB2312"/>
          <w:sz w:val="32"/>
          <w:szCs w:val="32"/>
        </w:rPr>
        <w:t>%。</w:t>
      </w:r>
    </w:p>
    <w:p>
      <w:pPr>
        <w:spacing w:line="600" w:lineRule="exact"/>
        <w:ind w:left="105" w:leftChars="50" w:firstLine="480" w:firstLineChars="15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五、总体评价结论</w:t>
      </w:r>
    </w:p>
    <w:p>
      <w:pPr>
        <w:pStyle w:val="2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（一）评价得分情况</w:t>
      </w:r>
    </w:p>
    <w:p>
      <w:pPr>
        <w:pStyle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经评价，</w:t>
      </w:r>
      <w:r>
        <w:rPr>
          <w:rFonts w:eastAsia="仿宋_GB2312"/>
          <w:sz w:val="32"/>
          <w:szCs w:val="32"/>
        </w:rPr>
        <w:t>2024年度部门整体支出绩效评价总得分在95分以上，评价结果为“优秀”。在产出进度方面整体项目进度符合预期，绝大部分项目完成了100%支出；从效果实现角度来看，各项指标基本顺利完成，经济效益和社会效益指标完成情况较好，群众满意度得到提升。能够从实际问题出发制定项目指标。在项目推进过程中，除了对于资金使用情况的跟踪外，也不忘跟踪服务对象的满意度，以便可以更高效的推进项目。</w:t>
      </w:r>
    </w:p>
    <w:p>
      <w:pPr>
        <w:pStyle w:val="2"/>
        <w:rPr>
          <w:rFonts w:eastAsia="仿宋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（二）存在的问题及原因分析</w:t>
      </w:r>
      <w:r>
        <w:rPr>
          <w:rFonts w:eastAsia="楷体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项目实施过程中，需要进一步完善资料，明确实施部门责任，制定更为详尽的跟踪方案。对于重点项目从提升经济效益、社会效益、群众满意度入手，建立更加切实可行措施，将资金效益发挥到最优化。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六、措施建议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（一）加强对业务科室的培训及指导</w:t>
      </w:r>
      <w:r>
        <w:rPr>
          <w:rFonts w:ascii="Times New Roman" w:hAnsi="Times New Roman" w:eastAsia="仿宋_GB2312" w:cs="Times New Roman"/>
          <w:sz w:val="32"/>
          <w:szCs w:val="32"/>
        </w:rPr>
        <w:t>。建立项目资金的绩效管理的观念，做到事前、事中、事后绩效管理的全过程跟踪，过程中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确保</w:t>
      </w:r>
      <w:r>
        <w:rPr>
          <w:rFonts w:ascii="Times New Roman" w:hAnsi="Times New Roman" w:eastAsia="仿宋_GB2312" w:cs="Times New Roman"/>
          <w:sz w:val="32"/>
          <w:szCs w:val="32"/>
        </w:rPr>
        <w:t>不偏离绩效目标。</w:t>
      </w:r>
    </w:p>
    <w:p>
      <w:pPr>
        <w:pStyle w:val="2"/>
        <w:ind w:firstLine="640" w:firstLineChars="200"/>
      </w:pPr>
      <w:r>
        <w:rPr>
          <w:rFonts w:eastAsia="楷体_GB2312"/>
          <w:sz w:val="32"/>
          <w:szCs w:val="32"/>
        </w:rPr>
        <w:t>（二）切实注重服务对象满意度的实现。</w:t>
      </w:r>
      <w:r>
        <w:rPr>
          <w:rFonts w:eastAsia="仿宋_GB2312"/>
          <w:sz w:val="32"/>
          <w:szCs w:val="32"/>
        </w:rPr>
        <w:t>建议各部门在项目执行过程中，选择切实可</w:t>
      </w:r>
      <w:bookmarkStart w:id="2" w:name="_GoBack"/>
      <w:bookmarkEnd w:id="2"/>
      <w:r>
        <w:rPr>
          <w:rFonts w:eastAsia="仿宋_GB2312"/>
          <w:sz w:val="32"/>
          <w:szCs w:val="32"/>
        </w:rPr>
        <w:t>行的方法，随时了解服务对象的满意度，最大化</w:t>
      </w:r>
      <w:r>
        <w:rPr>
          <w:rFonts w:hint="eastAsia" w:eastAsia="仿宋_GB2312"/>
          <w:sz w:val="32"/>
          <w:szCs w:val="32"/>
          <w:lang w:eastAsia="zh-CN"/>
        </w:rPr>
        <w:t>地</w:t>
      </w:r>
      <w:r>
        <w:rPr>
          <w:rFonts w:eastAsia="仿宋_GB2312"/>
          <w:sz w:val="32"/>
          <w:szCs w:val="32"/>
        </w:rPr>
        <w:t>实现项目效果。</w:t>
      </w:r>
    </w:p>
    <w:p>
      <w:pPr>
        <w:pStyle w:val="2"/>
        <w:ind w:firstLine="0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ind w:right="64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小红门乡人民政府</w:t>
      </w:r>
    </w:p>
    <w:p>
      <w:pPr>
        <w:ind w:right="640"/>
        <w:jc w:val="right"/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2025年2月14日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0971F"/>
    <w:multiLevelType w:val="singleLevel"/>
    <w:tmpl w:val="63E0971F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63E097E9"/>
    <w:multiLevelType w:val="singleLevel"/>
    <w:tmpl w:val="63E097E9"/>
    <w:lvl w:ilvl="0" w:tentative="0">
      <w:start w:val="4"/>
      <w:numFmt w:val="decimal"/>
      <w:suff w:val="nothing"/>
      <w:lvlText w:val="%1."/>
      <w:lvlJc w:val="left"/>
    </w:lvl>
  </w:abstractNum>
  <w:abstractNum w:abstractNumId="2">
    <w:nsid w:val="63E0B5F0"/>
    <w:multiLevelType w:val="singleLevel"/>
    <w:tmpl w:val="63E0B5F0"/>
    <w:lvl w:ilvl="0" w:tentative="0">
      <w:start w:val="2"/>
      <w:numFmt w:val="decimal"/>
      <w:suff w:val="nothing"/>
      <w:lvlText w:val="%1."/>
      <w:lvlJc w:val="left"/>
    </w:lvl>
  </w:abstractNum>
  <w:abstractNum w:abstractNumId="3">
    <w:nsid w:val="63E0C0FA"/>
    <w:multiLevelType w:val="singleLevel"/>
    <w:tmpl w:val="63E0C0FA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ODA3MWFkYzZjZGExMWU0ODJiOTBmZjNkZmY3YmEifQ=="/>
  </w:docVars>
  <w:rsids>
    <w:rsidRoot w:val="00E1645E"/>
    <w:rsid w:val="000309A2"/>
    <w:rsid w:val="000A397C"/>
    <w:rsid w:val="000A495C"/>
    <w:rsid w:val="000D0023"/>
    <w:rsid w:val="000F5681"/>
    <w:rsid w:val="001215EA"/>
    <w:rsid w:val="00131251"/>
    <w:rsid w:val="001722DC"/>
    <w:rsid w:val="001C0CF3"/>
    <w:rsid w:val="001D6DC0"/>
    <w:rsid w:val="002564A4"/>
    <w:rsid w:val="002C1202"/>
    <w:rsid w:val="002F638E"/>
    <w:rsid w:val="00335FE8"/>
    <w:rsid w:val="00337CF9"/>
    <w:rsid w:val="00347D36"/>
    <w:rsid w:val="003546FA"/>
    <w:rsid w:val="00356463"/>
    <w:rsid w:val="003763F2"/>
    <w:rsid w:val="00384C39"/>
    <w:rsid w:val="003C4601"/>
    <w:rsid w:val="00424B74"/>
    <w:rsid w:val="004D7EF8"/>
    <w:rsid w:val="00520745"/>
    <w:rsid w:val="00531AD7"/>
    <w:rsid w:val="00555B2F"/>
    <w:rsid w:val="005623E3"/>
    <w:rsid w:val="00590AF5"/>
    <w:rsid w:val="005928DB"/>
    <w:rsid w:val="005B4FEF"/>
    <w:rsid w:val="005C207A"/>
    <w:rsid w:val="005C2745"/>
    <w:rsid w:val="005F2195"/>
    <w:rsid w:val="006848AA"/>
    <w:rsid w:val="006E5291"/>
    <w:rsid w:val="006F15BB"/>
    <w:rsid w:val="00765425"/>
    <w:rsid w:val="00766C36"/>
    <w:rsid w:val="0078764D"/>
    <w:rsid w:val="00797EE4"/>
    <w:rsid w:val="007B124E"/>
    <w:rsid w:val="008141AA"/>
    <w:rsid w:val="00815BDA"/>
    <w:rsid w:val="00852067"/>
    <w:rsid w:val="00877595"/>
    <w:rsid w:val="00883AAB"/>
    <w:rsid w:val="008A2BCE"/>
    <w:rsid w:val="008D726B"/>
    <w:rsid w:val="0096236D"/>
    <w:rsid w:val="00A1080A"/>
    <w:rsid w:val="00A25004"/>
    <w:rsid w:val="00A5343C"/>
    <w:rsid w:val="00A829AA"/>
    <w:rsid w:val="00B63D24"/>
    <w:rsid w:val="00B7719B"/>
    <w:rsid w:val="00B903C6"/>
    <w:rsid w:val="00B957FD"/>
    <w:rsid w:val="00BB31D3"/>
    <w:rsid w:val="00BC28FA"/>
    <w:rsid w:val="00C729D8"/>
    <w:rsid w:val="00C74361"/>
    <w:rsid w:val="00D0294A"/>
    <w:rsid w:val="00D25542"/>
    <w:rsid w:val="00D270B2"/>
    <w:rsid w:val="00D620B8"/>
    <w:rsid w:val="00D87C9D"/>
    <w:rsid w:val="00DB64F4"/>
    <w:rsid w:val="00DD14CB"/>
    <w:rsid w:val="00DD1A96"/>
    <w:rsid w:val="00DE2F6C"/>
    <w:rsid w:val="00E04FB9"/>
    <w:rsid w:val="00E05D4F"/>
    <w:rsid w:val="00E06717"/>
    <w:rsid w:val="00E1059E"/>
    <w:rsid w:val="00E1645E"/>
    <w:rsid w:val="00E239AA"/>
    <w:rsid w:val="00E73ACE"/>
    <w:rsid w:val="00E75A07"/>
    <w:rsid w:val="00F043AF"/>
    <w:rsid w:val="00F50F94"/>
    <w:rsid w:val="00F652C2"/>
    <w:rsid w:val="00F70957"/>
    <w:rsid w:val="00FF5C80"/>
    <w:rsid w:val="06254DF8"/>
    <w:rsid w:val="0DB03566"/>
    <w:rsid w:val="0DBD2170"/>
    <w:rsid w:val="10D43FA6"/>
    <w:rsid w:val="117B1D1A"/>
    <w:rsid w:val="13B23674"/>
    <w:rsid w:val="143074FE"/>
    <w:rsid w:val="16900E36"/>
    <w:rsid w:val="195B1F9F"/>
    <w:rsid w:val="1B793B65"/>
    <w:rsid w:val="1D3541EA"/>
    <w:rsid w:val="1F3422C4"/>
    <w:rsid w:val="20EF5A26"/>
    <w:rsid w:val="305C481D"/>
    <w:rsid w:val="312655FB"/>
    <w:rsid w:val="31AB670E"/>
    <w:rsid w:val="34601C80"/>
    <w:rsid w:val="35AC1DD2"/>
    <w:rsid w:val="38874567"/>
    <w:rsid w:val="3BBC42F8"/>
    <w:rsid w:val="41BB194E"/>
    <w:rsid w:val="43B041FB"/>
    <w:rsid w:val="44E65583"/>
    <w:rsid w:val="478C132A"/>
    <w:rsid w:val="50772144"/>
    <w:rsid w:val="514F6648"/>
    <w:rsid w:val="5222434B"/>
    <w:rsid w:val="576D604E"/>
    <w:rsid w:val="57F10A2D"/>
    <w:rsid w:val="58E06644"/>
    <w:rsid w:val="5D706898"/>
    <w:rsid w:val="5F301A9D"/>
    <w:rsid w:val="612C072A"/>
    <w:rsid w:val="622665A2"/>
    <w:rsid w:val="64EC4A56"/>
    <w:rsid w:val="66AA2D35"/>
    <w:rsid w:val="6D66675B"/>
    <w:rsid w:val="70C74416"/>
    <w:rsid w:val="720F6780"/>
    <w:rsid w:val="73B04088"/>
    <w:rsid w:val="776B5CAF"/>
    <w:rsid w:val="7C764C42"/>
    <w:rsid w:val="7CF7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 w:cs="Times New Roman"/>
      <w:szCs w:val="21"/>
    </w:rPr>
  </w:style>
  <w:style w:type="paragraph" w:styleId="3">
    <w:name w:val="Body Text"/>
    <w:basedOn w:val="1"/>
    <w:unhideWhenUsed/>
    <w:qFormat/>
    <w:uiPriority w:val="99"/>
    <w:rPr>
      <w:rFonts w:ascii="仿宋" w:hAnsi="仿宋" w:eastAsia="仿宋" w:cs="仿宋"/>
      <w:sz w:val="31"/>
      <w:szCs w:val="31"/>
      <w:lang w:eastAsia="en-US"/>
    </w:r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4"/>
    <w:semiHidden/>
    <w:qFormat/>
    <w:uiPriority w:val="99"/>
    <w:rPr>
      <w:rFonts w:asciiTheme="minorHAnsi" w:hAnsiTheme="minorHAnsi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7BA5E4-CD88-45B2-9092-229752D0C5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485</Words>
  <Characters>2768</Characters>
  <Lines>23</Lines>
  <Paragraphs>6</Paragraphs>
  <ScaleCrop>false</ScaleCrop>
  <LinksUpToDate>false</LinksUpToDate>
  <CharactersWithSpaces>3247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2021-02-02T01:13:00Z</dcterms:created>
  <dc:creator>a</dc:creator>
  <cp:lastModifiedBy>Dellp</cp:lastModifiedBy>
  <cp:lastPrinted>2025-02-14T07:41:00Z</cp:lastPrinted>
  <dcterms:modified xsi:type="dcterms:W3CDTF">2025-08-29T08:28:46Z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71B8A9F6A60B44AF98E96A843F1D72ED_13</vt:lpwstr>
  </property>
</Properties>
</file>