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（区妇联）2021年市政府工作报告重点工作落实情况表（第4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季度）</w:t>
      </w:r>
    </w:p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市折子第231项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</w:rPr>
              <w:t>坚持男女平等基本国策，保障妇女合法权益，细致做好孕产妇、老龄妇女关爱服务。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区妇联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</w:rPr>
              <w:t>区卫生健康委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落实</w:t>
            </w:r>
            <w:r>
              <w:rPr>
                <w:rFonts w:hint="eastAsia" w:cs="Times New Roman"/>
                <w:lang w:eastAsia="zh-CN"/>
              </w:rPr>
              <w:t>完成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母婴安心项目，</w:t>
            </w:r>
            <w:r>
              <w:rPr>
                <w:rFonts w:hint="eastAsia" w:cs="Times New Roman"/>
                <w:lang w:eastAsia="zh-CN"/>
              </w:rPr>
              <w:t>完成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线上授课、线下活动和答疑服务。做好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12345接诉即办工作， 落实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“12338”妇女服务热线接待工作。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82251"/>
    <w:rsid w:val="70CA3231"/>
    <w:rsid w:val="7AE82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2021-12-17T08:36:00Z</dcterms:created>
  <dc:creator>Administrator</dc:creator>
  <cp:lastModifiedBy>Administrator</cp:lastModifiedBy>
  <cp:lastPrinted>2021-12-20T08:12:22Z</cp:lastPrinted>
  <dcterms:modified xsi:type="dcterms:W3CDTF">2021-12-20T09:06:30Z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