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312" w:beforeLines="100" w:after="312" w:afterLines="100" w:line="500" w:lineRule="exact"/>
        <w:jc w:val="left"/>
        <w:rPr>
          <w:rFonts w:ascii="Times New Roman" w:hAnsi="Times New Roman" w:eastAsia="仿宋_GB2312"/>
          <w:sz w:val="32"/>
          <w:szCs w:val="32"/>
        </w:rPr>
      </w:pPr>
    </w:p>
    <w:p>
      <w:pPr>
        <w:pStyle w:val="2"/>
        <w:adjustRightInd w:val="0"/>
        <w:snapToGrid w:val="0"/>
        <w:spacing w:before="312" w:beforeLines="100" w:after="312" w:afterLines="100" w:line="500" w:lineRule="exact"/>
        <w:rPr>
          <w:rFonts w:ascii="Times New Roman" w:hAnsi="Times New Roman" w:eastAsia="仿宋_GB2312"/>
          <w:sz w:val="32"/>
          <w:szCs w:val="32"/>
        </w:rPr>
      </w:pPr>
    </w:p>
    <w:p>
      <w:pPr>
        <w:pStyle w:val="2"/>
        <w:adjustRightInd w:val="0"/>
        <w:snapToGrid w:val="0"/>
        <w:spacing w:before="312" w:beforeLines="100" w:after="312" w:afterLines="100" w:line="500" w:lineRule="exact"/>
        <w:rPr>
          <w:rFonts w:ascii="Times New Roman" w:hAnsi="Times New Roman" w:eastAsia="仿宋_GB2312"/>
          <w:sz w:val="32"/>
          <w:szCs w:val="32"/>
        </w:rPr>
      </w:pPr>
    </w:p>
    <w:p>
      <w:pPr>
        <w:pStyle w:val="2"/>
        <w:adjustRightInd w:val="0"/>
        <w:snapToGrid w:val="0"/>
        <w:spacing w:before="312" w:beforeLines="100" w:after="312" w:afterLines="100" w:line="500" w:lineRule="exact"/>
        <w:rPr>
          <w:rFonts w:ascii="Times New Roman" w:hAnsi="Times New Roman" w:eastAsia="仿宋_GB2312"/>
          <w:sz w:val="32"/>
          <w:szCs w:val="32"/>
        </w:rPr>
      </w:pPr>
    </w:p>
    <w:p>
      <w:pPr>
        <w:pStyle w:val="2"/>
        <w:adjustRightInd w:val="0"/>
        <w:snapToGrid w:val="0"/>
        <w:spacing w:before="312" w:beforeLines="100" w:after="312" w:afterLines="100" w:line="500" w:lineRule="exact"/>
        <w:rPr>
          <w:rFonts w:ascii="Times New Roman" w:hAnsi="Times New Roman" w:eastAsia="仿宋_GB2312"/>
          <w:sz w:val="32"/>
          <w:szCs w:val="32"/>
        </w:rPr>
      </w:pPr>
    </w:p>
    <w:p>
      <w:pPr>
        <w:pStyle w:val="2"/>
        <w:adjustRightInd w:val="0"/>
        <w:snapToGrid w:val="0"/>
        <w:spacing w:before="312" w:beforeLines="100" w:after="312" w:afterLines="100" w:line="500" w:lineRule="exact"/>
        <w:rPr>
          <w:rFonts w:ascii="Times New Roman" w:hAnsi="Times New Roman" w:eastAsia="仿宋_GB2312"/>
          <w:sz w:val="32"/>
          <w:szCs w:val="32"/>
        </w:rPr>
      </w:pPr>
    </w:p>
    <w:p>
      <w:pPr>
        <w:pStyle w:val="2"/>
        <w:adjustRightInd w:val="0"/>
        <w:snapToGrid w:val="0"/>
        <w:spacing w:before="312" w:beforeLines="100" w:after="312" w:afterLines="100" w:line="500" w:lineRule="exact"/>
        <w:rPr>
          <w:rFonts w:ascii="Times New Roman" w:hAnsi="Times New Roman"/>
          <w:color w:val="auto"/>
          <w:szCs w:val="44"/>
        </w:rPr>
      </w:pPr>
      <w:r>
        <w:rPr>
          <w:rFonts w:ascii="Times New Roman" w:hAnsi="Times New Roman"/>
          <w:color w:val="auto"/>
          <w:szCs w:val="44"/>
        </w:rPr>
        <w:t>北京市朝阳区朝阳园管委会</w:t>
      </w:r>
      <w:r>
        <w:rPr>
          <w:rFonts w:hint="eastAsia" w:ascii="Times New Roman" w:hAnsi="Times New Roman"/>
          <w:color w:val="auto"/>
          <w:szCs w:val="44"/>
        </w:rPr>
        <w:t>（电子城管委会）</w:t>
      </w:r>
      <w:r>
        <w:rPr>
          <w:rFonts w:ascii="Times New Roman" w:hAnsi="Times New Roman"/>
          <w:color w:val="auto"/>
          <w:szCs w:val="44"/>
        </w:rPr>
        <w:t>2018年政府信息公开工作年度报告</w:t>
      </w:r>
    </w:p>
    <w:p>
      <w:pPr>
        <w:widowControl/>
        <w:spacing w:before="312" w:beforeLines="100" w:after="312" w:afterLines="100" w:line="560" w:lineRule="exact"/>
        <w:jc w:val="center"/>
        <w:outlineLvl w:val="0"/>
        <w:rPr>
          <w:rFonts w:eastAsia="黑体"/>
          <w:color w:val="000000"/>
          <w:kern w:val="0"/>
          <w:sz w:val="32"/>
          <w:szCs w:val="32"/>
        </w:rPr>
      </w:pPr>
    </w:p>
    <w:p>
      <w:pPr>
        <w:widowControl/>
        <w:spacing w:before="312" w:beforeLines="100" w:after="312" w:afterLines="100" w:line="560" w:lineRule="exact"/>
        <w:jc w:val="center"/>
        <w:outlineLvl w:val="0"/>
        <w:rPr>
          <w:rFonts w:eastAsia="黑体"/>
          <w:color w:val="000000"/>
          <w:kern w:val="0"/>
          <w:sz w:val="32"/>
          <w:szCs w:val="32"/>
        </w:rPr>
      </w:pPr>
    </w:p>
    <w:p>
      <w:pPr>
        <w:widowControl/>
        <w:spacing w:before="312" w:beforeLines="100" w:after="312" w:afterLines="100" w:line="560" w:lineRule="exact"/>
        <w:jc w:val="center"/>
        <w:outlineLvl w:val="0"/>
        <w:rPr>
          <w:rFonts w:eastAsia="黑体"/>
          <w:color w:val="000000"/>
          <w:kern w:val="0"/>
          <w:sz w:val="32"/>
          <w:szCs w:val="32"/>
        </w:rPr>
      </w:pPr>
    </w:p>
    <w:p>
      <w:pPr>
        <w:widowControl/>
        <w:spacing w:before="312" w:beforeLines="100" w:after="312" w:afterLines="100" w:line="560" w:lineRule="exact"/>
        <w:jc w:val="center"/>
        <w:outlineLvl w:val="0"/>
        <w:rPr>
          <w:rFonts w:eastAsia="黑体"/>
          <w:color w:val="000000"/>
          <w:kern w:val="0"/>
          <w:sz w:val="32"/>
          <w:szCs w:val="32"/>
        </w:rPr>
      </w:pPr>
    </w:p>
    <w:p>
      <w:pPr>
        <w:widowControl/>
        <w:spacing w:before="312" w:beforeLines="100" w:after="312" w:afterLines="100" w:line="560" w:lineRule="exact"/>
        <w:jc w:val="center"/>
        <w:outlineLvl w:val="0"/>
        <w:rPr>
          <w:rFonts w:eastAsia="黑体"/>
          <w:color w:val="000000"/>
          <w:kern w:val="0"/>
          <w:sz w:val="32"/>
          <w:szCs w:val="32"/>
        </w:rPr>
      </w:pPr>
    </w:p>
    <w:p>
      <w:pPr>
        <w:widowControl/>
        <w:spacing w:before="312" w:beforeLines="100" w:after="312" w:afterLines="100" w:line="560" w:lineRule="exact"/>
        <w:jc w:val="center"/>
        <w:outlineLvl w:val="0"/>
        <w:rPr>
          <w:rFonts w:eastAsia="黑体"/>
          <w:color w:val="000000"/>
          <w:kern w:val="0"/>
          <w:sz w:val="32"/>
          <w:szCs w:val="32"/>
        </w:rPr>
      </w:pPr>
    </w:p>
    <w:p>
      <w:pPr>
        <w:widowControl/>
        <w:spacing w:before="312" w:beforeLines="100" w:after="312" w:afterLines="100" w:line="560" w:lineRule="exact"/>
        <w:jc w:val="center"/>
        <w:outlineLvl w:val="0"/>
        <w:rPr>
          <w:rFonts w:eastAsia="黑体"/>
          <w:color w:val="000000"/>
          <w:kern w:val="0"/>
          <w:sz w:val="32"/>
          <w:szCs w:val="32"/>
        </w:rPr>
      </w:pPr>
    </w:p>
    <w:p>
      <w:pPr>
        <w:widowControl/>
        <w:spacing w:before="312" w:beforeLines="100" w:after="312" w:afterLines="100" w:line="560" w:lineRule="exact"/>
        <w:jc w:val="center"/>
        <w:outlineLvl w:val="0"/>
        <w:rPr>
          <w:rFonts w:eastAsia="黑体"/>
          <w:color w:val="000000"/>
          <w:kern w:val="0"/>
          <w:sz w:val="32"/>
          <w:szCs w:val="32"/>
        </w:rPr>
      </w:pPr>
    </w:p>
    <w:p>
      <w:pPr>
        <w:widowControl/>
        <w:spacing w:line="600" w:lineRule="exact"/>
        <w:ind w:firstLine="640" w:firstLineChars="200"/>
        <w:rPr>
          <w:rFonts w:eastAsia="仿宋_GB2312"/>
          <w:sz w:val="32"/>
          <w:szCs w:val="32"/>
        </w:rPr>
      </w:pPr>
    </w:p>
    <w:p>
      <w:pPr>
        <w:widowControl/>
        <w:spacing w:line="600" w:lineRule="exact"/>
        <w:ind w:firstLine="640" w:firstLineChars="200"/>
        <w:rPr>
          <w:rFonts w:eastAsia="仿宋_GB2312"/>
          <w:color w:val="000000"/>
          <w:kern w:val="0"/>
          <w:sz w:val="32"/>
          <w:szCs w:val="32"/>
        </w:rPr>
      </w:pPr>
      <w:bookmarkStart w:id="0" w:name="OLE_LINK1"/>
      <w:r>
        <w:rPr>
          <w:rFonts w:eastAsia="仿宋_GB2312"/>
          <w:sz w:val="32"/>
          <w:szCs w:val="32"/>
        </w:rPr>
        <w:t>本报告是根据《中华人民共和国政府信息公开条例》</w:t>
      </w:r>
      <w:r>
        <w:rPr>
          <w:rFonts w:eastAsia="仿宋_GB2312"/>
          <w:color w:val="000000"/>
          <w:kern w:val="0"/>
          <w:sz w:val="32"/>
          <w:szCs w:val="32"/>
        </w:rPr>
        <w:t>（</w:t>
      </w:r>
      <w:r>
        <w:rPr>
          <w:rFonts w:eastAsia="仿宋_GB2312"/>
          <w:sz w:val="32"/>
          <w:szCs w:val="32"/>
        </w:rPr>
        <w:t>以下简称《条例》）要求</w:t>
      </w:r>
      <w:r>
        <w:rPr>
          <w:rFonts w:eastAsia="仿宋_GB2312"/>
          <w:color w:val="000000"/>
          <w:sz w:val="32"/>
          <w:szCs w:val="32"/>
        </w:rPr>
        <w:t>，由北京市朝阳区</w:t>
      </w:r>
      <w:r>
        <w:rPr>
          <w:rFonts w:hint="eastAsia" w:eastAsia="仿宋_GB2312"/>
          <w:color w:val="000000"/>
          <w:sz w:val="32"/>
          <w:szCs w:val="32"/>
        </w:rPr>
        <w:t>朝阳园管委会（电子城管委会）</w:t>
      </w:r>
      <w:r>
        <w:rPr>
          <w:rFonts w:eastAsia="仿宋_GB2312"/>
          <w:color w:val="000000"/>
          <w:sz w:val="32"/>
          <w:szCs w:val="32"/>
        </w:rPr>
        <w:t>编</w:t>
      </w:r>
      <w:r>
        <w:rPr>
          <w:rFonts w:eastAsia="仿宋_GB2312"/>
          <w:color w:val="000000"/>
          <w:kern w:val="0"/>
          <w:sz w:val="32"/>
          <w:szCs w:val="32"/>
        </w:rPr>
        <w:t>制的</w:t>
      </w:r>
      <w:r>
        <w:rPr>
          <w:rFonts w:eastAsia="仿宋_GB2312"/>
          <w:kern w:val="0"/>
          <w:sz w:val="32"/>
          <w:szCs w:val="32"/>
        </w:rPr>
        <w:t>2018</w:t>
      </w:r>
      <w:r>
        <w:rPr>
          <w:rFonts w:eastAsia="仿宋_GB2312"/>
          <w:color w:val="000000"/>
          <w:kern w:val="0"/>
          <w:sz w:val="32"/>
          <w:szCs w:val="32"/>
        </w:rPr>
        <w:t>年度政府信息公开年度报告。</w:t>
      </w:r>
    </w:p>
    <w:p>
      <w:pPr>
        <w:widowControl/>
        <w:spacing w:line="560" w:lineRule="exact"/>
        <w:ind w:firstLine="640" w:firstLineChars="200"/>
        <w:rPr>
          <w:rFonts w:eastAsia="仿宋_GB2312"/>
          <w:color w:val="000000"/>
          <w:kern w:val="0"/>
          <w:sz w:val="32"/>
          <w:szCs w:val="32"/>
        </w:rPr>
      </w:pPr>
      <w:r>
        <w:rPr>
          <w:rFonts w:eastAsia="仿宋_GB2312"/>
          <w:color w:val="000000"/>
          <w:kern w:val="0"/>
          <w:sz w:val="32"/>
          <w:szCs w:val="32"/>
        </w:rPr>
        <w:t>全文包括概述，主动公开政府信息的情况，依申请公开政府信息和不予公开政府信息的情况，政府信息公开咨询情况，因政府信息公开申请行政复议、提起行政诉讼的情况，政府信息公开工作存在的不足及改进措施共</w:t>
      </w:r>
      <w:r>
        <w:rPr>
          <w:rFonts w:hint="eastAsia" w:eastAsia="仿宋_GB2312"/>
          <w:color w:val="000000"/>
          <w:kern w:val="0"/>
          <w:sz w:val="32"/>
          <w:szCs w:val="32"/>
        </w:rPr>
        <w:t>五</w:t>
      </w:r>
      <w:r>
        <w:rPr>
          <w:rFonts w:eastAsia="仿宋_GB2312"/>
          <w:color w:val="000000"/>
          <w:kern w:val="0"/>
          <w:sz w:val="32"/>
          <w:szCs w:val="32"/>
        </w:rPr>
        <w:t>部分内容。</w:t>
      </w:r>
    </w:p>
    <w:p>
      <w:pPr>
        <w:widowControl/>
        <w:spacing w:line="560" w:lineRule="exact"/>
        <w:ind w:firstLine="640" w:firstLineChars="200"/>
        <w:rPr>
          <w:rFonts w:eastAsia="仿宋_GB2312"/>
          <w:color w:val="000000"/>
          <w:kern w:val="0"/>
          <w:sz w:val="32"/>
          <w:szCs w:val="32"/>
        </w:rPr>
      </w:pPr>
      <w:r>
        <w:rPr>
          <w:rFonts w:eastAsia="仿宋_GB2312"/>
          <w:color w:val="000000"/>
          <w:kern w:val="0"/>
          <w:sz w:val="32"/>
          <w:szCs w:val="32"/>
        </w:rPr>
        <w:t>本报告中所列数据的统计期限自</w:t>
      </w:r>
      <w:r>
        <w:rPr>
          <w:rFonts w:eastAsia="仿宋_GB2312"/>
          <w:kern w:val="0"/>
          <w:sz w:val="32"/>
          <w:szCs w:val="32"/>
        </w:rPr>
        <w:t>2018年1月1日起，至2018年12月31日止。</w:t>
      </w:r>
      <w:r>
        <w:rPr>
          <w:rFonts w:eastAsia="仿宋_GB2312"/>
          <w:color w:val="000000"/>
          <w:kern w:val="0"/>
          <w:sz w:val="32"/>
          <w:szCs w:val="32"/>
        </w:rPr>
        <w:t>本报告的电子版可在朝阳区政府</w:t>
      </w:r>
      <w:r>
        <w:rPr>
          <w:rFonts w:hint="eastAsia" w:eastAsia="仿宋_GB2312"/>
          <w:color w:val="000000"/>
          <w:kern w:val="0"/>
          <w:sz w:val="32"/>
          <w:szCs w:val="32"/>
        </w:rPr>
        <w:t>信息公开专栏</w:t>
      </w:r>
      <w:r>
        <w:rPr>
          <w:rFonts w:eastAsia="仿宋_GB2312"/>
          <w:color w:val="000000"/>
          <w:kern w:val="0"/>
          <w:sz w:val="32"/>
          <w:szCs w:val="32"/>
        </w:rPr>
        <w:t>（</w:t>
      </w:r>
      <w:r>
        <w:fldChar w:fldCharType="begin"/>
      </w:r>
      <w:r>
        <w:instrText xml:space="preserve"> HYPERLINK "http://xxgk.bjchy.gov.cn/" </w:instrText>
      </w:r>
      <w:r>
        <w:fldChar w:fldCharType="separate"/>
      </w:r>
      <w:r>
        <w:rPr>
          <w:rStyle w:val="8"/>
          <w:rFonts w:eastAsia="仿宋_GB2312"/>
          <w:kern w:val="0"/>
          <w:sz w:val="32"/>
          <w:szCs w:val="32"/>
        </w:rPr>
        <w:t>http://xxgk.bjchy.gov.cn/</w:t>
      </w:r>
      <w:r>
        <w:rPr>
          <w:rStyle w:val="8"/>
          <w:rFonts w:eastAsia="仿宋_GB2312"/>
          <w:kern w:val="0"/>
          <w:sz w:val="32"/>
          <w:szCs w:val="32"/>
        </w:rPr>
        <w:fldChar w:fldCharType="end"/>
      </w:r>
      <w:r>
        <w:rPr>
          <w:rFonts w:eastAsia="仿宋_GB2312"/>
          <w:color w:val="000000"/>
          <w:kern w:val="0"/>
          <w:sz w:val="32"/>
          <w:szCs w:val="32"/>
        </w:rPr>
        <w:t>）下载。如对报告有任何疑问，请联系</w:t>
      </w:r>
      <w:r>
        <w:rPr>
          <w:rFonts w:hint="eastAsia" w:eastAsia="仿宋_GB2312"/>
          <w:color w:val="000000"/>
          <w:kern w:val="0"/>
          <w:sz w:val="32"/>
          <w:szCs w:val="32"/>
        </w:rPr>
        <w:t>：</w:t>
      </w:r>
      <w:r>
        <w:rPr>
          <w:rFonts w:hint="eastAsia" w:eastAsia="仿宋_GB2312" w:cs="仿宋_GB2312"/>
          <w:color w:val="000000"/>
          <w:kern w:val="0"/>
          <w:sz w:val="32"/>
          <w:szCs w:val="32"/>
        </w:rPr>
        <w:t>朝阳园管委会办公室，</w:t>
      </w:r>
      <w:r>
        <w:rPr>
          <w:rFonts w:hint="eastAsia" w:eastAsia="仿宋_GB2312"/>
          <w:color w:val="000000"/>
          <w:kern w:val="0"/>
          <w:sz w:val="32"/>
          <w:szCs w:val="32"/>
        </w:rPr>
        <w:t>联系电话：</w:t>
      </w:r>
      <w:r>
        <w:rPr>
          <w:rFonts w:eastAsia="仿宋_GB2312"/>
          <w:color w:val="000000"/>
          <w:kern w:val="0"/>
          <w:sz w:val="32"/>
          <w:szCs w:val="32"/>
        </w:rPr>
        <w:t xml:space="preserve"> 64311811</w:t>
      </w:r>
    </w:p>
    <w:p>
      <w:pPr>
        <w:widowControl/>
        <w:jc w:val="left"/>
        <w:rPr>
          <w:rFonts w:ascii="Arial" w:hAnsi="Arial" w:cs="Arial"/>
        </w:rPr>
      </w:pPr>
      <w:r>
        <w:rPr>
          <w:rFonts w:ascii="Arial" w:hAnsi="Arial" w:cs="Arial"/>
        </w:rPr>
        <w:br w:type="page"/>
      </w:r>
    </w:p>
    <w:p>
      <w:pPr>
        <w:widowControl/>
        <w:spacing w:before="312" w:beforeLines="100" w:after="312" w:afterLines="100" w:line="560" w:lineRule="exact"/>
        <w:jc w:val="center"/>
        <w:outlineLvl w:val="0"/>
        <w:rPr>
          <w:rFonts w:eastAsia="黑体"/>
          <w:color w:val="000000"/>
          <w:kern w:val="0"/>
          <w:sz w:val="32"/>
          <w:szCs w:val="32"/>
        </w:rPr>
      </w:pPr>
      <w:r>
        <w:rPr>
          <w:rFonts w:eastAsia="黑体"/>
          <w:color w:val="000000"/>
          <w:kern w:val="0"/>
          <w:sz w:val="32"/>
          <w:szCs w:val="32"/>
        </w:rPr>
        <w:t>一、概述</w:t>
      </w:r>
    </w:p>
    <w:p>
      <w:pPr>
        <w:pStyle w:val="6"/>
        <w:spacing w:before="0" w:beforeAutospacing="0" w:after="0" w:afterAutospacing="0" w:line="600" w:lineRule="exact"/>
        <w:ind w:firstLine="640" w:firstLineChars="200"/>
        <w:jc w:val="both"/>
        <w:rPr>
          <w:rFonts w:ascii="Times New Roman" w:hAnsi="Times New Roman" w:eastAsia="仿宋_GB2312" w:cs="仿宋_GB2312"/>
          <w:sz w:val="32"/>
          <w:szCs w:val="32"/>
        </w:rPr>
      </w:pP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年，朝阳园管委会在区委、区政府的领导下，结合工作职能特点，深入贯彻落实《中华人民共和国政府信息公开条例》和《北京市政府信息公开规定》，积极推进政府信息公开工作。</w:t>
      </w:r>
      <w:r>
        <w:rPr>
          <w:rFonts w:hint="eastAsia" w:ascii="Times New Roman" w:hAnsi="Times New Roman" w:eastAsia="仿宋_GB2312" w:cs="仿宋_GB2312"/>
          <w:sz w:val="32"/>
          <w:szCs w:val="32"/>
        </w:rPr>
        <w:t>主要开展了以下几个方面的工作：</w:t>
      </w:r>
    </w:p>
    <w:p>
      <w:pPr>
        <w:widowControl/>
        <w:spacing w:line="600" w:lineRule="exact"/>
        <w:ind w:firstLine="633" w:firstLineChars="198"/>
        <w:jc w:val="left"/>
        <w:rPr>
          <w:rFonts w:eastAsia="仿宋_GB2312"/>
          <w:kern w:val="0"/>
          <w:sz w:val="32"/>
          <w:szCs w:val="32"/>
        </w:rPr>
      </w:pPr>
      <w:bookmarkStart w:id="1" w:name="OLE_LINK2"/>
      <w:r>
        <w:rPr>
          <w:rFonts w:hint="eastAsia" w:eastAsia="黑体"/>
          <w:kern w:val="0"/>
          <w:sz w:val="32"/>
          <w:szCs w:val="32"/>
        </w:rPr>
        <w:t>一、组织领导，积极落实</w:t>
      </w:r>
      <w:r>
        <w:rPr>
          <w:rFonts w:eastAsia="仿宋_GB2312"/>
          <w:b/>
          <w:bCs/>
          <w:kern w:val="0"/>
          <w:sz w:val="32"/>
          <w:szCs w:val="32"/>
        </w:rPr>
        <w:t xml:space="preserve"> </w:t>
      </w:r>
    </w:p>
    <w:p>
      <w:pPr>
        <w:widowControl/>
        <w:spacing w:line="600" w:lineRule="exact"/>
        <w:ind w:firstLine="634"/>
        <w:jc w:val="left"/>
        <w:rPr>
          <w:rFonts w:eastAsia="仿宋_GB2312"/>
          <w:kern w:val="0"/>
          <w:sz w:val="32"/>
          <w:szCs w:val="32"/>
        </w:rPr>
      </w:pPr>
      <w:r>
        <w:rPr>
          <w:rFonts w:hint="eastAsia" w:eastAsia="仿宋_GB2312"/>
          <w:kern w:val="0"/>
          <w:sz w:val="32"/>
          <w:szCs w:val="32"/>
        </w:rPr>
        <w:t>一是完善工作机构。成立以主要领导为组</w:t>
      </w:r>
      <w:bookmarkStart w:id="2" w:name="_GoBack"/>
      <w:bookmarkEnd w:id="2"/>
      <w:r>
        <w:rPr>
          <w:rFonts w:hint="eastAsia" w:eastAsia="仿宋_GB2312"/>
          <w:kern w:val="0"/>
          <w:sz w:val="32"/>
          <w:szCs w:val="32"/>
        </w:rPr>
        <w:t>长的政府信息公开工作领导小组，分管领导具体负责抓专项工作，形成了层层落实的工作格局，强化了组织保障。二是加大宣传力度。管委会将政府信息公开列为一项重要工作，召开</w:t>
      </w:r>
      <w:r>
        <w:rPr>
          <w:rFonts w:hint="eastAsia" w:ascii="仿宋_GB2312" w:eastAsia="仿宋_GB2312"/>
          <w:sz w:val="32"/>
          <w:szCs w:val="32"/>
        </w:rPr>
        <w:t>信息公开工作的专题会议</w:t>
      </w:r>
      <w:r>
        <w:rPr>
          <w:rFonts w:hint="eastAsia" w:eastAsia="仿宋_GB2312"/>
          <w:kern w:val="0"/>
          <w:sz w:val="32"/>
          <w:szCs w:val="32"/>
        </w:rPr>
        <w:t>，并将政府信息公开的相关内容进行广泛宣传，积极参与监督。三是组织并参加政府信息公开工作培训。增强相关人员业务水平、服务意识和宗旨意识，树立良好的工作作风，确保政府信息公开工作的顺利开展。</w:t>
      </w:r>
    </w:p>
    <w:p>
      <w:pPr>
        <w:ind w:firstLine="707" w:firstLineChars="221"/>
        <w:rPr>
          <w:rFonts w:eastAsia="黑体"/>
          <w:kern w:val="0"/>
          <w:sz w:val="32"/>
          <w:szCs w:val="32"/>
        </w:rPr>
      </w:pPr>
      <w:r>
        <w:rPr>
          <w:rFonts w:hint="eastAsia" w:eastAsia="黑体"/>
          <w:kern w:val="0"/>
          <w:sz w:val="32"/>
          <w:szCs w:val="32"/>
        </w:rPr>
        <w:t>二、规范程序，加强制度建设</w:t>
      </w:r>
    </w:p>
    <w:p>
      <w:pPr>
        <w:widowControl/>
        <w:spacing w:line="600" w:lineRule="exact"/>
        <w:ind w:firstLine="640"/>
        <w:jc w:val="left"/>
        <w:rPr>
          <w:rFonts w:eastAsia="仿宋_GB2312"/>
          <w:kern w:val="0"/>
          <w:sz w:val="32"/>
          <w:szCs w:val="32"/>
        </w:rPr>
      </w:pPr>
      <w:r>
        <w:rPr>
          <w:rFonts w:hint="eastAsia" w:ascii="仿宋_GB2312" w:eastAsia="仿宋_GB2312"/>
          <w:sz w:val="32"/>
          <w:szCs w:val="32"/>
        </w:rPr>
        <w:t>朝阳园管委会制定了《朝阳园管委会公文公开属性管理细则》，对公文的公开属性从源头进行管理，严格按照细则实施。</w:t>
      </w:r>
      <w:r>
        <w:rPr>
          <w:rFonts w:hint="eastAsia" w:eastAsia="仿宋_GB2312"/>
          <w:kern w:val="0"/>
          <w:sz w:val="32"/>
          <w:szCs w:val="32"/>
        </w:rPr>
        <w:t>严格按照</w:t>
      </w:r>
      <w:r>
        <w:rPr>
          <w:rFonts w:hint="eastAsia" w:eastAsia="仿宋_GB2312"/>
          <w:sz w:val="32"/>
          <w:szCs w:val="32"/>
        </w:rPr>
        <w:t>条例</w:t>
      </w:r>
      <w:r>
        <w:rPr>
          <w:rFonts w:hint="eastAsia" w:eastAsia="仿宋_GB2312"/>
          <w:kern w:val="0"/>
          <w:sz w:val="32"/>
          <w:szCs w:val="32"/>
        </w:rPr>
        <w:t>要求，坚持主动公开与依申请公开相结合，拓宽渠道，创新形式，及时准确地公开政府信息。完成了对信息公开指南和信息公开目录的编制工作，并根据工作需要，积极做好主动公开政府信息的维护、更新和报送工作，建立完善信息公开制度，对网上发布信息的采集、分类、整理、审批等工作制定了相应的流程，规范公开载体形式。</w:t>
      </w:r>
      <w:r>
        <w:rPr>
          <w:rFonts w:hint="eastAsia" w:ascii="仿宋_GB2312" w:eastAsia="仿宋_GB2312"/>
          <w:sz w:val="32"/>
          <w:szCs w:val="32"/>
        </w:rPr>
        <w:t>按照《朝阳区重点领域政府公开清单》落实年度公开任务。</w:t>
      </w:r>
      <w:r>
        <w:rPr>
          <w:rFonts w:hint="eastAsia" w:ascii="Calibri" w:hAnsi="Calibri" w:eastAsia="仿宋_GB2312" w:cs="仿宋_GB2312"/>
          <w:kern w:val="0"/>
          <w:sz w:val="32"/>
          <w:szCs w:val="32"/>
        </w:rPr>
        <w:t>严格按照《朝阳区201</w:t>
      </w:r>
      <w:r>
        <w:rPr>
          <w:rFonts w:ascii="Calibri" w:hAnsi="Calibri" w:eastAsia="仿宋_GB2312" w:cs="仿宋_GB2312"/>
          <w:kern w:val="0"/>
          <w:sz w:val="32"/>
          <w:szCs w:val="32"/>
        </w:rPr>
        <w:t>8</w:t>
      </w:r>
      <w:r>
        <w:rPr>
          <w:rFonts w:hint="eastAsia" w:ascii="Calibri" w:hAnsi="Calibri" w:eastAsia="仿宋_GB2312" w:cs="仿宋_GB2312"/>
          <w:kern w:val="0"/>
          <w:sz w:val="32"/>
          <w:szCs w:val="32"/>
        </w:rPr>
        <w:t>年政务公开工作要点》落实年度公开任务。</w:t>
      </w:r>
    </w:p>
    <w:p>
      <w:pPr>
        <w:ind w:firstLine="707" w:firstLineChars="221"/>
        <w:rPr>
          <w:rFonts w:eastAsia="黑体"/>
          <w:kern w:val="0"/>
          <w:sz w:val="32"/>
          <w:szCs w:val="32"/>
        </w:rPr>
      </w:pPr>
      <w:r>
        <w:rPr>
          <w:rFonts w:hint="eastAsia" w:eastAsia="黑体"/>
          <w:kern w:val="0"/>
          <w:sz w:val="32"/>
          <w:szCs w:val="32"/>
        </w:rPr>
        <w:t>三、畅通公开渠道、规范政府信息公开形式</w:t>
      </w:r>
    </w:p>
    <w:p>
      <w:pPr>
        <w:snapToGrid w:val="0"/>
        <w:spacing w:after="240" w:line="560" w:lineRule="exact"/>
        <w:ind w:firstLine="566" w:firstLineChars="177"/>
        <w:rPr>
          <w:rFonts w:eastAsia="仿宋_GB2312"/>
          <w:sz w:val="32"/>
          <w:szCs w:val="32"/>
        </w:rPr>
      </w:pPr>
      <w:r>
        <w:rPr>
          <w:rFonts w:hint="eastAsia" w:eastAsia="仿宋_GB2312"/>
          <w:sz w:val="32"/>
          <w:szCs w:val="32"/>
        </w:rPr>
        <w:t>编辑每年一期的《朝阳园综合服务指南》（2019年第十一期），强化书面宣传。围绕市、区及中关村2018年重点工作，十一期综合服务指南编入了中关村“1+4”系列政策和北京市“9+N”等营造优良营商环境的最新政策，以图文并茂的形式直观解读，帮助园区企业更容易地理解和掌握。综合服务指南编印至今已有十一年，收入的最新热点政策超过200余项，为科技企业健康成长营造了优质软环境，充分发挥政府服务工作的深入性和持续性。</w:t>
      </w:r>
    </w:p>
    <w:p>
      <w:pPr>
        <w:snapToGrid w:val="0"/>
        <w:spacing w:after="240" w:line="560" w:lineRule="exact"/>
        <w:ind w:firstLine="566" w:firstLineChars="177"/>
        <w:rPr>
          <w:rFonts w:ascii="仿宋_GB2312" w:eastAsia="仿宋_GB2312"/>
          <w:sz w:val="32"/>
          <w:szCs w:val="32"/>
        </w:rPr>
      </w:pPr>
      <w:r>
        <w:rPr>
          <w:rFonts w:hint="eastAsia" w:ascii="仿宋_GB2312" w:eastAsia="仿宋_GB2312"/>
          <w:sz w:val="32"/>
          <w:szCs w:val="32"/>
        </w:rPr>
        <w:t>制作印制《中关村朝阳园重点项目名册》（画册），图文并茂地宣传推介重点楼宇、产业园。编印《人才政策要点汇编》及《高新技术产业政策要点汇编》，重点宣传人才引进和支持创新的优惠政策。充分借助科博会、未来科学论坛、进博会等平台作用，展示、推介园区发展优势、资源优势和良好营商环境。</w:t>
      </w:r>
    </w:p>
    <w:p>
      <w:pPr>
        <w:ind w:firstLine="707" w:firstLineChars="221"/>
        <w:rPr>
          <w:rFonts w:ascii="Calibri" w:hAnsi="Calibri" w:eastAsia="仿宋_GB2312" w:cs="仿宋_GB2312"/>
          <w:kern w:val="0"/>
          <w:sz w:val="32"/>
          <w:szCs w:val="32"/>
        </w:rPr>
      </w:pPr>
      <w:r>
        <w:rPr>
          <w:rFonts w:hint="eastAsia" w:ascii="Calibri" w:hAnsi="Calibri" w:eastAsia="仿宋_GB2312" w:cs="仿宋_GB2312"/>
          <w:kern w:val="0"/>
          <w:sz w:val="32"/>
          <w:szCs w:val="32"/>
        </w:rPr>
        <w:t>201</w:t>
      </w:r>
      <w:r>
        <w:rPr>
          <w:rFonts w:ascii="Calibri" w:hAnsi="Calibri" w:eastAsia="仿宋_GB2312" w:cs="仿宋_GB2312"/>
          <w:kern w:val="0"/>
          <w:sz w:val="32"/>
          <w:szCs w:val="32"/>
        </w:rPr>
        <w:t>8</w:t>
      </w:r>
      <w:r>
        <w:rPr>
          <w:rFonts w:hint="eastAsia" w:ascii="Calibri" w:hAnsi="Calibri" w:eastAsia="仿宋_GB2312" w:cs="仿宋_GB2312"/>
          <w:kern w:val="0"/>
          <w:sz w:val="32"/>
          <w:szCs w:val="32"/>
        </w:rPr>
        <w:t>年举办各类政策解</w:t>
      </w:r>
      <w:r>
        <w:rPr>
          <w:rFonts w:hint="eastAsia" w:ascii="Calibri" w:hAnsi="Calibri" w:eastAsia="仿宋_GB2312" w:cs="仿宋_GB2312"/>
          <w:color w:val="000000" w:themeColor="text1"/>
          <w:kern w:val="0"/>
          <w:sz w:val="32"/>
          <w:szCs w:val="32"/>
          <w14:textFill>
            <w14:solidFill>
              <w14:schemeClr w14:val="tx1"/>
            </w14:solidFill>
          </w14:textFill>
        </w:rPr>
        <w:t>读会</w:t>
      </w:r>
      <w:r>
        <w:rPr>
          <w:rFonts w:ascii="Calibri" w:hAnsi="Calibri" w:eastAsia="仿宋_GB2312" w:cs="仿宋_GB2312"/>
          <w:color w:val="000000" w:themeColor="text1"/>
          <w:kern w:val="0"/>
          <w:sz w:val="32"/>
          <w:szCs w:val="32"/>
          <w14:textFill>
            <w14:solidFill>
              <w14:schemeClr w14:val="tx1"/>
            </w14:solidFill>
          </w14:textFill>
        </w:rPr>
        <w:t>20余</w:t>
      </w:r>
      <w:r>
        <w:rPr>
          <w:rFonts w:hint="eastAsia" w:ascii="Calibri" w:hAnsi="Calibri" w:eastAsia="仿宋_GB2312" w:cs="仿宋_GB2312"/>
          <w:color w:val="000000" w:themeColor="text1"/>
          <w:kern w:val="0"/>
          <w:sz w:val="32"/>
          <w:szCs w:val="32"/>
          <w14:textFill>
            <w14:solidFill>
              <w14:schemeClr w14:val="tx1"/>
            </w14:solidFill>
          </w14:textFill>
        </w:rPr>
        <w:t>次</w:t>
      </w:r>
      <w:r>
        <w:rPr>
          <w:rFonts w:hint="eastAsia" w:ascii="Calibri" w:hAnsi="Calibri" w:eastAsia="仿宋_GB2312" w:cs="仿宋_GB2312"/>
          <w:kern w:val="0"/>
          <w:sz w:val="32"/>
          <w:szCs w:val="32"/>
        </w:rPr>
        <w:t>。通过网站、公众号等方式及时发布园区重要新闻、对中关村新政进行解读、提供便利的政策查询指引和清晰的办事指南。</w:t>
      </w:r>
    </w:p>
    <w:p>
      <w:pPr>
        <w:ind w:firstLine="707" w:firstLineChars="221"/>
        <w:rPr>
          <w:rFonts w:ascii="仿宋_GB2312" w:eastAsia="仿宋_GB2312"/>
          <w:sz w:val="32"/>
          <w:szCs w:val="32"/>
        </w:rPr>
      </w:pPr>
    </w:p>
    <w:p>
      <w:pPr>
        <w:widowControl/>
        <w:spacing w:line="600" w:lineRule="exact"/>
        <w:ind w:firstLine="640" w:firstLineChars="200"/>
        <w:rPr>
          <w:rFonts w:eastAsia="仿宋_GB2312"/>
          <w:i/>
          <w:kern w:val="0"/>
          <w:sz w:val="32"/>
          <w:szCs w:val="32"/>
        </w:rPr>
      </w:pPr>
      <w:r>
        <w:rPr>
          <w:rFonts w:hint="eastAsia" w:eastAsia="仿宋_GB2312"/>
          <w:kern w:val="0"/>
          <w:sz w:val="32"/>
          <w:szCs w:val="32"/>
        </w:rPr>
        <w:t>截至</w:t>
      </w:r>
      <w:r>
        <w:rPr>
          <w:rFonts w:eastAsia="仿宋_GB2312"/>
          <w:kern w:val="0"/>
          <w:sz w:val="32"/>
          <w:szCs w:val="32"/>
        </w:rPr>
        <w:t>2018</w:t>
      </w:r>
      <w:r>
        <w:rPr>
          <w:rFonts w:hint="eastAsia" w:eastAsia="仿宋_GB2312"/>
          <w:kern w:val="0"/>
          <w:sz w:val="32"/>
          <w:szCs w:val="32"/>
        </w:rPr>
        <w:t>年底，电子城管委会政府信息公开工作运行正常，政府信息公开咨询、申请以及答复工作均得到了顺利开展</w:t>
      </w:r>
      <w:r>
        <w:rPr>
          <w:rFonts w:hint="eastAsia" w:eastAsia="仿宋_GB2312"/>
          <w:i/>
          <w:kern w:val="0"/>
          <w:sz w:val="32"/>
          <w:szCs w:val="32"/>
        </w:rPr>
        <w:t>。</w:t>
      </w:r>
    </w:p>
    <w:bookmarkEnd w:id="1"/>
    <w:p>
      <w:pPr>
        <w:widowControl/>
        <w:jc w:val="left"/>
        <w:rPr>
          <w:rFonts w:eastAsia="黑体"/>
          <w:color w:val="000000"/>
          <w:kern w:val="0"/>
          <w:sz w:val="32"/>
          <w:szCs w:val="32"/>
        </w:rPr>
      </w:pPr>
      <w:r>
        <w:rPr>
          <w:rFonts w:eastAsia="黑体"/>
          <w:color w:val="000000"/>
          <w:kern w:val="0"/>
          <w:sz w:val="32"/>
          <w:szCs w:val="32"/>
        </w:rPr>
        <w:br w:type="page"/>
      </w:r>
    </w:p>
    <w:p>
      <w:pPr>
        <w:widowControl/>
        <w:spacing w:before="312" w:beforeLines="100" w:after="312" w:afterLines="100" w:line="560" w:lineRule="exact"/>
        <w:ind w:firstLine="640" w:firstLineChars="200"/>
        <w:jc w:val="center"/>
        <w:outlineLvl w:val="0"/>
        <w:rPr>
          <w:rFonts w:eastAsia="黑体"/>
          <w:color w:val="000000"/>
          <w:kern w:val="0"/>
          <w:sz w:val="32"/>
          <w:szCs w:val="32"/>
        </w:rPr>
      </w:pPr>
      <w:r>
        <w:rPr>
          <w:rFonts w:eastAsia="黑体"/>
          <w:color w:val="000000"/>
          <w:kern w:val="0"/>
          <w:sz w:val="32"/>
          <w:szCs w:val="32"/>
        </w:rPr>
        <w:t>二、主动公开情况</w:t>
      </w:r>
    </w:p>
    <w:p>
      <w:pPr>
        <w:widowControl/>
        <w:spacing w:line="600" w:lineRule="exact"/>
        <w:ind w:firstLine="643" w:firstLineChars="200"/>
        <w:rPr>
          <w:rFonts w:eastAsia="楷体_GB2312"/>
          <w:b/>
          <w:color w:val="000000"/>
          <w:kern w:val="0"/>
          <w:sz w:val="32"/>
          <w:szCs w:val="32"/>
        </w:rPr>
      </w:pPr>
      <w:r>
        <w:rPr>
          <w:rFonts w:eastAsia="楷体_GB2312"/>
          <w:b/>
          <w:color w:val="000000"/>
          <w:kern w:val="0"/>
          <w:sz w:val="32"/>
          <w:szCs w:val="32"/>
        </w:rPr>
        <w:t>（一）公开情况</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朝阳园管委会</w:t>
      </w:r>
      <w:r>
        <w:rPr>
          <w:rFonts w:eastAsia="仿宋_GB2312"/>
          <w:color w:val="000000"/>
          <w:kern w:val="0"/>
          <w:sz w:val="32"/>
          <w:szCs w:val="32"/>
        </w:rPr>
        <w:t>2018</w:t>
      </w:r>
      <w:r>
        <w:rPr>
          <w:rFonts w:hint="eastAsia" w:eastAsia="仿宋_GB2312"/>
          <w:kern w:val="0"/>
          <w:sz w:val="32"/>
          <w:szCs w:val="32"/>
        </w:rPr>
        <w:t>年共主动公开政府信息</w:t>
      </w:r>
      <w:r>
        <w:rPr>
          <w:rFonts w:eastAsia="仿宋_GB2312"/>
          <w:color w:val="000000"/>
          <w:kern w:val="0"/>
          <w:sz w:val="32"/>
          <w:szCs w:val="32"/>
        </w:rPr>
        <w:t>299</w:t>
      </w:r>
      <w:r>
        <w:rPr>
          <w:rFonts w:hint="eastAsia" w:eastAsia="仿宋_GB2312"/>
          <w:kern w:val="0"/>
          <w:sz w:val="32"/>
          <w:szCs w:val="32"/>
        </w:rPr>
        <w:t>条，全文电子化率达</w:t>
      </w:r>
      <w:r>
        <w:rPr>
          <w:rFonts w:eastAsia="仿宋_GB2312"/>
          <w:color w:val="000000"/>
          <w:kern w:val="0"/>
          <w:sz w:val="32"/>
          <w:szCs w:val="32"/>
        </w:rPr>
        <w:t>100</w:t>
      </w:r>
      <w:r>
        <w:rPr>
          <w:rFonts w:eastAsia="仿宋_GB2312"/>
          <w:kern w:val="0"/>
          <w:sz w:val="32"/>
          <w:szCs w:val="32"/>
        </w:rPr>
        <w:t>%</w:t>
      </w:r>
      <w:r>
        <w:rPr>
          <w:rFonts w:hint="eastAsia" w:eastAsia="仿宋_GB2312"/>
          <w:kern w:val="0"/>
          <w:sz w:val="32"/>
          <w:szCs w:val="32"/>
        </w:rPr>
        <w:t>。其中，</w:t>
      </w:r>
      <w:r>
        <w:rPr>
          <w:rFonts w:hint="eastAsia" w:eastAsia="仿宋_GB2312"/>
          <w:color w:val="000000"/>
          <w:kern w:val="0"/>
          <w:sz w:val="32"/>
          <w:szCs w:val="32"/>
        </w:rPr>
        <w:t>机构职能类信息</w:t>
      </w:r>
      <w:r>
        <w:rPr>
          <w:rFonts w:eastAsia="仿宋_GB2312"/>
          <w:color w:val="000000"/>
          <w:kern w:val="0"/>
          <w:sz w:val="32"/>
          <w:szCs w:val="32"/>
        </w:rPr>
        <w:t>1</w:t>
      </w:r>
      <w:r>
        <w:rPr>
          <w:rFonts w:hint="eastAsia" w:eastAsia="仿宋_GB2312"/>
          <w:color w:val="000000"/>
          <w:kern w:val="0"/>
          <w:sz w:val="32"/>
          <w:szCs w:val="32"/>
        </w:rPr>
        <w:t>条，占总体的比例为</w:t>
      </w:r>
      <w:r>
        <w:rPr>
          <w:rFonts w:eastAsia="仿宋_GB2312"/>
          <w:color w:val="000000"/>
          <w:kern w:val="0"/>
          <w:sz w:val="32"/>
          <w:szCs w:val="32"/>
        </w:rPr>
        <w:t>0.33%</w:t>
      </w:r>
      <w:r>
        <w:rPr>
          <w:rFonts w:hint="eastAsia" w:eastAsia="仿宋_GB2312"/>
          <w:color w:val="000000"/>
          <w:kern w:val="0"/>
          <w:sz w:val="32"/>
          <w:szCs w:val="32"/>
        </w:rPr>
        <w:t>；行政职责类信息1条，占总体的比例为</w:t>
      </w:r>
      <w:r>
        <w:rPr>
          <w:rFonts w:eastAsia="仿宋_GB2312"/>
          <w:color w:val="000000"/>
          <w:kern w:val="0"/>
          <w:sz w:val="32"/>
          <w:szCs w:val="32"/>
        </w:rPr>
        <w:t>0.33%</w:t>
      </w:r>
      <w:r>
        <w:rPr>
          <w:rFonts w:hint="eastAsia" w:eastAsia="仿宋_GB2312"/>
          <w:color w:val="000000"/>
          <w:kern w:val="0"/>
          <w:sz w:val="32"/>
          <w:szCs w:val="32"/>
        </w:rPr>
        <w:t>；</w:t>
      </w:r>
      <w:r>
        <w:rPr>
          <w:rFonts w:eastAsia="仿宋_GB2312"/>
          <w:color w:val="000000"/>
          <w:kern w:val="0"/>
          <w:sz w:val="32"/>
          <w:szCs w:val="32"/>
        </w:rPr>
        <w:t>业务动态类信息297条，占总体的比例为99.33%。</w:t>
      </w:r>
      <w:r>
        <w:rPr>
          <w:rFonts w:hint="eastAsia" w:eastAsia="仿宋_GB2312"/>
          <w:color w:val="000000"/>
          <w:kern w:val="0"/>
          <w:sz w:val="32"/>
          <w:szCs w:val="32"/>
        </w:rPr>
        <w:t>收到政府信息公开申请1件，后撤销。未出现针对本单位政府信息公开的行政复议申请、行政诉讼案件和申诉案。</w:t>
      </w:r>
    </w:p>
    <w:p>
      <w:pPr>
        <w:widowControl/>
        <w:spacing w:line="600" w:lineRule="exact"/>
        <w:ind w:firstLine="565" w:firstLineChars="176"/>
        <w:rPr>
          <w:rFonts w:eastAsia="楷体_GB2312"/>
          <w:b/>
          <w:color w:val="000000"/>
          <w:kern w:val="0"/>
          <w:sz w:val="32"/>
          <w:szCs w:val="32"/>
        </w:rPr>
      </w:pPr>
      <w:r>
        <w:rPr>
          <w:rFonts w:eastAsia="楷体_GB2312"/>
          <w:b/>
          <w:color w:val="000000"/>
          <w:kern w:val="0"/>
          <w:sz w:val="32"/>
          <w:szCs w:val="32"/>
        </w:rPr>
        <w:t>（二）公开形式</w:t>
      </w:r>
    </w:p>
    <w:p>
      <w:pPr>
        <w:widowControl/>
        <w:spacing w:line="600" w:lineRule="exact"/>
        <w:ind w:firstLine="640" w:firstLineChars="200"/>
        <w:rPr>
          <w:rFonts w:eastAsia="仿宋_GB2312"/>
          <w:color w:val="000000"/>
          <w:kern w:val="0"/>
          <w:sz w:val="32"/>
          <w:szCs w:val="32"/>
        </w:rPr>
      </w:pPr>
      <w:r>
        <w:rPr>
          <w:rFonts w:hint="eastAsia" w:eastAsia="仿宋_GB2312" w:cs="仿宋_GB2312"/>
          <w:color w:val="000000"/>
          <w:kern w:val="0"/>
          <w:sz w:val="32"/>
          <w:szCs w:val="32"/>
        </w:rPr>
        <w:t>为方便公众了解信息，本单位在主动公开政府信息的形式上做了大量工作。</w:t>
      </w:r>
    </w:p>
    <w:p>
      <w:pPr>
        <w:widowControl/>
        <w:spacing w:line="600" w:lineRule="exact"/>
        <w:ind w:firstLine="643" w:firstLineChars="200"/>
        <w:rPr>
          <w:rFonts w:eastAsia="仿宋_GB2312"/>
          <w:color w:val="000000"/>
          <w:kern w:val="0"/>
          <w:sz w:val="32"/>
          <w:szCs w:val="32"/>
        </w:rPr>
      </w:pPr>
      <w:r>
        <w:rPr>
          <w:rFonts w:eastAsia="仿宋_GB2312"/>
          <w:b/>
          <w:bCs/>
          <w:color w:val="000000"/>
          <w:kern w:val="0"/>
          <w:sz w:val="32"/>
          <w:szCs w:val="32"/>
        </w:rPr>
        <w:t>1</w:t>
      </w:r>
      <w:r>
        <w:rPr>
          <w:rFonts w:hint="eastAsia" w:eastAsia="仿宋_GB2312" w:cs="仿宋_GB2312"/>
          <w:b/>
          <w:bCs/>
          <w:color w:val="000000"/>
          <w:kern w:val="0"/>
          <w:sz w:val="32"/>
          <w:szCs w:val="32"/>
        </w:rPr>
        <w:t>、充分利用网络平台。</w:t>
      </w:r>
      <w:r>
        <w:rPr>
          <w:rFonts w:hint="eastAsia" w:eastAsia="仿宋_GB2312" w:cs="仿宋_GB2312"/>
          <w:color w:val="000000"/>
          <w:kern w:val="0"/>
          <w:sz w:val="32"/>
          <w:szCs w:val="32"/>
        </w:rPr>
        <w:t>管委会积极开展工作，</w:t>
      </w:r>
      <w:r>
        <w:rPr>
          <w:rFonts w:hint="eastAsia" w:eastAsia="仿宋_GB2312" w:cs="仿宋_GB2312"/>
          <w:sz w:val="32"/>
          <w:szCs w:val="32"/>
        </w:rPr>
        <w:t>在门户网站的显著位置设立信息公开专栏，</w:t>
      </w:r>
      <w:r>
        <w:rPr>
          <w:rFonts w:hint="eastAsia" w:eastAsia="仿宋_GB2312" w:cs="仿宋_GB2312"/>
          <w:color w:val="000000"/>
          <w:kern w:val="0"/>
          <w:sz w:val="32"/>
          <w:szCs w:val="32"/>
        </w:rPr>
        <w:t>加大信息公开力度、提升信息上报时效。</w:t>
      </w:r>
    </w:p>
    <w:p>
      <w:pPr>
        <w:ind w:firstLine="710" w:firstLineChars="221"/>
        <w:rPr>
          <w:rFonts w:eastAsia="仿宋_GB2312"/>
          <w:color w:val="000000"/>
          <w:kern w:val="0"/>
          <w:sz w:val="32"/>
          <w:szCs w:val="32"/>
        </w:rPr>
      </w:pPr>
      <w:r>
        <w:rPr>
          <w:rFonts w:eastAsia="仿宋_GB2312"/>
          <w:b/>
          <w:bCs/>
          <w:color w:val="000000"/>
          <w:kern w:val="0"/>
          <w:sz w:val="32"/>
          <w:szCs w:val="32"/>
        </w:rPr>
        <w:t>2</w:t>
      </w:r>
      <w:r>
        <w:rPr>
          <w:rFonts w:hint="eastAsia" w:eastAsia="仿宋_GB2312" w:cs="仿宋_GB2312"/>
          <w:b/>
          <w:bCs/>
          <w:color w:val="000000"/>
          <w:kern w:val="0"/>
          <w:sz w:val="32"/>
          <w:szCs w:val="32"/>
        </w:rPr>
        <w:t>、引入日常服务咨询。</w:t>
      </w:r>
      <w:r>
        <w:rPr>
          <w:rFonts w:hint="eastAsia" w:eastAsia="仿宋_GB2312" w:cs="仿宋_GB2312"/>
          <w:color w:val="000000"/>
          <w:kern w:val="0"/>
          <w:sz w:val="32"/>
          <w:szCs w:val="32"/>
        </w:rPr>
        <w:t>结合管委会</w:t>
      </w:r>
      <w:r>
        <w:rPr>
          <w:rFonts w:hint="eastAsia" w:eastAsia="仿宋_GB2312"/>
          <w:color w:val="000000"/>
          <w:kern w:val="0"/>
          <w:sz w:val="32"/>
          <w:szCs w:val="32"/>
        </w:rPr>
        <w:t>“</w:t>
      </w:r>
      <w:r>
        <w:rPr>
          <w:rFonts w:hint="eastAsia" w:eastAsia="仿宋_GB2312" w:cs="仿宋_GB2312"/>
          <w:color w:val="000000"/>
          <w:kern w:val="0"/>
          <w:sz w:val="32"/>
          <w:szCs w:val="32"/>
        </w:rPr>
        <w:t>强化服务体系、建立服务平台</w:t>
      </w:r>
      <w:r>
        <w:rPr>
          <w:rFonts w:hint="eastAsia" w:eastAsia="仿宋_GB2312"/>
          <w:color w:val="000000"/>
          <w:kern w:val="0"/>
          <w:sz w:val="32"/>
          <w:szCs w:val="32"/>
        </w:rPr>
        <w:t>”</w:t>
      </w:r>
      <w:r>
        <w:rPr>
          <w:rFonts w:hint="eastAsia" w:eastAsia="仿宋_GB2312" w:cs="仿宋_GB2312"/>
          <w:color w:val="000000"/>
          <w:kern w:val="0"/>
          <w:sz w:val="32"/>
          <w:szCs w:val="32"/>
        </w:rPr>
        <w:t>工作，针对目前企业关注度较高的高新技术企业认定、政策咨询等工作，专门设立了认定辅导服务接待站，为企业提供咨询辅导，以面对面的形式服务园区企业。</w:t>
      </w:r>
      <w:r>
        <w:rPr>
          <w:rFonts w:hint="eastAsia" w:ascii="Calibri" w:hAnsi="Calibri" w:eastAsia="仿宋_GB2312" w:cs="仿宋_GB2312"/>
          <w:kern w:val="0"/>
          <w:sz w:val="32"/>
          <w:szCs w:val="32"/>
        </w:rPr>
        <w:t>举办政策解</w:t>
      </w:r>
      <w:r>
        <w:rPr>
          <w:rFonts w:hint="eastAsia" w:ascii="Calibri" w:hAnsi="Calibri" w:eastAsia="仿宋_GB2312" w:cs="仿宋_GB2312"/>
          <w:color w:val="000000" w:themeColor="text1"/>
          <w:kern w:val="0"/>
          <w:sz w:val="32"/>
          <w:szCs w:val="32"/>
          <w14:textFill>
            <w14:solidFill>
              <w14:schemeClr w14:val="tx1"/>
            </w14:solidFill>
          </w14:textFill>
        </w:rPr>
        <w:t>读会</w:t>
      </w:r>
      <w:r>
        <w:rPr>
          <w:rFonts w:ascii="Calibri" w:hAnsi="Calibri" w:eastAsia="仿宋_GB2312" w:cs="仿宋_GB2312"/>
          <w:color w:val="000000" w:themeColor="text1"/>
          <w:kern w:val="0"/>
          <w:sz w:val="32"/>
          <w:szCs w:val="32"/>
          <w14:textFill>
            <w14:solidFill>
              <w14:schemeClr w14:val="tx1"/>
            </w14:solidFill>
          </w14:textFill>
        </w:rPr>
        <w:t>7</w:t>
      </w:r>
      <w:r>
        <w:rPr>
          <w:rFonts w:hint="eastAsia" w:ascii="Calibri" w:hAnsi="Calibri" w:eastAsia="仿宋_GB2312" w:cs="仿宋_GB2312"/>
          <w:color w:val="000000" w:themeColor="text1"/>
          <w:kern w:val="0"/>
          <w:sz w:val="32"/>
          <w:szCs w:val="32"/>
          <w14:textFill>
            <w14:solidFill>
              <w14:schemeClr w14:val="tx1"/>
            </w14:solidFill>
          </w14:textFill>
        </w:rPr>
        <w:t>次</w:t>
      </w:r>
      <w:r>
        <w:rPr>
          <w:rFonts w:hint="eastAsia" w:ascii="Calibri" w:hAnsi="Calibri" w:eastAsia="仿宋_GB2312" w:cs="仿宋_GB2312"/>
          <w:kern w:val="0"/>
          <w:sz w:val="32"/>
          <w:szCs w:val="32"/>
        </w:rPr>
        <w:t>。</w:t>
      </w:r>
    </w:p>
    <w:p>
      <w:pPr>
        <w:widowControl/>
        <w:spacing w:line="600" w:lineRule="exact"/>
        <w:ind w:firstLine="643" w:firstLineChars="200"/>
        <w:rPr>
          <w:rFonts w:eastAsia="仿宋_GB2312"/>
          <w:b/>
          <w:bCs/>
          <w:color w:val="000000"/>
          <w:kern w:val="0"/>
          <w:sz w:val="32"/>
          <w:szCs w:val="32"/>
        </w:rPr>
      </w:pPr>
      <w:r>
        <w:rPr>
          <w:rFonts w:eastAsia="仿宋_GB2312"/>
          <w:b/>
          <w:bCs/>
          <w:color w:val="000000"/>
          <w:kern w:val="0"/>
          <w:sz w:val="32"/>
          <w:szCs w:val="32"/>
        </w:rPr>
        <w:t>3</w:t>
      </w:r>
      <w:r>
        <w:rPr>
          <w:rFonts w:hint="eastAsia" w:eastAsia="仿宋_GB2312" w:cs="仿宋_GB2312"/>
          <w:b/>
          <w:bCs/>
          <w:color w:val="000000"/>
          <w:kern w:val="0"/>
          <w:sz w:val="32"/>
          <w:szCs w:val="32"/>
        </w:rPr>
        <w:t>、借助宣传推广媒介。</w:t>
      </w:r>
      <w:r>
        <w:rPr>
          <w:rFonts w:hint="eastAsia" w:eastAsia="仿宋_GB2312" w:cs="仿宋_GB2312"/>
          <w:sz w:val="32"/>
          <w:szCs w:val="32"/>
        </w:rPr>
        <w:t>利用微信公众号，宣传园区形象，编制《综合服务指南》、《电子城政策汇编》，帮助企业用足用好各项政策。</w:t>
      </w:r>
    </w:p>
    <w:p>
      <w:pPr>
        <w:widowControl/>
        <w:spacing w:before="312" w:beforeLines="100" w:after="312" w:afterLines="100" w:line="560" w:lineRule="exact"/>
        <w:ind w:firstLine="640" w:firstLineChars="200"/>
        <w:jc w:val="center"/>
        <w:outlineLvl w:val="0"/>
        <w:rPr>
          <w:rFonts w:eastAsia="黑体"/>
          <w:color w:val="000000"/>
          <w:kern w:val="0"/>
          <w:sz w:val="32"/>
          <w:szCs w:val="32"/>
        </w:rPr>
      </w:pPr>
    </w:p>
    <w:p>
      <w:pPr>
        <w:widowControl/>
        <w:spacing w:before="312" w:beforeLines="100" w:after="312" w:afterLines="100" w:line="560" w:lineRule="exact"/>
        <w:ind w:firstLine="640" w:firstLineChars="200"/>
        <w:jc w:val="center"/>
        <w:outlineLvl w:val="0"/>
        <w:rPr>
          <w:rFonts w:eastAsia="黑体"/>
          <w:color w:val="000000"/>
          <w:kern w:val="0"/>
          <w:sz w:val="32"/>
          <w:szCs w:val="32"/>
        </w:rPr>
      </w:pPr>
      <w:r>
        <w:rPr>
          <w:rFonts w:eastAsia="黑体"/>
          <w:color w:val="000000"/>
          <w:kern w:val="0"/>
          <w:sz w:val="32"/>
          <w:szCs w:val="32"/>
        </w:rPr>
        <w:t>三、依申请公开情况</w:t>
      </w:r>
    </w:p>
    <w:p>
      <w:pPr>
        <w:widowControl/>
        <w:spacing w:line="600" w:lineRule="exact"/>
        <w:ind w:firstLine="640" w:firstLineChars="200"/>
        <w:rPr>
          <w:rFonts w:eastAsia="仿宋_GB2312" w:cs="仿宋_GB2312"/>
          <w:color w:val="000000"/>
          <w:kern w:val="0"/>
          <w:sz w:val="32"/>
          <w:szCs w:val="32"/>
        </w:rPr>
      </w:pPr>
      <w:r>
        <w:rPr>
          <w:rFonts w:eastAsia="仿宋_GB2312"/>
          <w:color w:val="000000"/>
          <w:kern w:val="0"/>
          <w:sz w:val="32"/>
          <w:szCs w:val="32"/>
        </w:rPr>
        <w:t>2018</w:t>
      </w:r>
      <w:r>
        <w:rPr>
          <w:rFonts w:hint="eastAsia" w:eastAsia="仿宋_GB2312" w:cs="仿宋_GB2312"/>
          <w:color w:val="000000"/>
          <w:kern w:val="0"/>
          <w:sz w:val="32"/>
          <w:szCs w:val="32"/>
        </w:rPr>
        <w:t>年，本单位</w:t>
      </w:r>
      <w:r>
        <w:rPr>
          <w:rFonts w:eastAsia="仿宋_GB2312"/>
          <w:color w:val="000000"/>
          <w:kern w:val="0"/>
          <w:sz w:val="32"/>
          <w:szCs w:val="32"/>
        </w:rPr>
        <w:t>编制并印发</w:t>
      </w:r>
      <w:r>
        <w:rPr>
          <w:rFonts w:hint="eastAsia" w:eastAsia="仿宋_GB2312" w:cs="仿宋_GB2312"/>
          <w:color w:val="000000"/>
          <w:kern w:val="0"/>
          <w:sz w:val="32"/>
          <w:szCs w:val="32"/>
        </w:rPr>
        <w:t>《中关村科技园区朝阳园管理委员会政府信息公开指南（201</w:t>
      </w:r>
      <w:r>
        <w:rPr>
          <w:rFonts w:eastAsia="仿宋_GB2312" w:cs="仿宋_GB2312"/>
          <w:color w:val="000000"/>
          <w:kern w:val="0"/>
          <w:sz w:val="32"/>
          <w:szCs w:val="32"/>
        </w:rPr>
        <w:t>8</w:t>
      </w:r>
      <w:r>
        <w:rPr>
          <w:rFonts w:hint="eastAsia" w:eastAsia="仿宋_GB2312" w:cs="仿宋_GB2312"/>
          <w:color w:val="000000"/>
          <w:kern w:val="0"/>
          <w:sz w:val="32"/>
          <w:szCs w:val="32"/>
        </w:rPr>
        <w:t>年）》</w:t>
      </w:r>
      <w:r>
        <w:rPr>
          <w:rFonts w:eastAsia="仿宋_GB2312"/>
          <w:color w:val="000000"/>
          <w:kern w:val="0"/>
          <w:sz w:val="32"/>
          <w:szCs w:val="32"/>
        </w:rPr>
        <w:t>，公布各公开机构办公地址、联系方式、电子邮件等，方便群众通过当面申请、电子邮件、邮寄等多种形式提出政府信息公开申请。</w:t>
      </w:r>
    </w:p>
    <w:p>
      <w:pPr>
        <w:widowControl/>
        <w:spacing w:line="600" w:lineRule="exact"/>
        <w:ind w:firstLine="643" w:firstLineChars="200"/>
        <w:rPr>
          <w:rFonts w:eastAsia="仿宋_GB2312" w:cs="仿宋_GB2312"/>
          <w:b/>
          <w:bCs/>
          <w:color w:val="000000"/>
          <w:kern w:val="0"/>
          <w:sz w:val="32"/>
          <w:szCs w:val="32"/>
        </w:rPr>
      </w:pPr>
      <w:r>
        <w:rPr>
          <w:rFonts w:eastAsia="仿宋_GB2312" w:cs="仿宋_GB2312"/>
          <w:b/>
          <w:bCs/>
          <w:color w:val="000000"/>
          <w:kern w:val="0"/>
          <w:sz w:val="32"/>
          <w:szCs w:val="32"/>
        </w:rPr>
        <w:t>（一）申请情况</w:t>
      </w:r>
    </w:p>
    <w:p>
      <w:pPr>
        <w:widowControl/>
        <w:wordWrap w:val="0"/>
        <w:ind w:firstLine="640"/>
        <w:rPr>
          <w:rFonts w:eastAsia="仿宋_GB2312" w:cs="仿宋_GB2312"/>
          <w:color w:val="000000"/>
          <w:kern w:val="0"/>
          <w:sz w:val="32"/>
          <w:szCs w:val="32"/>
        </w:rPr>
      </w:pPr>
      <w:r>
        <w:rPr>
          <w:rFonts w:hint="eastAsia" w:eastAsia="仿宋_GB2312" w:cs="仿宋_GB2312"/>
          <w:color w:val="000000"/>
          <w:kern w:val="0"/>
          <w:sz w:val="32"/>
          <w:szCs w:val="32"/>
        </w:rPr>
        <w:t>本单位</w:t>
      </w:r>
      <w:r>
        <w:rPr>
          <w:rFonts w:eastAsia="仿宋_GB2312" w:cs="仿宋_GB2312"/>
          <w:color w:val="000000"/>
          <w:kern w:val="0"/>
          <w:sz w:val="32"/>
          <w:szCs w:val="32"/>
        </w:rPr>
        <w:t>共受理申请</w:t>
      </w:r>
      <w:r>
        <w:rPr>
          <w:rFonts w:hint="eastAsia" w:eastAsia="仿宋_GB2312" w:cs="仿宋_GB2312"/>
          <w:color w:val="000000"/>
          <w:kern w:val="0"/>
          <w:sz w:val="32"/>
          <w:szCs w:val="32"/>
        </w:rPr>
        <w:t>1</w:t>
      </w:r>
      <w:r>
        <w:rPr>
          <w:rFonts w:eastAsia="仿宋_GB2312" w:cs="仿宋_GB2312"/>
          <w:color w:val="000000"/>
          <w:kern w:val="0"/>
          <w:sz w:val="32"/>
          <w:szCs w:val="32"/>
        </w:rPr>
        <w:t>件</w:t>
      </w:r>
      <w:r>
        <w:rPr>
          <w:rFonts w:hint="eastAsia" w:eastAsia="仿宋_GB2312" w:cs="仿宋_GB2312"/>
          <w:color w:val="000000"/>
          <w:kern w:val="0"/>
          <w:sz w:val="32"/>
          <w:szCs w:val="32"/>
        </w:rPr>
        <w:t>，为</w:t>
      </w:r>
      <w:r>
        <w:rPr>
          <w:rFonts w:eastAsia="仿宋_GB2312" w:cs="仿宋_GB2312"/>
          <w:color w:val="000000"/>
          <w:kern w:val="0"/>
          <w:sz w:val="32"/>
          <w:szCs w:val="32"/>
        </w:rPr>
        <w:t>通过</w:t>
      </w:r>
      <w:r>
        <w:rPr>
          <w:rFonts w:hint="eastAsia" w:eastAsia="仿宋_GB2312" w:cs="仿宋_GB2312"/>
          <w:color w:val="000000"/>
          <w:kern w:val="0"/>
          <w:sz w:val="32"/>
          <w:szCs w:val="32"/>
        </w:rPr>
        <w:t>信函</w:t>
      </w:r>
      <w:r>
        <w:rPr>
          <w:rFonts w:eastAsia="仿宋_GB2312" w:cs="仿宋_GB2312"/>
          <w:color w:val="000000"/>
          <w:kern w:val="0"/>
          <w:sz w:val="32"/>
          <w:szCs w:val="32"/>
        </w:rPr>
        <w:t>申请</w:t>
      </w:r>
      <w:r>
        <w:rPr>
          <w:rFonts w:hint="eastAsia" w:eastAsia="仿宋_GB2312" w:cs="仿宋_GB2312"/>
          <w:color w:val="000000"/>
          <w:kern w:val="0"/>
          <w:sz w:val="32"/>
          <w:szCs w:val="32"/>
        </w:rPr>
        <w:t>。</w:t>
      </w:r>
    </w:p>
    <w:p>
      <w:pPr>
        <w:widowControl/>
        <w:spacing w:line="600" w:lineRule="exact"/>
        <w:ind w:firstLine="643" w:firstLineChars="200"/>
        <w:rPr>
          <w:rFonts w:eastAsia="仿宋_GB2312" w:cs="仿宋_GB2312"/>
          <w:b/>
          <w:bCs/>
          <w:color w:val="000000"/>
          <w:kern w:val="0"/>
          <w:sz w:val="32"/>
          <w:szCs w:val="32"/>
        </w:rPr>
      </w:pPr>
      <w:r>
        <w:rPr>
          <w:rFonts w:eastAsia="仿宋_GB2312" w:cs="仿宋_GB2312"/>
          <w:b/>
          <w:bCs/>
          <w:color w:val="000000"/>
          <w:kern w:val="0"/>
          <w:sz w:val="32"/>
          <w:szCs w:val="32"/>
        </w:rPr>
        <w:t>（二）答复情况</w:t>
      </w:r>
    </w:p>
    <w:p>
      <w:pPr>
        <w:widowControl/>
        <w:spacing w:line="600" w:lineRule="exact"/>
        <w:ind w:firstLine="640" w:firstLineChars="200"/>
        <w:rPr>
          <w:rFonts w:ascii="Arial" w:hAnsi="Arial" w:cs="Arial"/>
          <w:kern w:val="0"/>
          <w:sz w:val="18"/>
          <w:szCs w:val="18"/>
        </w:rPr>
      </w:pPr>
      <w:r>
        <w:rPr>
          <w:rFonts w:hint="eastAsia" w:eastAsia="仿宋_GB2312" w:cs="仿宋_GB2312"/>
          <w:bCs/>
          <w:color w:val="000000"/>
          <w:kern w:val="0"/>
          <w:sz w:val="32"/>
          <w:szCs w:val="32"/>
        </w:rPr>
        <w:t>受理的1件申请，申请人撤销申请。</w:t>
      </w:r>
    </w:p>
    <w:p>
      <w:pPr>
        <w:widowControl/>
        <w:spacing w:before="312" w:beforeLines="100" w:after="312" w:afterLines="100" w:line="560" w:lineRule="exact"/>
        <w:jc w:val="center"/>
        <w:outlineLvl w:val="0"/>
        <w:rPr>
          <w:rFonts w:eastAsia="黑体"/>
          <w:color w:val="000000"/>
          <w:kern w:val="0"/>
          <w:sz w:val="32"/>
          <w:szCs w:val="32"/>
        </w:rPr>
      </w:pPr>
      <w:r>
        <w:rPr>
          <w:rFonts w:eastAsia="黑体"/>
          <w:color w:val="000000"/>
          <w:kern w:val="0"/>
          <w:sz w:val="32"/>
          <w:szCs w:val="32"/>
        </w:rPr>
        <w:t>四、咨询情况</w:t>
      </w:r>
    </w:p>
    <w:p>
      <w:pPr>
        <w:widowControl/>
        <w:spacing w:before="312" w:beforeLines="100" w:after="312" w:afterLines="100" w:line="560" w:lineRule="exact"/>
        <w:ind w:firstLine="566" w:firstLineChars="177"/>
        <w:jc w:val="left"/>
        <w:outlineLvl w:val="0"/>
        <w:rPr>
          <w:rFonts w:eastAsia="仿宋_GB2312"/>
          <w:color w:val="000000"/>
          <w:kern w:val="0"/>
          <w:sz w:val="32"/>
          <w:szCs w:val="32"/>
        </w:rPr>
      </w:pPr>
      <w:r>
        <w:rPr>
          <w:rFonts w:eastAsia="仿宋_GB2312"/>
          <w:color w:val="000000"/>
          <w:kern w:val="0"/>
          <w:sz w:val="32"/>
          <w:szCs w:val="32"/>
        </w:rPr>
        <w:t>2018</w:t>
      </w:r>
      <w:r>
        <w:rPr>
          <w:rFonts w:hint="eastAsia" w:eastAsia="仿宋_GB2312"/>
          <w:color w:val="000000"/>
          <w:kern w:val="0"/>
          <w:sz w:val="32"/>
          <w:szCs w:val="32"/>
        </w:rPr>
        <w:t>年，本单位未接受公民、法人及其他组织政府信息公开方面的咨询。</w:t>
      </w:r>
    </w:p>
    <w:p>
      <w:pPr>
        <w:widowControl/>
        <w:spacing w:before="312" w:beforeLines="100" w:after="312" w:afterLines="100" w:line="560" w:lineRule="exact"/>
        <w:ind w:firstLine="566" w:firstLineChars="177"/>
        <w:jc w:val="center"/>
        <w:outlineLvl w:val="0"/>
        <w:rPr>
          <w:rFonts w:eastAsia="黑体"/>
          <w:color w:val="000000"/>
          <w:kern w:val="0"/>
          <w:sz w:val="32"/>
          <w:szCs w:val="32"/>
        </w:rPr>
      </w:pPr>
      <w:r>
        <w:rPr>
          <w:rFonts w:eastAsia="黑体"/>
          <w:color w:val="000000"/>
          <w:kern w:val="0"/>
          <w:sz w:val="32"/>
          <w:szCs w:val="32"/>
        </w:rPr>
        <w:t>五、行政复议和行政诉讼情况</w:t>
      </w:r>
    </w:p>
    <w:p>
      <w:pPr>
        <w:widowControl/>
        <w:spacing w:line="600" w:lineRule="exact"/>
        <w:ind w:firstLine="640" w:firstLineChars="200"/>
        <w:rPr>
          <w:rFonts w:eastAsia="仿宋_GB2312"/>
          <w:color w:val="000000"/>
          <w:kern w:val="0"/>
          <w:sz w:val="32"/>
          <w:szCs w:val="32"/>
        </w:rPr>
      </w:pPr>
      <w:r>
        <w:rPr>
          <w:rFonts w:eastAsia="仿宋_GB2312"/>
          <w:color w:val="000000"/>
          <w:kern w:val="0"/>
          <w:sz w:val="32"/>
          <w:szCs w:val="32"/>
        </w:rPr>
        <w:t>2018年，</w:t>
      </w:r>
      <w:r>
        <w:rPr>
          <w:rFonts w:hint="eastAsia" w:eastAsia="仿宋_GB2312" w:cs="仿宋_GB2312"/>
          <w:color w:val="000000"/>
          <w:kern w:val="0"/>
          <w:sz w:val="32"/>
          <w:szCs w:val="32"/>
        </w:rPr>
        <w:t>未出现针对本单位政府信息公开的行政复议申请、行政诉讼案件和申诉案。</w:t>
      </w:r>
    </w:p>
    <w:p>
      <w:pPr>
        <w:widowControl/>
        <w:spacing w:line="600" w:lineRule="exact"/>
        <w:ind w:firstLine="640" w:firstLineChars="200"/>
        <w:jc w:val="center"/>
        <w:rPr>
          <w:rFonts w:eastAsia="黑体"/>
          <w:color w:val="000000"/>
          <w:kern w:val="0"/>
          <w:sz w:val="32"/>
          <w:szCs w:val="32"/>
        </w:rPr>
      </w:pPr>
      <w:r>
        <w:rPr>
          <w:rFonts w:eastAsia="黑体"/>
          <w:color w:val="000000"/>
          <w:kern w:val="0"/>
          <w:sz w:val="32"/>
          <w:szCs w:val="32"/>
        </w:rPr>
        <w:t>六、主要问题和改进措施</w:t>
      </w:r>
    </w:p>
    <w:p>
      <w:pPr>
        <w:ind w:firstLine="643" w:firstLineChars="200"/>
        <w:rPr>
          <w:rFonts w:ascii="仿宋_GB2312" w:eastAsia="仿宋_GB2312"/>
          <w:b/>
          <w:sz w:val="32"/>
          <w:szCs w:val="32"/>
        </w:rPr>
      </w:pPr>
      <w:r>
        <w:rPr>
          <w:rFonts w:hint="eastAsia" w:ascii="仿宋_GB2312" w:eastAsia="仿宋_GB2312"/>
          <w:b/>
          <w:sz w:val="32"/>
          <w:szCs w:val="32"/>
        </w:rPr>
        <w:t>（一）存在的主要问题</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、信息公开的广度不够。在公开的内容中，业务信息较多，在其他内容公布上数量较少。对某些信息的公开与否认识不统一，使信息公开存在困难。</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、仍然存在对处理申请政府信息公开程序操作经验不足。对信息公开的整个程序缺乏实际操作经验。</w:t>
      </w:r>
    </w:p>
    <w:p>
      <w:pPr>
        <w:ind w:firstLine="643" w:firstLineChars="200"/>
        <w:rPr>
          <w:rFonts w:ascii="仿宋_GB2312" w:eastAsia="仿宋_GB2312"/>
          <w:b/>
          <w:sz w:val="32"/>
          <w:szCs w:val="32"/>
        </w:rPr>
      </w:pPr>
      <w:r>
        <w:rPr>
          <w:rFonts w:hint="eastAsia" w:ascii="仿宋_GB2312" w:eastAsia="仿宋_GB2312"/>
          <w:b/>
          <w:sz w:val="32"/>
          <w:szCs w:val="32"/>
        </w:rPr>
        <w:t>（二）改进措施</w:t>
      </w:r>
    </w:p>
    <w:p>
      <w:pPr>
        <w:ind w:firstLine="640" w:firstLineChars="200"/>
        <w:rPr>
          <w:rFonts w:ascii="仿宋_GB2312" w:eastAsia="仿宋_GB2312"/>
          <w:sz w:val="32"/>
          <w:szCs w:val="32"/>
        </w:rPr>
      </w:pPr>
      <w:r>
        <w:rPr>
          <w:rFonts w:hint="eastAsia" w:ascii="仿宋_GB2312" w:eastAsia="仿宋_GB2312"/>
          <w:sz w:val="32"/>
          <w:szCs w:val="32"/>
        </w:rPr>
        <w:t>1、加强学习，提高认识。进一步学习《北京市政府信息公开规定》，提高对政府信息公开工作的认识。</w:t>
      </w:r>
    </w:p>
    <w:p>
      <w:pPr>
        <w:ind w:firstLine="640" w:firstLineChars="200"/>
        <w:rPr>
          <w:rFonts w:ascii="仿宋_GB2312" w:eastAsia="仿宋_GB2312"/>
          <w:sz w:val="32"/>
          <w:szCs w:val="32"/>
        </w:rPr>
      </w:pPr>
      <w:r>
        <w:rPr>
          <w:rFonts w:hint="eastAsia" w:ascii="仿宋_GB2312" w:eastAsia="仿宋_GB2312"/>
          <w:sz w:val="32"/>
          <w:szCs w:val="32"/>
        </w:rPr>
        <w:t>2、完善制度和监督机制。进一步完善我委政府信息公开制度，明确各处室信息公开责任。</w:t>
      </w:r>
    </w:p>
    <w:p>
      <w:pPr>
        <w:ind w:firstLine="640" w:firstLineChars="200"/>
        <w:rPr>
          <w:rFonts w:ascii="仿宋_GB2312" w:eastAsia="仿宋_GB2312"/>
          <w:sz w:val="32"/>
          <w:szCs w:val="32"/>
        </w:rPr>
      </w:pPr>
      <w:r>
        <w:rPr>
          <w:rFonts w:hint="eastAsia" w:ascii="仿宋_GB2312" w:eastAsia="仿宋_GB2312"/>
          <w:sz w:val="32"/>
          <w:szCs w:val="32"/>
        </w:rPr>
        <w:t>3、将信息公布种类多元化。在强化业务信息发布基础上加大其他类信息的发布力度。</w:t>
      </w:r>
    </w:p>
    <w:p>
      <w:pPr>
        <w:ind w:firstLine="640" w:firstLineChars="200"/>
        <w:rPr>
          <w:rFonts w:ascii="仿宋_GB2312" w:eastAsia="仿宋_GB2312"/>
          <w:sz w:val="32"/>
          <w:szCs w:val="32"/>
        </w:rPr>
      </w:pPr>
    </w:p>
    <w:p>
      <w:pPr>
        <w:ind w:firstLine="640" w:firstLineChars="200"/>
        <w:jc w:val="center"/>
        <w:rPr>
          <w:rFonts w:ascii="仿宋_GB2312" w:eastAsia="仿宋_GB2312"/>
          <w:sz w:val="32"/>
          <w:szCs w:val="32"/>
        </w:rPr>
      </w:pPr>
    </w:p>
    <w:p>
      <w:pPr>
        <w:ind w:firstLine="640" w:firstLineChars="200"/>
        <w:jc w:val="center"/>
        <w:rPr>
          <w:rFonts w:ascii="仿宋_GB2312" w:eastAsia="仿宋_GB2312"/>
          <w:sz w:val="32"/>
          <w:szCs w:val="32"/>
        </w:rPr>
      </w:pPr>
    </w:p>
    <w:p>
      <w:pPr>
        <w:ind w:firstLine="640" w:firstLineChars="200"/>
        <w:jc w:val="center"/>
        <w:rPr>
          <w:rFonts w:ascii="仿宋_GB2312" w:eastAsia="仿宋_GB2312"/>
          <w:sz w:val="32"/>
          <w:szCs w:val="32"/>
        </w:rPr>
      </w:pPr>
      <w:r>
        <w:rPr>
          <w:rFonts w:hint="eastAsia" w:ascii="仿宋_GB2312" w:eastAsia="仿宋_GB2312"/>
          <w:sz w:val="32"/>
          <w:szCs w:val="32"/>
        </w:rPr>
        <w:t xml:space="preserve">               中关村科技园区朝阳园管理委员会</w:t>
      </w:r>
    </w:p>
    <w:p>
      <w:pPr>
        <w:ind w:firstLine="640" w:firstLineChars="200"/>
        <w:jc w:val="center"/>
        <w:rPr>
          <w:rFonts w:ascii="仿宋_GB2312" w:eastAsia="仿宋_GB2312"/>
          <w:sz w:val="32"/>
          <w:szCs w:val="32"/>
        </w:rPr>
      </w:pPr>
      <w:r>
        <w:rPr>
          <w:rFonts w:hint="eastAsia" w:ascii="仿宋_GB2312" w:eastAsia="仿宋_GB2312"/>
          <w:sz w:val="32"/>
          <w:szCs w:val="32"/>
        </w:rPr>
        <w:t xml:space="preserve">           201</w:t>
      </w:r>
      <w:r>
        <w:rPr>
          <w:rFonts w:ascii="仿宋_GB2312" w:eastAsia="仿宋_GB2312"/>
          <w:sz w:val="32"/>
          <w:szCs w:val="32"/>
        </w:rPr>
        <w:t>9</w:t>
      </w:r>
      <w:r>
        <w:rPr>
          <w:rFonts w:hint="eastAsia" w:ascii="仿宋_GB2312" w:eastAsia="仿宋_GB2312"/>
          <w:sz w:val="32"/>
          <w:szCs w:val="32"/>
        </w:rPr>
        <w:t>年3月</w:t>
      </w:r>
    </w:p>
    <w:p>
      <w:pPr>
        <w:widowControl/>
        <w:jc w:val="left"/>
        <w:rPr>
          <w:rFonts w:ascii="仿宋_GB2312" w:eastAsia="仿宋_GB2312"/>
          <w:sz w:val="32"/>
          <w:szCs w:val="32"/>
        </w:rPr>
      </w:pPr>
      <w:r>
        <w:rPr>
          <w:rFonts w:ascii="仿宋_GB2312" w:eastAsia="仿宋_GB2312"/>
          <w:sz w:val="32"/>
          <w:szCs w:val="32"/>
        </w:rPr>
        <w:br w:type="page"/>
      </w:r>
    </w:p>
    <w:p>
      <w:pPr>
        <w:ind w:firstLine="640" w:firstLineChars="200"/>
        <w:jc w:val="center"/>
        <w:rPr>
          <w:rFonts w:ascii="仿宋_GB2312" w:eastAsia="仿宋_GB2312"/>
          <w:sz w:val="32"/>
          <w:szCs w:val="32"/>
        </w:rPr>
      </w:pPr>
    </w:p>
    <w:tbl>
      <w:tblPr>
        <w:tblStyle w:val="9"/>
        <w:tblW w:w="8642" w:type="dxa"/>
        <w:tblInd w:w="113" w:type="dxa"/>
        <w:tblLayout w:type="fixed"/>
        <w:tblCellMar>
          <w:top w:w="0" w:type="dxa"/>
          <w:left w:w="108" w:type="dxa"/>
          <w:bottom w:w="0" w:type="dxa"/>
          <w:right w:w="108" w:type="dxa"/>
        </w:tblCellMar>
      </w:tblPr>
      <w:tblGrid>
        <w:gridCol w:w="7083"/>
        <w:gridCol w:w="709"/>
        <w:gridCol w:w="850"/>
      </w:tblGrid>
      <w:tr>
        <w:tblPrEx>
          <w:tblLayout w:type="fixed"/>
          <w:tblCellMar>
            <w:top w:w="0" w:type="dxa"/>
            <w:left w:w="108" w:type="dxa"/>
            <w:bottom w:w="0" w:type="dxa"/>
            <w:right w:w="108" w:type="dxa"/>
          </w:tblCellMar>
        </w:tblPrEx>
        <w:trPr>
          <w:trHeight w:val="799" w:hRule="atLeast"/>
        </w:trPr>
        <w:tc>
          <w:tcPr>
            <w:tcW w:w="8642" w:type="dxa"/>
            <w:gridSpan w:val="3"/>
            <w:tcBorders>
              <w:top w:val="nil"/>
              <w:left w:val="nil"/>
              <w:bottom w:val="nil"/>
              <w:right w:val="nil"/>
            </w:tcBorders>
            <w:shd w:val="clear" w:color="000000" w:fill="auto"/>
            <w:vAlign w:val="bottom"/>
          </w:tcPr>
          <w:p>
            <w:pPr>
              <w:widowControl/>
              <w:ind w:right="2215" w:rightChars="1055"/>
              <w:jc w:val="left"/>
              <w:rPr>
                <w:rFonts w:ascii="Arial" w:hAnsi="Arial" w:cs="Arial"/>
                <w:b/>
                <w:bCs/>
                <w:color w:val="000000" w:themeColor="text1"/>
                <w:kern w:val="0"/>
                <w:sz w:val="24"/>
                <w14:textFill>
                  <w14:solidFill>
                    <w14:schemeClr w14:val="tx1"/>
                  </w14:solidFill>
                </w14:textFill>
              </w:rPr>
            </w:pPr>
            <w:r>
              <w:t>附表</w:t>
            </w:r>
            <w:r>
              <w:rPr>
                <w:rFonts w:hint="eastAsia"/>
              </w:rPr>
              <w:t>：</w:t>
            </w:r>
            <w:r>
              <w:rPr>
                <w:rFonts w:ascii="Arial" w:hAnsi="Arial" w:cs="Arial"/>
                <w:b/>
                <w:bCs/>
                <w:color w:val="FF8080"/>
                <w:kern w:val="0"/>
                <w:sz w:val="24"/>
              </w:rPr>
              <w:t xml:space="preserve">    </w:t>
            </w:r>
            <w:r>
              <w:rPr>
                <w:rFonts w:ascii="Arial" w:hAnsi="Arial" w:cs="Arial"/>
                <w:b/>
                <w:bCs/>
                <w:color w:val="000000" w:themeColor="text1"/>
                <w:kern w:val="0"/>
                <w:sz w:val="24"/>
                <w14:textFill>
                  <w14:solidFill>
                    <w14:schemeClr w14:val="tx1"/>
                  </w14:solidFill>
                </w14:textFill>
              </w:rPr>
              <w:t xml:space="preserve"> </w:t>
            </w:r>
          </w:p>
          <w:p>
            <w:pPr>
              <w:widowControl/>
              <w:ind w:right="2215" w:rightChars="1055"/>
              <w:jc w:val="center"/>
              <w:rPr>
                <w:rFonts w:ascii="Arial" w:hAnsi="Arial" w:cs="Arial"/>
                <w:b/>
                <w:bCs/>
                <w:color w:val="FF8080"/>
                <w:kern w:val="0"/>
                <w:sz w:val="24"/>
              </w:rPr>
            </w:pPr>
          </w:p>
          <w:p>
            <w:pPr>
              <w:widowControl/>
              <w:ind w:right="2215" w:rightChars="1055"/>
              <w:jc w:val="center"/>
              <w:rPr>
                <w:rFonts w:ascii="Arial" w:hAnsi="Arial" w:cs="Arial"/>
                <w:b/>
                <w:bCs/>
                <w:color w:val="FF8080"/>
                <w:kern w:val="0"/>
                <w:sz w:val="24"/>
              </w:rPr>
            </w:pPr>
            <w:r>
              <w:rPr>
                <w:rFonts w:hint="eastAsia" w:ascii="Arial" w:hAnsi="Arial" w:cs="Arial"/>
                <w:b/>
                <w:bCs/>
                <w:color w:val="000000" w:themeColor="text1"/>
                <w:kern w:val="0"/>
                <w:sz w:val="24"/>
                <w14:textFill>
                  <w14:solidFill>
                    <w14:schemeClr w14:val="tx1"/>
                  </w14:solidFill>
                </w14:textFill>
              </w:rPr>
              <w:t xml:space="preserve"> </w:t>
            </w:r>
            <w:r>
              <w:rPr>
                <w:rFonts w:ascii="Arial" w:hAnsi="Arial" w:cs="Arial"/>
                <w:b/>
                <w:bCs/>
                <w:color w:val="000000" w:themeColor="text1"/>
                <w:kern w:val="0"/>
                <w:sz w:val="24"/>
                <w14:textFill>
                  <w14:solidFill>
                    <w14:schemeClr w14:val="tx1"/>
                  </w14:solidFill>
                </w14:textFill>
              </w:rPr>
              <w:t xml:space="preserve">             政府信息公开情况统计表</w:t>
            </w:r>
            <w:r>
              <w:rPr>
                <w:rFonts w:ascii="Arial" w:hAnsi="Arial" w:cs="Arial"/>
                <w:b/>
                <w:bCs/>
                <w:color w:val="000000" w:themeColor="text1"/>
                <w:kern w:val="0"/>
                <w:sz w:val="24"/>
                <w14:textFill>
                  <w14:solidFill>
                    <w14:schemeClr w14:val="tx1"/>
                  </w14:solidFill>
                </w14:textFill>
              </w:rPr>
              <w:br w:type="textWrapping"/>
            </w:r>
            <w:r>
              <w:rPr>
                <w:rFonts w:ascii="Arial" w:hAnsi="Arial" w:cs="Arial"/>
                <w:b/>
                <w:bCs/>
                <w:color w:val="000000" w:themeColor="text1"/>
                <w:kern w:val="0"/>
                <w:sz w:val="24"/>
                <w14:textFill>
                  <w14:solidFill>
                    <w14:schemeClr w14:val="tx1"/>
                  </w14:solidFill>
                </w14:textFill>
              </w:rPr>
              <w:br w:type="textWrapping"/>
            </w:r>
            <w:r>
              <w:rPr>
                <w:rFonts w:hint="eastAsia" w:ascii="Arial" w:hAnsi="Arial" w:cs="Arial"/>
                <w:b/>
                <w:bCs/>
                <w:color w:val="000000" w:themeColor="text1"/>
                <w:kern w:val="0"/>
                <w:sz w:val="24"/>
                <w14:textFill>
                  <w14:solidFill>
                    <w14:schemeClr w14:val="tx1"/>
                  </w14:solidFill>
                </w14:textFill>
              </w:rPr>
              <w:t xml:space="preserve"> </w:t>
            </w:r>
            <w:r>
              <w:rPr>
                <w:rFonts w:ascii="Arial" w:hAnsi="Arial" w:cs="Arial"/>
                <w:b/>
                <w:bCs/>
                <w:color w:val="000000" w:themeColor="text1"/>
                <w:kern w:val="0"/>
                <w:sz w:val="24"/>
                <w14:textFill>
                  <w14:solidFill>
                    <w14:schemeClr w14:val="tx1"/>
                  </w14:solidFill>
                </w14:textFill>
              </w:rPr>
              <w:t xml:space="preserve">              （2018年度）</w:t>
            </w:r>
          </w:p>
        </w:tc>
      </w:tr>
      <w:tr>
        <w:tblPrEx>
          <w:tblLayout w:type="fixed"/>
          <w:tblCellMar>
            <w:top w:w="0" w:type="dxa"/>
            <w:left w:w="108" w:type="dxa"/>
            <w:bottom w:w="0" w:type="dxa"/>
            <w:right w:w="108" w:type="dxa"/>
          </w:tblCellMar>
        </w:tblPrEx>
        <w:trPr>
          <w:trHeight w:val="435" w:hRule="atLeast"/>
        </w:trPr>
        <w:tc>
          <w:tcPr>
            <w:tcW w:w="70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统 计 指 标</w:t>
            </w:r>
          </w:p>
        </w:tc>
        <w:tc>
          <w:tcPr>
            <w:tcW w:w="709"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等线" w:hAnsi="等线" w:eastAsia="等线" w:cs="Arial"/>
                <w:b/>
                <w:bCs/>
                <w:color w:val="000000"/>
                <w:kern w:val="0"/>
                <w:sz w:val="22"/>
                <w:szCs w:val="22"/>
              </w:rPr>
            </w:pPr>
            <w:r>
              <w:rPr>
                <w:rFonts w:hint="eastAsia" w:ascii="等线" w:hAnsi="等线" w:eastAsia="等线" w:cs="Arial"/>
                <w:b/>
                <w:bCs/>
                <w:color w:val="000000"/>
                <w:kern w:val="0"/>
                <w:sz w:val="22"/>
                <w:szCs w:val="22"/>
              </w:rPr>
              <w:t>单位</w:t>
            </w:r>
          </w:p>
        </w:tc>
        <w:tc>
          <w:tcPr>
            <w:tcW w:w="850" w:type="dxa"/>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统计数</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一、主动公开情况</w:t>
            </w:r>
          </w:p>
        </w:tc>
        <w:tc>
          <w:tcPr>
            <w:tcW w:w="709" w:type="dxa"/>
            <w:tcBorders>
              <w:top w:val="nil"/>
              <w:left w:val="nil"/>
              <w:bottom w:val="nil"/>
              <w:right w:val="nil"/>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850"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60"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（一）主动公开政府信息数（不同渠道和方式公开相同信息计1条）</w:t>
            </w:r>
          </w:p>
        </w:tc>
        <w:tc>
          <w:tcPr>
            <w:tcW w:w="709"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299</w:t>
            </w:r>
          </w:p>
        </w:tc>
      </w:tr>
      <w:tr>
        <w:tblPrEx>
          <w:tblLayout w:type="fixed"/>
          <w:tblCellMar>
            <w:top w:w="0" w:type="dxa"/>
            <w:left w:w="108" w:type="dxa"/>
            <w:bottom w:w="0" w:type="dxa"/>
            <w:right w:w="108" w:type="dxa"/>
          </w:tblCellMar>
        </w:tblPrEx>
        <w:trPr>
          <w:trHeight w:val="360"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其中：主动公开规范性文件数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制发规范性文件总数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（二）重点领域公开政府信息数（不同渠道和方式公开相同信息计1条）</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其中：主动公开财政预算决算、“三公经费”和行政经费信息数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2</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主动公开保障性安居工程建设计划、项目开工和竣工情况，保障性住房的分配和退出等信息数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主动公开食品安全标准，食品生产经营许可、专项检查整治等信息数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主动公开环境核查审批、环境状况公报和重特大突发环境事件等信息数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主动公开招投标违法违规行为及处理情况、国有资金占控股或者主导地位依法应当招标的项目等信息数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主动公开生产安全事故的政府举措、处置进展、风险预警、防范措施等信息数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主动公开农用地转为建设用地批准、征收集体土地批准、征地公告征地补偿安置公示、集体土地征收结案等信息数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360"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主动公开政府指导价、政府定价和收费标准调整的项目、价格、依据、执行时间和范围等信息数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360"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主动公开本市企业信用信息系统中的警示信息和良好信息等信息数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主动公开政府部门预算执行审计结果等信息数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主动公开行政机关对与人民群众利益密切相关的公共企事业单位进行监督管理的信息数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主动公开市人民政府决定主动公开的其他信息数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（三）通过不同渠道和方式公开政府信息的情况</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1.政府公报公开政府信息数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2.政府网站公开政府信息数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299</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3.政务微博公开政府信息数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4.政务微信公开政府信息数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72</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5.其他方式公开政府信息数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二、回应解读情况</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（一）回应公众关注热点或重大舆情数（不同方式回应同一热点或舆情计1次）</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（二）通过不同渠道和方式回应解读的情况</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1.参加或举办新闻发布会总次数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其中：主要负责同志参加新闻发布会次数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2.政府网站在线访谈次数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其中：主要负责同志参加政府网站在线访谈次数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3.政策解读稿件发布数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篇</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4.微博微信回应事件数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5.其他方式回应事件数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三、依申请公开情况</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（一）收到申请数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1.当面申请数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2.传真申请数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3.网络申请数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4.信函申请数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Layout w:type="fixed"/>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（二）申请办结数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1.按时办结数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2.延期办结数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（三）申请答复数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1.属于已主动公开范围数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2.同意公开答复数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3.同意部分公开答复数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4.不同意公开答复数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其中：涉及国家秘密</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涉及商业秘密</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涉及个人隐私</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危及国家安全、公共安全、经济安全和社会稳定</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不是《条例》所指政府信息</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法律法规规定的其他情形</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5.不属于本行政机关公开数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6.申请信息不存在数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7.告知作出更改补充数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8.告知通过其他途径办理数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四、行政复议数量</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（一）维持具体行政行为数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（二）被依法纠错数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（三）其他情形数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五、行政诉讼数量</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0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（一）维持具体行政行为或者驳回原告诉讼请求数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（二）被依法纠错数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（三）其他情形数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六、举报投诉数量</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七、依申请公开信息收取的费用</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元</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八、机构建设和保障经费情况</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（一）政府信息公开工作专门机构数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个</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Layout w:type="fixed"/>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（二）设置政府信息公开查阅点数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个</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hint="eastAsia"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（三）从事政府信息公开工作人员数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人</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1.专职人员数（不包括政府公报及政府网站工作人员数）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人</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2.兼职人员数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人</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（四）政府信息公开专项经费（不包括用于政府公报编辑管理及政府网站建设维护等方面的经费）</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元</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九、政府信息公开会议和培训情况</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（一）召开政府信息公开工作会议或专题会议数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2</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（二）举办各类培训班数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Layout w:type="fixed"/>
          <w:tblCellMar>
            <w:top w:w="0" w:type="dxa"/>
            <w:left w:w="108" w:type="dxa"/>
            <w:bottom w:w="0" w:type="dxa"/>
            <w:right w:w="108" w:type="dxa"/>
          </w:tblCellMar>
        </w:tblPrEx>
        <w:trPr>
          <w:trHeight w:val="435" w:hRule="atLeast"/>
        </w:trPr>
        <w:tc>
          <w:tcPr>
            <w:tcW w:w="7083"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 xml:space="preserve">  （三）接受培训人员数</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人次</w:t>
            </w:r>
          </w:p>
        </w:tc>
        <w:tc>
          <w:tcPr>
            <w:tcW w:w="850" w:type="dxa"/>
            <w:tcBorders>
              <w:top w:val="nil"/>
              <w:left w:val="nil"/>
              <w:bottom w:val="single" w:color="000000" w:sz="4" w:space="0"/>
              <w:right w:val="single" w:color="000000" w:sz="4" w:space="0"/>
            </w:tcBorders>
            <w:shd w:val="clear" w:color="auto" w:fill="auto"/>
            <w:vAlign w:val="bottom"/>
          </w:tcPr>
          <w:p>
            <w:pPr>
              <w:widowControl/>
              <w:jc w:val="left"/>
              <w:rPr>
                <w:rFonts w:ascii="Arial" w:hAnsi="Arial" w:cs="Arial"/>
                <w:kern w:val="0"/>
                <w:sz w:val="20"/>
                <w:szCs w:val="20"/>
              </w:rPr>
            </w:pPr>
            <w:r>
              <w:rPr>
                <w:rFonts w:ascii="Arial" w:hAnsi="Arial" w:cs="Arial"/>
                <w:kern w:val="0"/>
                <w:sz w:val="20"/>
                <w:szCs w:val="20"/>
              </w:rPr>
              <w:t>8</w:t>
            </w:r>
          </w:p>
        </w:tc>
      </w:tr>
      <w:bookmarkEnd w:id="0"/>
    </w:tbl>
    <w:p>
      <w:pPr>
        <w:ind w:firstLine="420" w:firstLineChars="200"/>
        <w:jc w:val="center"/>
      </w:pPr>
    </w:p>
    <w:sectPr>
      <w:footerReference r:id="rId3" w:type="default"/>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3000509000000000000"/>
    <w:charset w:val="86"/>
    <w:family w:val="script"/>
    <w:pitch w:val="default"/>
    <w:sig w:usb0="00000000" w:usb1="00000000" w:usb2="00000010" w:usb3="00000000" w:csb0="00040000" w:csb1="00000000"/>
  </w:font>
  <w:font w:name="汉仪大宋简">
    <w:altName w:val="宋体"/>
    <w:panose1 w:val="00000000000000000000"/>
    <w:charset w:val="00"/>
    <w:family w:val="swiss"/>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Arial">
    <w:altName w:val="Microsoft Sans Serif"/>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MingLiU">
    <w:panose1 w:val="02020309000000000000"/>
    <w:charset w:val="88"/>
    <w:family w:val="auto"/>
    <w:pitch w:val="default"/>
    <w:sig w:usb0="00000003" w:usb1="082E0000" w:usb2="00000016" w:usb3="00000000" w:csb0="00100001" w:csb1="0000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0"/>
    <w:family w:val="auto"/>
    <w:pitch w:val="default"/>
    <w:sig w:usb0="61007BDF" w:usb1="80000000" w:usb2="00000008" w:usb3="00000000" w:csb0="200101FF" w:csb1="2028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1"/>
    <w:family w:val="swiss"/>
    <w:pitch w:val="default"/>
    <w:sig w:usb0="61007BDF"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7B"/>
    <w:rsid w:val="00076F88"/>
    <w:rsid w:val="000C03EA"/>
    <w:rsid w:val="00136A72"/>
    <w:rsid w:val="0013795E"/>
    <w:rsid w:val="00184E1A"/>
    <w:rsid w:val="00253338"/>
    <w:rsid w:val="00266F01"/>
    <w:rsid w:val="002A78BF"/>
    <w:rsid w:val="002F7416"/>
    <w:rsid w:val="00307E77"/>
    <w:rsid w:val="00344B0C"/>
    <w:rsid w:val="00407A4B"/>
    <w:rsid w:val="004729FB"/>
    <w:rsid w:val="005A1464"/>
    <w:rsid w:val="00602DFA"/>
    <w:rsid w:val="007326C3"/>
    <w:rsid w:val="00760EAC"/>
    <w:rsid w:val="0081207A"/>
    <w:rsid w:val="00846D5D"/>
    <w:rsid w:val="008C40BF"/>
    <w:rsid w:val="008D747B"/>
    <w:rsid w:val="008F63D4"/>
    <w:rsid w:val="00952761"/>
    <w:rsid w:val="00982D76"/>
    <w:rsid w:val="009D4502"/>
    <w:rsid w:val="009F790B"/>
    <w:rsid w:val="00A62E44"/>
    <w:rsid w:val="00B11CBE"/>
    <w:rsid w:val="00B570B1"/>
    <w:rsid w:val="00B8149D"/>
    <w:rsid w:val="00B90936"/>
    <w:rsid w:val="00B90FEE"/>
    <w:rsid w:val="00B951A9"/>
    <w:rsid w:val="00BD5351"/>
    <w:rsid w:val="00C03A61"/>
    <w:rsid w:val="00C5360C"/>
    <w:rsid w:val="00C63490"/>
    <w:rsid w:val="00C8648D"/>
    <w:rsid w:val="00CB5C86"/>
    <w:rsid w:val="00CF7E53"/>
    <w:rsid w:val="00D8162C"/>
    <w:rsid w:val="00DA40E3"/>
    <w:rsid w:val="00E14CED"/>
    <w:rsid w:val="00EA4666"/>
    <w:rsid w:val="00EC05AF"/>
    <w:rsid w:val="00F11049"/>
    <w:rsid w:val="00F873C5"/>
    <w:rsid w:val="00FD7E0C"/>
    <w:rsid w:val="00FF07F9"/>
    <w:rsid w:val="5889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2"/>
    <w:uiPriority w:val="0"/>
    <w:pPr>
      <w:suppressAutoHyphens/>
      <w:jc w:val="center"/>
    </w:pPr>
    <w:rPr>
      <w:rFonts w:ascii="方正小标宋简体" w:hAnsi="汉仪大宋简" w:eastAsia="方正小标宋简体"/>
      <w:color w:val="000000"/>
      <w:kern w:val="0"/>
      <w:sz w:val="44"/>
      <w:szCs w:val="20"/>
    </w:rPr>
  </w:style>
  <w:style w:type="paragraph" w:styleId="3">
    <w:name w:val="Date"/>
    <w:basedOn w:val="1"/>
    <w:next w:val="1"/>
    <w:link w:val="15"/>
    <w:unhideWhenUsed/>
    <w:uiPriority w:val="99"/>
    <w:pPr>
      <w:ind w:left="100" w:leftChars="2500"/>
    </w:p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unhideWhenUsed/>
    <w:qFormat/>
    <w:uiPriority w:val="99"/>
    <w:rPr>
      <w:color w:val="0000FF"/>
      <w:u w:val="single"/>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正文文本 Char"/>
    <w:basedOn w:val="7"/>
    <w:link w:val="2"/>
    <w:qFormat/>
    <w:uiPriority w:val="0"/>
    <w:rPr>
      <w:rFonts w:ascii="方正小标宋简体" w:hAnsi="汉仪大宋简" w:eastAsia="方正小标宋简体" w:cs="Times New Roman"/>
      <w:color w:val="000000"/>
      <w:kern w:val="0"/>
      <w:sz w:val="44"/>
      <w:szCs w:val="20"/>
    </w:rPr>
  </w:style>
  <w:style w:type="paragraph" w:customStyle="1"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页眉 Char"/>
    <w:basedOn w:val="7"/>
    <w:link w:val="5"/>
    <w:uiPriority w:val="99"/>
    <w:rPr>
      <w:rFonts w:ascii="Times New Roman" w:hAnsi="Times New Roman" w:eastAsia="宋体" w:cs="Times New Roman"/>
      <w:sz w:val="18"/>
      <w:szCs w:val="18"/>
    </w:rPr>
  </w:style>
  <w:style w:type="character" w:customStyle="1" w:styleId="15">
    <w:name w:val="日期 Char"/>
    <w:basedOn w:val="7"/>
    <w:link w:val="3"/>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2372</Words>
  <Characters>2421</Characters>
  <Lines>110</Lines>
  <Paragraphs>43</Paragraphs>
  <TotalTime>0</TotalTime>
  <ScaleCrop>false</ScaleCrop>
  <LinksUpToDate>false</LinksUpToDate>
  <CharactersWithSpaces>4750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2019-01-28T07:23:00Z</dcterms:created>
  <dc:creator>lenovo</dc:creator>
  <cp:lastModifiedBy>Administrator</cp:lastModifiedBy>
  <dcterms:modified xsi:type="dcterms:W3CDTF">2021-02-18T09:48:08Z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