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03C9D4">
      <w:pPr>
        <w:shd w:val="clear"/>
        <w:bidi w:val="0"/>
        <w:ind w:left="0" w:leftChars="0" w:firstLine="0" w:firstLineChars="0"/>
        <w:rPr>
          <w:rFonts w:hint="eastAsia" w:ascii="黑体" w:hAnsi="黑体" w:eastAsia="黑体" w:cs="黑体"/>
          <w:highlight w:val="none"/>
          <w:lang w:val="en-US" w:eastAsia="zh-CN"/>
        </w:rPr>
      </w:pPr>
      <w:bookmarkStart w:id="0" w:name="_Toc28748"/>
      <w:bookmarkStart w:id="1" w:name="_Toc6259"/>
      <w:bookmarkStart w:id="2" w:name="_Toc7650"/>
      <w:bookmarkStart w:id="3" w:name="_Toc6013"/>
      <w:r>
        <w:rPr>
          <w:rFonts w:hint="eastAsia" w:ascii="黑体" w:hAnsi="黑体" w:eastAsia="黑体" w:cs="黑体"/>
          <w:highlight w:val="none"/>
          <w:lang w:val="en-US" w:eastAsia="zh-CN"/>
        </w:rPr>
        <w:t>附件</w:t>
      </w:r>
    </w:p>
    <w:p w14:paraId="1A86FCB2">
      <w:pPr>
        <w:shd w:val="clear"/>
        <w:bidi w:val="0"/>
        <w:rPr>
          <w:rFonts w:hint="eastAsia" w:ascii="Times New Roman" w:hAnsi="Times New Roman" w:eastAsia="仿宋_GB2312" w:cs="仿宋_GB2312"/>
          <w:highlight w:val="none"/>
          <w:lang w:val="en-US" w:eastAsia="zh-CN"/>
        </w:rPr>
      </w:pPr>
    </w:p>
    <w:p w14:paraId="392A958A">
      <w:pPr>
        <w:pStyle w:val="2"/>
        <w:shd w:val="clear"/>
        <w:rPr>
          <w:rFonts w:hint="eastAsia" w:ascii="Times New Roman" w:hAnsi="Times New Roman" w:eastAsia="仿宋_GB2312" w:cs="仿宋_GB2312"/>
          <w:highlight w:val="none"/>
          <w:lang w:val="en-US" w:eastAsia="zh-CN"/>
        </w:rPr>
      </w:pPr>
    </w:p>
    <w:p w14:paraId="0087726D">
      <w:pPr>
        <w:shd w:val="clear"/>
        <w:jc w:val="center"/>
        <w:rPr>
          <w:rFonts w:hint="eastAsia" w:ascii="Times New Roman" w:hAnsi="Times New Roman"/>
          <w:highlight w:val="none"/>
          <w:lang w:val="en-US" w:eastAsia="zh-CN"/>
        </w:rPr>
      </w:pPr>
    </w:p>
    <w:p w14:paraId="04469AF2">
      <w:pPr>
        <w:pBdr>
          <w:top w:val="none" w:color="auto" w:sz="0" w:space="1"/>
          <w:left w:val="none" w:color="auto" w:sz="0" w:space="4"/>
          <w:bottom w:val="none" w:color="auto" w:sz="0" w:space="1"/>
          <w:right w:val="none" w:color="auto" w:sz="0" w:space="4"/>
        </w:pBdr>
        <w:shd w:val="clear"/>
        <w:spacing w:after="0" w:line="640" w:lineRule="exact"/>
        <w:ind w:firstLine="0" w:firstLineChars="0"/>
        <w:jc w:val="center"/>
        <w:rPr>
          <w:rFonts w:hint="eastAsia" w:ascii="Times New Roman" w:hAnsi="Times New Roman" w:eastAsia="方正小标宋简体" w:cs="Times New Roman"/>
          <w:sz w:val="48"/>
          <w:szCs w:val="48"/>
          <w:highlight w:val="none"/>
          <w:lang w:val="en-US" w:eastAsia="zh-CN"/>
        </w:rPr>
      </w:pPr>
      <w:r>
        <w:rPr>
          <w:rFonts w:hint="eastAsia" w:ascii="Times New Roman" w:hAnsi="Times New Roman" w:eastAsia="方正小标宋简体" w:cs="Times New Roman"/>
          <w:sz w:val="48"/>
          <w:szCs w:val="48"/>
          <w:highlight w:val="none"/>
          <w:lang w:val="en-US" w:eastAsia="zh-CN"/>
        </w:rPr>
        <w:t>北京市朝阳区“十五五”时期</w:t>
      </w:r>
    </w:p>
    <w:p w14:paraId="58B9B0EE">
      <w:pPr>
        <w:pBdr>
          <w:top w:val="none" w:color="auto" w:sz="0" w:space="1"/>
          <w:left w:val="none" w:color="auto" w:sz="0" w:space="4"/>
          <w:bottom w:val="none" w:color="auto" w:sz="0" w:space="1"/>
          <w:right w:val="none" w:color="auto" w:sz="0" w:space="4"/>
        </w:pBdr>
        <w:shd w:val="clear"/>
        <w:spacing w:after="0" w:line="640" w:lineRule="exact"/>
        <w:ind w:firstLine="0" w:firstLineChars="0"/>
        <w:jc w:val="center"/>
        <w:rPr>
          <w:rFonts w:hint="eastAsia" w:ascii="Times New Roman" w:hAnsi="Times New Roman" w:eastAsia="方正小标宋简体" w:cs="Times New Roman"/>
          <w:sz w:val="48"/>
          <w:szCs w:val="48"/>
          <w:highlight w:val="none"/>
          <w:lang w:val="en-US" w:eastAsia="zh-CN"/>
        </w:rPr>
      </w:pPr>
      <w:r>
        <w:rPr>
          <w:rFonts w:hint="eastAsia" w:ascii="Times New Roman" w:hAnsi="Times New Roman" w:eastAsia="方正小标宋简体" w:cs="Times New Roman"/>
          <w:sz w:val="48"/>
          <w:szCs w:val="48"/>
          <w:highlight w:val="none"/>
          <w:lang w:val="en-US" w:eastAsia="zh-CN"/>
        </w:rPr>
        <w:t>民政事业发展规划</w:t>
      </w:r>
      <w:bookmarkEnd w:id="0"/>
      <w:bookmarkEnd w:id="1"/>
      <w:bookmarkEnd w:id="2"/>
      <w:bookmarkEnd w:id="3"/>
    </w:p>
    <w:p w14:paraId="4C9D92B0">
      <w:pPr>
        <w:shd w:val="clear"/>
        <w:bidi w:val="0"/>
        <w:jc w:val="center"/>
        <w:rPr>
          <w:rFonts w:hint="eastAsia" w:ascii="Times New Roman" w:hAnsi="Times New Roman" w:eastAsia="仿宋_GB2312" w:cs="仿宋_GB2312"/>
          <w:highlight w:val="none"/>
        </w:rPr>
      </w:pPr>
    </w:p>
    <w:p w14:paraId="43E3B649">
      <w:pPr>
        <w:shd w:val="clear"/>
        <w:bidi w:val="0"/>
        <w:rPr>
          <w:rFonts w:hint="eastAsia" w:ascii="Times New Roman" w:hAnsi="Times New Roman" w:eastAsia="仿宋_GB2312" w:cs="仿宋_GB2312"/>
          <w:highlight w:val="none"/>
        </w:rPr>
      </w:pPr>
    </w:p>
    <w:p w14:paraId="73541CA0">
      <w:pPr>
        <w:shd w:val="clear"/>
        <w:bidi w:val="0"/>
        <w:rPr>
          <w:rFonts w:hint="eastAsia" w:ascii="Times New Roman" w:hAnsi="Times New Roman" w:eastAsia="仿宋_GB2312" w:cs="仿宋_GB2312"/>
          <w:highlight w:val="none"/>
        </w:rPr>
      </w:pPr>
    </w:p>
    <w:p w14:paraId="50416BAE">
      <w:pPr>
        <w:shd w:val="clear"/>
        <w:bidi w:val="0"/>
        <w:rPr>
          <w:rFonts w:hint="eastAsia" w:ascii="Times New Roman" w:hAnsi="Times New Roman" w:eastAsia="仿宋_GB2312" w:cs="仿宋_GB2312"/>
          <w:highlight w:val="none"/>
        </w:rPr>
      </w:pPr>
    </w:p>
    <w:p w14:paraId="232F86A8">
      <w:pPr>
        <w:shd w:val="clear"/>
        <w:bidi w:val="0"/>
        <w:rPr>
          <w:rFonts w:hint="eastAsia" w:ascii="Times New Roman" w:hAnsi="Times New Roman" w:eastAsia="仿宋_GB2312" w:cs="仿宋_GB2312"/>
          <w:highlight w:val="none"/>
        </w:rPr>
      </w:pPr>
    </w:p>
    <w:p w14:paraId="717959DB">
      <w:pPr>
        <w:shd w:val="clear"/>
        <w:bidi w:val="0"/>
        <w:rPr>
          <w:rFonts w:hint="eastAsia" w:ascii="Times New Roman" w:hAnsi="Times New Roman" w:eastAsia="仿宋_GB2312" w:cs="仿宋_GB2312"/>
          <w:highlight w:val="none"/>
        </w:rPr>
      </w:pPr>
    </w:p>
    <w:p w14:paraId="1BFE4F5A">
      <w:pPr>
        <w:shd w:val="clear"/>
        <w:bidi w:val="0"/>
        <w:rPr>
          <w:rFonts w:hint="eastAsia" w:ascii="Times New Roman" w:hAnsi="Times New Roman" w:eastAsia="仿宋_GB2312" w:cs="仿宋_GB2312"/>
          <w:highlight w:val="none"/>
        </w:rPr>
      </w:pPr>
    </w:p>
    <w:p w14:paraId="7EB129F7">
      <w:pPr>
        <w:shd w:val="clear"/>
        <w:bidi w:val="0"/>
        <w:rPr>
          <w:rFonts w:hint="eastAsia" w:ascii="Times New Roman" w:hAnsi="Times New Roman" w:eastAsia="仿宋_GB2312" w:cs="仿宋_GB2312"/>
          <w:highlight w:val="none"/>
        </w:rPr>
      </w:pPr>
    </w:p>
    <w:p w14:paraId="2D6DF0B2">
      <w:pPr>
        <w:pStyle w:val="2"/>
        <w:shd w:val="clear"/>
        <w:jc w:val="center"/>
        <w:rPr>
          <w:rFonts w:hint="eastAsia" w:ascii="Times New Roman" w:hAnsi="Times New Roman"/>
          <w:highlight w:val="none"/>
        </w:rPr>
      </w:pPr>
    </w:p>
    <w:p w14:paraId="2C965412">
      <w:pPr>
        <w:shd w:val="clear"/>
        <w:bidi w:val="0"/>
        <w:rPr>
          <w:rFonts w:hint="eastAsia" w:ascii="Times New Roman" w:hAnsi="Times New Roman" w:eastAsia="仿宋_GB2312" w:cs="仿宋_GB2312"/>
          <w:highlight w:val="none"/>
        </w:rPr>
      </w:pPr>
    </w:p>
    <w:p w14:paraId="7AC1E2FA">
      <w:pPr>
        <w:shd w:val="clear"/>
        <w:bidi w:val="0"/>
        <w:rPr>
          <w:rFonts w:hint="eastAsia" w:ascii="Times New Roman" w:hAnsi="Times New Roman" w:eastAsia="仿宋_GB2312" w:cs="仿宋_GB2312"/>
          <w:highlight w:val="none"/>
        </w:rPr>
      </w:pPr>
    </w:p>
    <w:p w14:paraId="231BCCF1">
      <w:pPr>
        <w:shd w:val="clear"/>
        <w:bidi w:val="0"/>
        <w:rPr>
          <w:rFonts w:hint="eastAsia" w:ascii="Times New Roman" w:hAnsi="Times New Roman" w:eastAsia="仿宋_GB2312" w:cs="仿宋_GB2312"/>
          <w:highlight w:val="none"/>
        </w:rPr>
      </w:pPr>
    </w:p>
    <w:p w14:paraId="0E0C7562">
      <w:pPr>
        <w:shd w:val="clear"/>
        <w:bidi w:val="0"/>
        <w:rPr>
          <w:rFonts w:hint="eastAsia" w:ascii="Times New Roman" w:hAnsi="Times New Roman" w:eastAsia="仿宋_GB2312" w:cs="仿宋_GB2312"/>
          <w:highlight w:val="none"/>
        </w:rPr>
      </w:pPr>
    </w:p>
    <w:p w14:paraId="510B2485">
      <w:pPr>
        <w:shd w:val="clear"/>
        <w:bidi w:val="0"/>
        <w:rPr>
          <w:rFonts w:hint="eastAsia" w:ascii="Times New Roman" w:hAnsi="Times New Roman" w:eastAsia="仿宋_GB2312" w:cs="仿宋_GB2312"/>
          <w:highlight w:val="none"/>
        </w:rPr>
      </w:pPr>
    </w:p>
    <w:p w14:paraId="4E280323">
      <w:pPr>
        <w:pStyle w:val="14"/>
        <w:shd w:val="clear"/>
        <w:wordWrap w:val="0"/>
        <w:spacing w:line="240" w:lineRule="auto"/>
        <w:ind w:firstLine="0" w:firstLineChars="0"/>
        <w:jc w:val="center"/>
        <w:rPr>
          <w:rFonts w:hint="eastAsia" w:ascii="Times New Roman" w:hAnsi="Times New Roman" w:eastAsia="方正小标宋简体" w:cs="Times New Roman"/>
          <w:bCs/>
          <w:color w:val="000000"/>
          <w:kern w:val="0"/>
          <w:sz w:val="44"/>
          <w:szCs w:val="44"/>
          <w:highlight w:val="none"/>
        </w:rPr>
      </w:pPr>
      <w:r>
        <w:rPr>
          <w:rFonts w:hint="eastAsia" w:ascii="Times New Roman" w:hAnsi="Times New Roman" w:eastAsia="楷体_GB2312" w:cs="Times New Roman"/>
          <w:spacing w:val="-10"/>
          <w:sz w:val="36"/>
          <w:szCs w:val="36"/>
          <w:highlight w:val="none"/>
        </w:rPr>
        <w:t>202</w:t>
      </w:r>
      <w:r>
        <w:rPr>
          <w:rFonts w:hint="eastAsia" w:ascii="Times New Roman" w:hAnsi="Times New Roman" w:eastAsia="楷体_GB2312" w:cs="Times New Roman"/>
          <w:spacing w:val="-10"/>
          <w:sz w:val="36"/>
          <w:szCs w:val="36"/>
          <w:highlight w:val="none"/>
          <w:lang w:val="en-US" w:eastAsia="zh-CN"/>
        </w:rPr>
        <w:t>6</w:t>
      </w:r>
      <w:r>
        <w:rPr>
          <w:rFonts w:hint="eastAsia" w:ascii="Times New Roman" w:hAnsi="Times New Roman" w:eastAsia="楷体_GB2312" w:cs="Times New Roman"/>
          <w:spacing w:val="-10"/>
          <w:sz w:val="36"/>
          <w:szCs w:val="36"/>
          <w:highlight w:val="none"/>
        </w:rPr>
        <w:t>年</w:t>
      </w:r>
      <w:r>
        <w:rPr>
          <w:rFonts w:hint="eastAsia" w:ascii="Times New Roman" w:hAnsi="Times New Roman" w:eastAsia="楷体_GB2312" w:cs="Times New Roman"/>
          <w:spacing w:val="-10"/>
          <w:sz w:val="36"/>
          <w:szCs w:val="36"/>
          <w:highlight w:val="none"/>
          <w:lang w:val="en-US" w:eastAsia="zh-CN"/>
        </w:rPr>
        <w:t>10</w:t>
      </w:r>
      <w:r>
        <w:rPr>
          <w:rFonts w:hint="eastAsia" w:ascii="Times New Roman" w:hAnsi="Times New Roman" w:eastAsia="楷体_GB2312" w:cs="Times New Roman"/>
          <w:spacing w:val="-10"/>
          <w:sz w:val="36"/>
          <w:szCs w:val="36"/>
          <w:highlight w:val="none"/>
        </w:rPr>
        <w:t>月</w:t>
      </w:r>
      <w:bookmarkStart w:id="4" w:name="_Toc29649"/>
      <w:bookmarkStart w:id="5" w:name="_Toc9083"/>
      <w:bookmarkStart w:id="6" w:name="_Toc7536"/>
      <w:bookmarkStart w:id="7" w:name="_Toc18852"/>
      <w:bookmarkStart w:id="8" w:name="_Toc3552"/>
      <w:r>
        <w:rPr>
          <w:rFonts w:hint="eastAsia" w:ascii="Times New Roman" w:hAnsi="Times New Roman" w:eastAsia="方正小标宋简体" w:cs="Times New Roman"/>
          <w:bCs/>
          <w:color w:val="000000"/>
          <w:kern w:val="0"/>
          <w:sz w:val="44"/>
          <w:szCs w:val="44"/>
          <w:highlight w:val="none"/>
        </w:rPr>
        <w:br w:type="page"/>
      </w:r>
    </w:p>
    <w:p w14:paraId="7E6F4A4F">
      <w:pPr>
        <w:widowControl w:val="0"/>
        <w:shd w:val="clear"/>
        <w:wordWrap w:val="0"/>
        <w:jc w:val="both"/>
        <w:rPr>
          <w:rFonts w:hint="eastAsia" w:ascii="Times New Roman" w:hAnsi="Times New Roman" w:eastAsia="方正小标宋简体" w:cs="Times New Roman"/>
          <w:bCs/>
          <w:color w:val="000000"/>
          <w:kern w:val="0"/>
          <w:sz w:val="44"/>
          <w:szCs w:val="44"/>
          <w:highlight w:val="none"/>
          <w:lang w:val="en-US" w:eastAsia="zh-CN" w:bidi="ar-SA"/>
        </w:rPr>
      </w:pPr>
      <w:r>
        <w:rPr>
          <w:rFonts w:hint="eastAsia" w:ascii="Times New Roman" w:hAnsi="Times New Roman" w:eastAsia="方正小标宋简体" w:cs="Times New Roman"/>
          <w:bCs/>
          <w:color w:val="000000"/>
          <w:kern w:val="0"/>
          <w:sz w:val="44"/>
          <w:szCs w:val="44"/>
          <w:highlight w:val="none"/>
          <w:lang w:val="en-US" w:eastAsia="zh-CN" w:bidi="ar-SA"/>
        </w:rPr>
        <w:br w:type="page"/>
      </w:r>
    </w:p>
    <w:p w14:paraId="45936145">
      <w:pPr>
        <w:keepNext w:val="0"/>
        <w:keepLines w:val="0"/>
        <w:pageBreakBefore w:val="0"/>
        <w:widowControl w:val="0"/>
        <w:pBdr>
          <w:top w:val="none" w:color="auto" w:sz="0" w:space="1"/>
          <w:left w:val="none" w:color="auto" w:sz="0" w:space="4"/>
          <w:bottom w:val="none" w:color="auto" w:sz="0" w:space="1"/>
          <w:right w:val="none" w:color="auto" w:sz="0" w:space="4"/>
        </w:pBdr>
        <w:shd w:val="clear"/>
        <w:suppressAutoHyphens/>
        <w:kinsoku/>
        <w:wordWrap/>
        <w:overflowPunct/>
        <w:topLinePunct w:val="0"/>
        <w:autoSpaceDE/>
        <w:autoSpaceDN/>
        <w:bidi w:val="0"/>
        <w:adjustRightInd/>
        <w:snapToGrid w:val="0"/>
        <w:spacing w:line="560" w:lineRule="exact"/>
        <w:ind w:left="0" w:leftChars="0" w:right="0" w:rightChars="0" w:firstLine="0" w:firstLineChars="0"/>
        <w:jc w:val="center"/>
        <w:textAlignment w:val="auto"/>
        <w:outlineLvl w:val="9"/>
        <w:rPr>
          <w:rFonts w:hint="eastAsia" w:ascii="Times New Roman" w:hAnsi="Times New Roman" w:eastAsia="黑体" w:cs="Times New Roman"/>
          <w:sz w:val="36"/>
          <w:szCs w:val="36"/>
          <w:highlight w:val="none"/>
        </w:rPr>
      </w:pPr>
      <w:r>
        <w:rPr>
          <w:rFonts w:hint="eastAsia" w:ascii="Times New Roman" w:hAnsi="Times New Roman" w:eastAsia="黑体" w:cs="Times New Roman"/>
          <w:sz w:val="36"/>
          <w:szCs w:val="36"/>
          <w:highlight w:val="none"/>
        </w:rPr>
        <w:t>前</w:t>
      </w:r>
      <w:r>
        <w:rPr>
          <w:rFonts w:hint="eastAsia" w:ascii="Times New Roman" w:hAnsi="Times New Roman" w:eastAsia="黑体" w:cs="Times New Roman"/>
          <w:sz w:val="36"/>
          <w:szCs w:val="36"/>
          <w:highlight w:val="none"/>
          <w:lang w:val="en-US" w:eastAsia="zh-CN"/>
        </w:rPr>
        <w:t xml:space="preserve"> </w:t>
      </w:r>
      <w:r>
        <w:rPr>
          <w:rFonts w:hint="eastAsia" w:ascii="Times New Roman" w:hAnsi="Times New Roman" w:eastAsia="黑体" w:cs="Times New Roman"/>
          <w:sz w:val="36"/>
          <w:szCs w:val="36"/>
          <w:highlight w:val="none"/>
        </w:rPr>
        <w:t>言</w:t>
      </w:r>
      <w:bookmarkEnd w:id="4"/>
      <w:bookmarkEnd w:id="5"/>
      <w:bookmarkEnd w:id="6"/>
      <w:bookmarkEnd w:id="7"/>
      <w:bookmarkEnd w:id="8"/>
    </w:p>
    <w:p w14:paraId="3A6552B3">
      <w:pPr>
        <w:pStyle w:val="20"/>
        <w:shd w:val="clear"/>
        <w:rPr>
          <w:rFonts w:hint="eastAsia" w:ascii="Times New Roman" w:hAnsi="Times New Roman" w:eastAsia="仿宋_GB2312" w:cs="仿宋_GB2312"/>
          <w:bCs/>
          <w:sz w:val="32"/>
          <w:szCs w:val="32"/>
          <w:highlight w:val="none"/>
          <w:lang w:val="en-US" w:eastAsia="zh-CN"/>
        </w:rPr>
      </w:pPr>
      <w:r>
        <w:rPr>
          <w:rFonts w:hint="eastAsia" w:ascii="Times New Roman" w:hAnsi="Times New Roman" w:eastAsia="仿宋_GB2312" w:cs="仿宋_GB2312"/>
          <w:bCs/>
          <w:sz w:val="32"/>
          <w:szCs w:val="32"/>
          <w:highlight w:val="none"/>
          <w:lang w:val="en-US" w:eastAsia="zh-CN"/>
        </w:rPr>
        <w:t>“十四五”时期是朝阳区建设具有广泛国际影响力和竞争力的和谐宜居国际化城区的重要时期。朝阳区民政工作紧跟国家和北京市的整体规划，坚持以人民为中心的发展思想，着力保障和改善基本民生，推进基层社会治理，为</w:t>
      </w:r>
      <w:r>
        <w:rPr>
          <w:rFonts w:hint="eastAsia" w:ascii="Times New Roman" w:hAnsi="Times New Roman" w:cs="仿宋_GB2312"/>
          <w:bCs/>
          <w:sz w:val="32"/>
          <w:szCs w:val="32"/>
          <w:highlight w:val="none"/>
          <w:lang w:val="en-US" w:eastAsia="zh-CN"/>
        </w:rPr>
        <w:t>建好</w:t>
      </w:r>
      <w:r>
        <w:rPr>
          <w:rFonts w:hint="eastAsia" w:ascii="Times New Roman" w:hAnsi="Times New Roman" w:eastAsia="仿宋_GB2312" w:cs="仿宋_GB2312"/>
          <w:bCs/>
          <w:sz w:val="32"/>
          <w:szCs w:val="32"/>
          <w:highlight w:val="none"/>
          <w:lang w:val="en-US" w:eastAsia="zh-CN"/>
        </w:rPr>
        <w:t>“五宜”朝阳提供了坚实保障。</w:t>
      </w:r>
    </w:p>
    <w:p w14:paraId="49D2BC4F">
      <w:pPr>
        <w:pStyle w:val="20"/>
        <w:shd w:val="clear"/>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bCs/>
          <w:sz w:val="32"/>
          <w:szCs w:val="32"/>
          <w:highlight w:val="none"/>
          <w:lang w:val="en-US" w:eastAsia="zh-CN"/>
        </w:rPr>
        <w:t>“十五五”时期，是我国基本实现社会主义现代化夯实基础、全面发力的关键时期，是北京率先基本实现社会主义现代化承前启后的关键五年，是朝阳建设具有国际影响力的中国式现代化强区的重要五年，也是朝阳民政事业适应新形势、满足新标准、构建新格局的窗口期。党的十八大以来，习近平总书记围绕民政工作的职责使命、发展方向和实践要求作出一系列重要论述，为新时代新征程推动民政事业高质量发展提供了根本遵循、注入了强大动力。党的二十届四中全会和市委十三届七次全会对未来五年发展作出顶层设计和战略擘画，明确了民政事业的发展方向和目标要求。本规划依据习近平总书记关于民政工作重要论述精神，贯彻落实党中央和市委、市政府有关部署要求，结合《北京市朝阳区国民经济和社会发展第十五个五年规划纲要》和民政工作新形势，明确了“十五五”时期朝阳区民政事业发展的总体要求、基本思路、重点任务和保障措施，着力推动全区民政事业实现更高质量、更可持续发展。</w:t>
      </w:r>
    </w:p>
    <w:p w14:paraId="2AD947DB">
      <w:pPr>
        <w:shd w:val="clear"/>
        <w:rPr>
          <w:rFonts w:ascii="Times New Roman" w:hAnsi="Times New Roman"/>
          <w:highlight w:val="none"/>
        </w:rPr>
      </w:pPr>
      <w:r>
        <w:rPr>
          <w:rFonts w:hint="eastAsia" w:ascii="Times New Roman" w:hAnsi="Times New Roman" w:eastAsia="黑体" w:cs="黑体"/>
          <w:highlight w:val="none"/>
        </w:rPr>
        <w:t>规划期限：2026</w:t>
      </w:r>
      <w:r>
        <w:rPr>
          <w:rFonts w:hint="eastAsia" w:ascii="Times New Roman" w:hAnsi="Times New Roman" w:eastAsia="黑体" w:cs="黑体"/>
          <w:highlight w:val="none"/>
          <w:lang w:eastAsia="zh-CN"/>
        </w:rPr>
        <w:t>—</w:t>
      </w:r>
      <w:r>
        <w:rPr>
          <w:rFonts w:hint="eastAsia" w:ascii="Times New Roman" w:hAnsi="Times New Roman" w:eastAsia="黑体" w:cs="黑体"/>
          <w:highlight w:val="none"/>
        </w:rPr>
        <w:t>2030年</w:t>
      </w:r>
      <w:sdt>
        <w:sdtPr>
          <w:rPr>
            <w:rFonts w:hint="eastAsia" w:ascii="Times New Roman" w:hAnsi="Times New Roman" w:eastAsia="黑体" w:cs="黑体"/>
            <w:highlight w:val="none"/>
            <w:lang w:val="en-US" w:eastAsia="zh-CN"/>
          </w:rPr>
          <w:id w:val="147460501"/>
          <w:showingPlcHdr/>
          <w15:color w:val="DBDBDB"/>
        </w:sdtPr>
        <w:sdtEndPr>
          <w:rPr>
            <w:rFonts w:hint="eastAsia" w:ascii="Times New Roman" w:hAnsi="Times New Roman" w:eastAsia="仿宋_GB2312" w:cs="仿宋_GB2312"/>
            <w:highlight w:val="none"/>
            <w:lang w:val="en-US" w:eastAsia="zh-CN"/>
          </w:rPr>
        </w:sdtEndPr>
        <w:sdtContent>
          <w:r>
            <w:rPr>
              <w:rFonts w:hint="eastAsia" w:ascii="Times New Roman" w:hAnsi="Times New Roman" w:eastAsia="黑体" w:cs="黑体"/>
              <w:highlight w:val="none"/>
              <w:lang w:val="en-US" w:eastAsia="zh-CN"/>
            </w:rPr>
            <w:t xml:space="preserve">     </w:t>
          </w:r>
        </w:sdtContent>
      </w:sdt>
      <w:r>
        <w:rPr>
          <w:rFonts w:hint="eastAsia" w:ascii="Times New Roman" w:hAnsi="Times New Roman"/>
          <w:highlight w:val="none"/>
          <w:lang w:eastAsia="zh-CN"/>
        </w:rPr>
        <w:br w:type="page"/>
      </w:r>
      <w:r>
        <w:rPr>
          <w:rFonts w:hint="eastAsia" w:ascii="Times New Roman" w:hAnsi="Times New Roman"/>
          <w:highlight w:val="none"/>
          <w:lang w:eastAsia="zh-CN"/>
        </w:rPr>
        <w:br w:type="page"/>
      </w:r>
    </w:p>
    <w:p w14:paraId="01A39B57">
      <w:pPr>
        <w:keepNext w:val="0"/>
        <w:keepLines w:val="0"/>
        <w:pageBreakBefore w:val="0"/>
        <w:shd w:val="clear"/>
        <w:kinsoku/>
        <w:wordWrap/>
        <w:overflowPunct/>
        <w:topLinePunct w:val="0"/>
        <w:autoSpaceDE/>
        <w:autoSpaceDN/>
        <w:bidi w:val="0"/>
        <w:adjustRightInd/>
        <w:snapToGrid/>
        <w:spacing w:line="560" w:lineRule="exact"/>
        <w:ind w:left="0" w:leftChars="0" w:firstLine="0" w:firstLineChars="0"/>
        <w:jc w:val="center"/>
        <w:textAlignment w:val="auto"/>
        <w:rPr>
          <w:rFonts w:hint="eastAsia" w:ascii="Times New Roman" w:hAnsi="Times New Roman" w:eastAsia="黑体" w:cs="黑体"/>
          <w:sz w:val="36"/>
          <w:szCs w:val="36"/>
          <w:highlight w:val="none"/>
          <w:lang w:val="en-US" w:eastAsia="zh-CN"/>
        </w:rPr>
      </w:pPr>
      <w:r>
        <w:rPr>
          <w:rFonts w:hint="eastAsia" w:ascii="Times New Roman" w:hAnsi="Times New Roman" w:eastAsia="黑体" w:cs="黑体"/>
          <w:sz w:val="36"/>
          <w:szCs w:val="36"/>
          <w:highlight w:val="none"/>
          <w:lang w:val="en-US" w:eastAsia="zh-CN"/>
        </w:rPr>
        <w:t>目 录</w:t>
      </w:r>
    </w:p>
    <w:p w14:paraId="3714B893">
      <w:pPr>
        <w:pStyle w:val="2"/>
        <w:keepNext w:val="0"/>
        <w:keepLines w:val="0"/>
        <w:pageBreakBefore w:val="0"/>
        <w:shd w:val="clear"/>
        <w:kinsoku/>
        <w:wordWrap/>
        <w:overflowPunct/>
        <w:topLinePunct w:val="0"/>
        <w:autoSpaceDE/>
        <w:autoSpaceDN/>
        <w:bidi w:val="0"/>
        <w:adjustRightInd/>
        <w:snapToGrid/>
        <w:spacing w:line="560" w:lineRule="exact"/>
        <w:textAlignment w:val="auto"/>
        <w:rPr>
          <w:rFonts w:hint="eastAsia" w:ascii="Times New Roman" w:hAnsi="Times New Roman"/>
          <w:highlight w:val="none"/>
          <w:lang w:val="en-US" w:eastAsia="zh-CN"/>
        </w:rPr>
      </w:pPr>
    </w:p>
    <w:p w14:paraId="7F2E143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Times New Roman" w:hAnsi="Times New Roman" w:eastAsia="宋体" w:cs="仿宋_GB2312"/>
          <w:color w:val="000000"/>
          <w:sz w:val="28"/>
          <w:szCs w:val="28"/>
          <w:highlight w:val="none"/>
          <w:lang w:eastAsia="zh-CN"/>
        </w:rPr>
      </w:pPr>
      <w:r>
        <w:rPr>
          <w:rFonts w:hint="eastAsia" w:ascii="Times New Roman" w:hAnsi="Times New Roman" w:eastAsia="黑体" w:cs="黑体"/>
          <w:color w:val="000000"/>
          <w:sz w:val="32"/>
          <w:szCs w:val="32"/>
          <w:highlight w:val="none"/>
        </w:rPr>
        <w:t>第一</w:t>
      </w:r>
      <w:r>
        <w:rPr>
          <w:rFonts w:hint="eastAsia" w:ascii="Times New Roman" w:hAnsi="Times New Roman" w:eastAsia="黑体" w:cs="黑体"/>
          <w:color w:val="000000"/>
          <w:sz w:val="32"/>
          <w:szCs w:val="32"/>
          <w:highlight w:val="none"/>
          <w:lang w:eastAsia="zh-CN"/>
        </w:rPr>
        <w:t>篇</w:t>
      </w:r>
      <w:r>
        <w:rPr>
          <w:rFonts w:hint="eastAsia" w:ascii="Times New Roman" w:hAnsi="Times New Roman" w:eastAsia="黑体" w:cs="黑体"/>
          <w:color w:val="000000"/>
          <w:sz w:val="32"/>
          <w:szCs w:val="32"/>
          <w:highlight w:val="none"/>
        </w:rPr>
        <w:t xml:space="preserve"> 开启朝阳民政事业高质量发展新征程</w:t>
      </w:r>
      <w:r>
        <w:rPr>
          <w:rFonts w:hint="default" w:ascii="Times New Roman" w:hAnsi="Times New Roman" w:eastAsia="黑体" w:cs="Times New Roman"/>
          <w:color w:val="000000"/>
          <w:kern w:val="2"/>
          <w:sz w:val="32"/>
          <w:szCs w:val="32"/>
          <w:highlight w:val="none"/>
          <w:lang w:val="en-US" w:eastAsia="zh-CN" w:bidi="ar-SA"/>
        </w:rPr>
        <w:t>…………</w:t>
      </w:r>
      <w:r>
        <w:rPr>
          <w:rFonts w:hint="eastAsia" w:ascii="Times New Roman" w:hAnsi="Times New Roman" w:eastAsia="仿宋_GB2312" w:cs="仿宋_GB2312"/>
          <w:color w:val="000000"/>
          <w:sz w:val="32"/>
          <w:szCs w:val="32"/>
          <w:highlight w:val="none"/>
          <w:lang w:val="en-US" w:eastAsia="zh-CN"/>
        </w:rPr>
        <w:t>1</w:t>
      </w:r>
    </w:p>
    <w:p w14:paraId="4D73090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1280" w:firstLineChars="400"/>
        <w:textAlignment w:val="auto"/>
        <w:rPr>
          <w:rFonts w:hint="eastAsia" w:ascii="Times New Roman" w:hAnsi="Times New Roman" w:eastAsia="楷体_GB2312" w:cs="楷体_GB2312"/>
          <w:color w:val="000000"/>
          <w:sz w:val="32"/>
          <w:szCs w:val="32"/>
          <w:highlight w:val="none"/>
          <w:lang w:val="en-US" w:eastAsia="zh-CN"/>
        </w:rPr>
      </w:pPr>
      <w:r>
        <w:rPr>
          <w:rFonts w:hint="eastAsia" w:ascii="Times New Roman" w:hAnsi="Times New Roman" w:eastAsia="楷体_GB2312" w:cs="楷体_GB2312"/>
          <w:color w:val="000000"/>
          <w:sz w:val="32"/>
          <w:szCs w:val="32"/>
          <w:highlight w:val="none"/>
        </w:rPr>
        <w:t>第一</w:t>
      </w:r>
      <w:r>
        <w:rPr>
          <w:rFonts w:hint="eastAsia" w:ascii="Times New Roman" w:hAnsi="Times New Roman" w:eastAsia="楷体_GB2312" w:cs="楷体_GB2312"/>
          <w:color w:val="000000"/>
          <w:sz w:val="32"/>
          <w:szCs w:val="32"/>
          <w:highlight w:val="none"/>
          <w:lang w:eastAsia="zh-CN"/>
        </w:rPr>
        <w:t>章</w:t>
      </w:r>
      <w:r>
        <w:rPr>
          <w:rFonts w:hint="eastAsia" w:ascii="Times New Roman" w:hAnsi="Times New Roman" w:eastAsia="楷体_GB2312" w:cs="楷体_GB2312"/>
          <w:color w:val="000000"/>
          <w:sz w:val="32"/>
          <w:szCs w:val="32"/>
          <w:highlight w:val="none"/>
        </w:rPr>
        <w:t xml:space="preserve"> 发展基础</w:t>
      </w:r>
      <w:r>
        <w:rPr>
          <w:rFonts w:hint="default" w:ascii="Times New Roman" w:hAnsi="Times New Roman" w:eastAsia="黑体" w:cs="Times New Roman"/>
          <w:color w:val="000000"/>
          <w:kern w:val="2"/>
          <w:sz w:val="32"/>
          <w:szCs w:val="32"/>
          <w:highlight w:val="none"/>
          <w:lang w:val="en-US" w:eastAsia="zh-CN" w:bidi="ar-SA"/>
        </w:rPr>
        <w:t>……………………………………</w:t>
      </w:r>
      <w:r>
        <w:rPr>
          <w:rFonts w:hint="eastAsia" w:ascii="Times New Roman" w:hAnsi="Times New Roman" w:eastAsia="楷体_GB2312" w:cs="楷体_GB2312"/>
          <w:sz w:val="32"/>
          <w:szCs w:val="32"/>
          <w:highlight w:val="none"/>
          <w:lang w:val="en-US" w:eastAsia="zh-CN"/>
        </w:rPr>
        <w:t>1</w:t>
      </w:r>
    </w:p>
    <w:p w14:paraId="63BEDD9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1280" w:firstLineChars="400"/>
        <w:textAlignment w:val="auto"/>
        <w:rPr>
          <w:rFonts w:hint="eastAsia" w:ascii="Times New Roman" w:hAnsi="Times New Roman" w:eastAsia="楷体_GB2312" w:cs="楷体_GB2312"/>
          <w:color w:val="000000"/>
          <w:sz w:val="32"/>
          <w:szCs w:val="32"/>
          <w:highlight w:val="none"/>
        </w:rPr>
      </w:pPr>
      <w:r>
        <w:rPr>
          <w:rFonts w:hint="eastAsia" w:ascii="Times New Roman" w:hAnsi="Times New Roman" w:eastAsia="楷体_GB2312" w:cs="楷体_GB2312"/>
          <w:color w:val="000000"/>
          <w:sz w:val="32"/>
          <w:szCs w:val="32"/>
          <w:highlight w:val="none"/>
        </w:rPr>
        <w:t>第二</w:t>
      </w:r>
      <w:r>
        <w:rPr>
          <w:rFonts w:hint="eastAsia" w:ascii="Times New Roman" w:hAnsi="Times New Roman" w:eastAsia="楷体_GB2312" w:cs="楷体_GB2312"/>
          <w:color w:val="000000"/>
          <w:sz w:val="32"/>
          <w:szCs w:val="32"/>
          <w:highlight w:val="none"/>
          <w:lang w:eastAsia="zh-CN"/>
        </w:rPr>
        <w:t>章</w:t>
      </w:r>
      <w:r>
        <w:rPr>
          <w:rFonts w:hint="eastAsia" w:ascii="Times New Roman" w:hAnsi="Times New Roman" w:eastAsia="楷体_GB2312" w:cs="楷体_GB2312"/>
          <w:color w:val="000000"/>
          <w:sz w:val="32"/>
          <w:szCs w:val="32"/>
          <w:highlight w:val="none"/>
        </w:rPr>
        <w:t xml:space="preserve"> 面临形势基础</w:t>
      </w:r>
      <w:r>
        <w:rPr>
          <w:rFonts w:hint="default" w:ascii="Times New Roman" w:hAnsi="Times New Roman" w:eastAsia="黑体" w:cs="Times New Roman"/>
          <w:color w:val="000000"/>
          <w:kern w:val="2"/>
          <w:sz w:val="32"/>
          <w:szCs w:val="32"/>
          <w:highlight w:val="none"/>
          <w:lang w:val="en-US" w:eastAsia="zh-CN" w:bidi="ar-SA"/>
        </w:rPr>
        <w:t>………………………………</w:t>
      </w:r>
      <w:r>
        <w:rPr>
          <w:rFonts w:hint="eastAsia" w:ascii="Times New Roman" w:hAnsi="Times New Roman" w:eastAsia="楷体_GB2312" w:cs="楷体_GB2312"/>
          <w:color w:val="000000"/>
          <w:sz w:val="32"/>
          <w:szCs w:val="32"/>
          <w:highlight w:val="none"/>
        </w:rPr>
        <w:t>6</w:t>
      </w:r>
    </w:p>
    <w:p w14:paraId="55CFE68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1280" w:firstLineChars="400"/>
        <w:textAlignment w:val="auto"/>
        <w:rPr>
          <w:rFonts w:hint="eastAsia" w:ascii="Times New Roman" w:hAnsi="Times New Roman" w:eastAsia="楷体_GB2312" w:cs="楷体_GB2312"/>
          <w:color w:val="000000"/>
          <w:sz w:val="32"/>
          <w:szCs w:val="32"/>
          <w:highlight w:val="none"/>
          <w:lang w:val="en-US" w:eastAsia="zh-CN"/>
        </w:rPr>
      </w:pPr>
      <w:r>
        <w:rPr>
          <w:rFonts w:hint="eastAsia" w:ascii="Times New Roman" w:hAnsi="Times New Roman" w:eastAsia="楷体_GB2312" w:cs="楷体_GB2312"/>
          <w:color w:val="000000"/>
          <w:sz w:val="32"/>
          <w:szCs w:val="32"/>
          <w:highlight w:val="none"/>
        </w:rPr>
        <w:t>第三</w:t>
      </w:r>
      <w:r>
        <w:rPr>
          <w:rFonts w:hint="eastAsia" w:ascii="Times New Roman" w:hAnsi="Times New Roman" w:eastAsia="楷体_GB2312" w:cs="楷体_GB2312"/>
          <w:color w:val="000000"/>
          <w:sz w:val="32"/>
          <w:szCs w:val="32"/>
          <w:highlight w:val="none"/>
          <w:lang w:eastAsia="zh-CN"/>
        </w:rPr>
        <w:t>章</w:t>
      </w:r>
      <w:r>
        <w:rPr>
          <w:rFonts w:hint="eastAsia" w:ascii="Times New Roman" w:hAnsi="Times New Roman" w:eastAsia="楷体_GB2312" w:cs="楷体_GB2312"/>
          <w:color w:val="000000"/>
          <w:sz w:val="32"/>
          <w:szCs w:val="32"/>
          <w:highlight w:val="none"/>
        </w:rPr>
        <w:t xml:space="preserve"> 发展思路</w:t>
      </w:r>
      <w:r>
        <w:rPr>
          <w:rFonts w:hint="default" w:ascii="Times New Roman" w:hAnsi="Times New Roman" w:eastAsia="黑体" w:cs="Times New Roman"/>
          <w:color w:val="000000"/>
          <w:kern w:val="2"/>
          <w:sz w:val="32"/>
          <w:szCs w:val="32"/>
          <w:highlight w:val="none"/>
          <w:lang w:val="en-US" w:eastAsia="zh-CN" w:bidi="ar-SA"/>
        </w:rPr>
        <w:t>……………………………………</w:t>
      </w:r>
      <w:r>
        <w:rPr>
          <w:rFonts w:hint="eastAsia" w:ascii="Times New Roman" w:hAnsi="Times New Roman" w:eastAsia="楷体_GB2312" w:cs="楷体_GB2312"/>
          <w:color w:val="000000"/>
          <w:sz w:val="32"/>
          <w:szCs w:val="32"/>
          <w:highlight w:val="none"/>
          <w:lang w:val="en-US" w:eastAsia="zh-CN"/>
        </w:rPr>
        <w:t>10</w:t>
      </w:r>
    </w:p>
    <w:p w14:paraId="3C97082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Times New Roman" w:hAnsi="Times New Roman" w:eastAsia="仿宋_GB2312" w:cs="仿宋_GB2312"/>
          <w:color w:val="000000"/>
          <w:sz w:val="28"/>
          <w:szCs w:val="28"/>
          <w:highlight w:val="none"/>
          <w:lang w:val="en-US" w:eastAsia="zh-CN"/>
        </w:rPr>
      </w:pPr>
      <w:r>
        <w:rPr>
          <w:rFonts w:hint="eastAsia" w:ascii="Times New Roman" w:hAnsi="Times New Roman" w:eastAsia="黑体" w:cs="黑体"/>
          <w:color w:val="000000"/>
          <w:sz w:val="32"/>
          <w:szCs w:val="32"/>
          <w:highlight w:val="none"/>
        </w:rPr>
        <w:t>第</w:t>
      </w:r>
      <w:r>
        <w:rPr>
          <w:rFonts w:hint="eastAsia" w:ascii="Times New Roman" w:hAnsi="Times New Roman" w:eastAsia="黑体" w:cs="黑体"/>
          <w:color w:val="000000"/>
          <w:sz w:val="32"/>
          <w:szCs w:val="32"/>
          <w:highlight w:val="none"/>
          <w:lang w:eastAsia="zh-CN"/>
        </w:rPr>
        <w:t>二篇</w:t>
      </w:r>
      <w:r>
        <w:rPr>
          <w:rFonts w:hint="eastAsia" w:ascii="Times New Roman" w:hAnsi="Times New Roman" w:eastAsia="黑体" w:cs="黑体"/>
          <w:color w:val="000000"/>
          <w:sz w:val="32"/>
          <w:szCs w:val="32"/>
          <w:highlight w:val="none"/>
        </w:rPr>
        <w:t xml:space="preserve"> 构建积极应对人口老龄化新体系</w:t>
      </w:r>
      <w:r>
        <w:rPr>
          <w:rFonts w:hint="default" w:ascii="Times New Roman" w:hAnsi="Times New Roman" w:eastAsia="黑体" w:cs="Times New Roman"/>
          <w:color w:val="000000"/>
          <w:kern w:val="2"/>
          <w:sz w:val="32"/>
          <w:szCs w:val="32"/>
          <w:highlight w:val="none"/>
          <w:lang w:val="en-US" w:eastAsia="zh-CN" w:bidi="ar-SA"/>
        </w:rPr>
        <w:t>………………</w:t>
      </w:r>
      <w:r>
        <w:rPr>
          <w:rFonts w:hint="eastAsia" w:ascii="Times New Roman" w:hAnsi="Times New Roman" w:eastAsia="仿宋_GB2312" w:cs="仿宋_GB2312"/>
          <w:color w:val="000000"/>
          <w:sz w:val="32"/>
          <w:szCs w:val="32"/>
          <w:highlight w:val="none"/>
        </w:rPr>
        <w:t>1</w:t>
      </w:r>
      <w:r>
        <w:rPr>
          <w:rFonts w:hint="eastAsia" w:ascii="Times New Roman" w:hAnsi="Times New Roman" w:eastAsia="仿宋_GB2312" w:cs="仿宋_GB2312"/>
          <w:color w:val="000000"/>
          <w:sz w:val="32"/>
          <w:szCs w:val="32"/>
          <w:highlight w:val="none"/>
          <w:lang w:val="en-US" w:eastAsia="zh-CN"/>
        </w:rPr>
        <w:t>6</w:t>
      </w:r>
    </w:p>
    <w:p w14:paraId="5BCF89D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1280" w:firstLineChars="400"/>
        <w:textAlignment w:val="auto"/>
        <w:rPr>
          <w:rFonts w:hint="default" w:ascii="Times New Roman" w:hAnsi="Times New Roman" w:eastAsia="楷体_GB2312" w:cs="楷体_GB2312"/>
          <w:color w:val="000000"/>
          <w:sz w:val="32"/>
          <w:szCs w:val="32"/>
          <w:highlight w:val="none"/>
          <w:lang w:val="en-US" w:eastAsia="zh-CN"/>
        </w:rPr>
      </w:pPr>
      <w:r>
        <w:rPr>
          <w:rFonts w:hint="eastAsia" w:ascii="Times New Roman" w:hAnsi="Times New Roman" w:eastAsia="楷体_GB2312" w:cs="楷体_GB2312"/>
          <w:color w:val="000000"/>
          <w:sz w:val="32"/>
          <w:szCs w:val="32"/>
          <w:highlight w:val="none"/>
          <w:lang w:val="en-US" w:eastAsia="zh-CN"/>
        </w:rPr>
        <w:t>第一章 推动老龄事业高质量综合发展</w:t>
      </w:r>
      <w:r>
        <w:rPr>
          <w:rFonts w:hint="default" w:ascii="Times New Roman" w:hAnsi="Times New Roman" w:eastAsia="楷体_GB2312" w:cs="Times New Roman"/>
          <w:color w:val="000000"/>
          <w:kern w:val="2"/>
          <w:sz w:val="32"/>
          <w:szCs w:val="32"/>
          <w:highlight w:val="none"/>
          <w:lang w:val="en-US" w:eastAsia="zh-CN" w:bidi="ar-SA"/>
        </w:rPr>
        <w:t>……………</w:t>
      </w:r>
      <w:r>
        <w:rPr>
          <w:rFonts w:hint="eastAsia" w:eastAsia="楷体_GB2312" w:cs="楷体_GB2312"/>
          <w:color w:val="000000"/>
          <w:sz w:val="32"/>
          <w:szCs w:val="32"/>
          <w:highlight w:val="none"/>
          <w:lang w:val="en-US" w:eastAsia="zh-CN"/>
        </w:rPr>
        <w:t>16</w:t>
      </w:r>
    </w:p>
    <w:p w14:paraId="32FE4DA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1280" w:firstLineChars="400"/>
        <w:textAlignment w:val="auto"/>
        <w:rPr>
          <w:rFonts w:hint="eastAsia" w:ascii="Times New Roman" w:hAnsi="Times New Roman" w:eastAsia="楷体_GB2312" w:cs="楷体_GB2312"/>
          <w:color w:val="000000"/>
          <w:sz w:val="32"/>
          <w:szCs w:val="32"/>
          <w:highlight w:val="none"/>
          <w:lang w:val="en-US" w:eastAsia="zh-CN"/>
        </w:rPr>
      </w:pPr>
      <w:r>
        <w:rPr>
          <w:rFonts w:hint="eastAsia" w:ascii="Times New Roman" w:hAnsi="Times New Roman" w:eastAsia="楷体_GB2312" w:cs="楷体_GB2312"/>
          <w:color w:val="000000"/>
          <w:sz w:val="32"/>
          <w:szCs w:val="32"/>
          <w:highlight w:val="none"/>
          <w:lang w:val="en-US" w:eastAsia="zh-CN"/>
        </w:rPr>
        <w:t>第二章 构建具有朝阳特色的养老服务体系</w:t>
      </w:r>
      <w:r>
        <w:rPr>
          <w:rFonts w:hint="default" w:ascii="Times New Roman" w:hAnsi="Times New Roman" w:eastAsia="楷体_GB2312" w:cs="Times New Roman"/>
          <w:color w:val="000000"/>
          <w:kern w:val="2"/>
          <w:sz w:val="32"/>
          <w:szCs w:val="32"/>
          <w:highlight w:val="none"/>
          <w:lang w:val="en-US" w:eastAsia="zh-CN" w:bidi="ar-SA"/>
        </w:rPr>
        <w:t>………</w:t>
      </w:r>
      <w:r>
        <w:rPr>
          <w:rFonts w:hint="eastAsia" w:ascii="Times New Roman" w:hAnsi="Times New Roman" w:eastAsia="楷体_GB2312" w:cs="楷体_GB2312"/>
          <w:color w:val="000000"/>
          <w:sz w:val="32"/>
          <w:szCs w:val="32"/>
          <w:highlight w:val="none"/>
          <w:lang w:val="en-US" w:eastAsia="zh-CN"/>
        </w:rPr>
        <w:t>18</w:t>
      </w:r>
    </w:p>
    <w:p w14:paraId="362AE9B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Times New Roman" w:hAnsi="Times New Roman" w:eastAsia="黑体" w:cs="黑体"/>
          <w:color w:val="000000"/>
          <w:sz w:val="32"/>
          <w:szCs w:val="32"/>
          <w:highlight w:val="none"/>
          <w:lang w:val="en-US" w:eastAsia="zh-CN"/>
        </w:rPr>
      </w:pPr>
      <w:r>
        <w:rPr>
          <w:rFonts w:hint="eastAsia" w:ascii="Times New Roman" w:hAnsi="Times New Roman" w:eastAsia="黑体" w:cs="黑体"/>
          <w:color w:val="000000"/>
          <w:sz w:val="32"/>
          <w:szCs w:val="32"/>
          <w:highlight w:val="none"/>
        </w:rPr>
        <w:t>第三</w:t>
      </w:r>
      <w:r>
        <w:rPr>
          <w:rFonts w:hint="eastAsia" w:ascii="Times New Roman" w:hAnsi="Times New Roman" w:eastAsia="黑体" w:cs="黑体"/>
          <w:color w:val="000000"/>
          <w:sz w:val="32"/>
          <w:szCs w:val="32"/>
          <w:highlight w:val="none"/>
          <w:lang w:eastAsia="zh-CN"/>
        </w:rPr>
        <w:t>篇</w:t>
      </w:r>
      <w:r>
        <w:rPr>
          <w:rFonts w:hint="eastAsia" w:ascii="Times New Roman" w:hAnsi="Times New Roman" w:eastAsia="黑体" w:cs="黑体"/>
          <w:color w:val="000000"/>
          <w:sz w:val="32"/>
          <w:szCs w:val="32"/>
          <w:highlight w:val="none"/>
        </w:rPr>
        <w:t xml:space="preserve"> 打造精准高效社会救助新格局</w:t>
      </w:r>
      <w:r>
        <w:rPr>
          <w:rFonts w:hint="default" w:ascii="Times New Roman" w:hAnsi="Times New Roman" w:eastAsia="楷体_GB2312" w:cs="Times New Roman"/>
          <w:color w:val="000000"/>
          <w:kern w:val="2"/>
          <w:sz w:val="32"/>
          <w:szCs w:val="32"/>
          <w:highlight w:val="none"/>
          <w:lang w:val="en-US" w:eastAsia="zh-CN" w:bidi="ar-SA"/>
        </w:rPr>
        <w:t>…………………</w:t>
      </w:r>
      <w:r>
        <w:rPr>
          <w:rFonts w:hint="eastAsia" w:ascii="Times New Roman" w:hAnsi="Times New Roman" w:eastAsia="黑体" w:cs="黑体"/>
          <w:color w:val="000000"/>
          <w:sz w:val="32"/>
          <w:szCs w:val="32"/>
          <w:highlight w:val="none"/>
        </w:rPr>
        <w:t>2</w:t>
      </w:r>
      <w:r>
        <w:rPr>
          <w:rFonts w:hint="eastAsia" w:eastAsia="黑体" w:cs="黑体"/>
          <w:color w:val="000000"/>
          <w:sz w:val="32"/>
          <w:szCs w:val="32"/>
          <w:highlight w:val="none"/>
          <w:lang w:val="en-US" w:eastAsia="zh-CN"/>
        </w:rPr>
        <w:t>7</w:t>
      </w:r>
    </w:p>
    <w:p w14:paraId="5F45D5B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1280" w:firstLineChars="400"/>
        <w:textAlignment w:val="auto"/>
        <w:rPr>
          <w:rFonts w:hint="eastAsia" w:ascii="Times New Roman" w:hAnsi="Times New Roman" w:eastAsia="楷体_GB2312" w:cs="楷体_GB2312"/>
          <w:color w:val="000000"/>
          <w:sz w:val="32"/>
          <w:szCs w:val="32"/>
          <w:highlight w:val="none"/>
          <w:lang w:val="en-US" w:eastAsia="zh-CN"/>
        </w:rPr>
      </w:pPr>
      <w:r>
        <w:rPr>
          <w:rFonts w:hint="eastAsia" w:ascii="Times New Roman" w:hAnsi="Times New Roman" w:eastAsia="楷体_GB2312" w:cs="楷体_GB2312"/>
          <w:color w:val="000000"/>
          <w:sz w:val="32"/>
          <w:szCs w:val="32"/>
          <w:highlight w:val="none"/>
        </w:rPr>
        <w:t>第一</w:t>
      </w:r>
      <w:r>
        <w:rPr>
          <w:rFonts w:hint="eastAsia" w:ascii="Times New Roman" w:hAnsi="Times New Roman" w:eastAsia="楷体_GB2312" w:cs="楷体_GB2312"/>
          <w:color w:val="000000"/>
          <w:sz w:val="32"/>
          <w:szCs w:val="32"/>
          <w:highlight w:val="none"/>
          <w:lang w:eastAsia="zh-CN"/>
        </w:rPr>
        <w:t>章</w:t>
      </w:r>
      <w:r>
        <w:rPr>
          <w:rFonts w:hint="eastAsia" w:ascii="Times New Roman" w:hAnsi="Times New Roman" w:eastAsia="楷体_GB2312" w:cs="楷体_GB2312"/>
          <w:color w:val="000000"/>
          <w:sz w:val="32"/>
          <w:szCs w:val="32"/>
          <w:highlight w:val="none"/>
        </w:rPr>
        <w:t xml:space="preserve"> 完善分层分类社会救助体系</w:t>
      </w:r>
      <w:r>
        <w:rPr>
          <w:rFonts w:hint="default" w:ascii="Times New Roman" w:hAnsi="Times New Roman" w:eastAsia="楷体_GB2312" w:cs="Times New Roman"/>
          <w:color w:val="000000"/>
          <w:kern w:val="2"/>
          <w:sz w:val="32"/>
          <w:szCs w:val="32"/>
          <w:highlight w:val="none"/>
          <w:lang w:val="en-US" w:eastAsia="zh-CN" w:bidi="ar-SA"/>
        </w:rPr>
        <w:t>………………</w:t>
      </w:r>
      <w:r>
        <w:rPr>
          <w:rFonts w:hint="eastAsia" w:eastAsia="楷体_GB2312" w:cs="楷体_GB2312"/>
          <w:color w:val="000000"/>
          <w:sz w:val="32"/>
          <w:szCs w:val="32"/>
          <w:highlight w:val="none"/>
          <w:lang w:val="en-US" w:eastAsia="zh-CN"/>
        </w:rPr>
        <w:t>27</w:t>
      </w:r>
    </w:p>
    <w:p w14:paraId="464E30A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1280" w:firstLineChars="400"/>
        <w:textAlignment w:val="auto"/>
        <w:rPr>
          <w:rFonts w:hint="default" w:ascii="Times New Roman" w:hAnsi="Times New Roman" w:eastAsia="楷体_GB2312" w:cs="楷体_GB2312"/>
          <w:color w:val="000000"/>
          <w:sz w:val="32"/>
          <w:szCs w:val="32"/>
          <w:highlight w:val="none"/>
          <w:lang w:val="en-US" w:eastAsia="zh-CN"/>
        </w:rPr>
      </w:pPr>
      <w:r>
        <w:rPr>
          <w:rFonts w:hint="eastAsia" w:ascii="Times New Roman" w:hAnsi="Times New Roman" w:eastAsia="楷体_GB2312" w:cs="楷体_GB2312"/>
          <w:color w:val="000000"/>
          <w:sz w:val="32"/>
          <w:szCs w:val="32"/>
          <w:highlight w:val="none"/>
        </w:rPr>
        <w:t>第二</w:t>
      </w:r>
      <w:r>
        <w:rPr>
          <w:rFonts w:hint="eastAsia" w:ascii="Times New Roman" w:hAnsi="Times New Roman" w:eastAsia="楷体_GB2312" w:cs="楷体_GB2312"/>
          <w:color w:val="000000"/>
          <w:sz w:val="32"/>
          <w:szCs w:val="32"/>
          <w:highlight w:val="none"/>
          <w:lang w:eastAsia="zh-CN"/>
        </w:rPr>
        <w:t>章</w:t>
      </w:r>
      <w:r>
        <w:rPr>
          <w:rFonts w:hint="eastAsia" w:ascii="Times New Roman" w:hAnsi="Times New Roman" w:eastAsia="楷体_GB2312" w:cs="楷体_GB2312"/>
          <w:color w:val="000000"/>
          <w:sz w:val="32"/>
          <w:szCs w:val="32"/>
          <w:highlight w:val="none"/>
        </w:rPr>
        <w:t xml:space="preserve"> 优化流浪乞讨人员救助服务</w:t>
      </w:r>
      <w:r>
        <w:rPr>
          <w:rFonts w:hint="default" w:ascii="Times New Roman" w:hAnsi="Times New Roman" w:eastAsia="楷体_GB2312" w:cs="Times New Roman"/>
          <w:color w:val="000000"/>
          <w:kern w:val="2"/>
          <w:sz w:val="32"/>
          <w:szCs w:val="32"/>
          <w:highlight w:val="none"/>
          <w:lang w:val="en-US" w:eastAsia="zh-CN" w:bidi="ar-SA"/>
        </w:rPr>
        <w:t>………………</w:t>
      </w:r>
      <w:r>
        <w:rPr>
          <w:rFonts w:hint="eastAsia" w:eastAsia="楷体_GB2312" w:cs="Times New Roman"/>
          <w:color w:val="000000"/>
          <w:kern w:val="2"/>
          <w:sz w:val="32"/>
          <w:szCs w:val="32"/>
          <w:highlight w:val="none"/>
          <w:lang w:val="en-US" w:eastAsia="zh-CN" w:bidi="ar-SA"/>
        </w:rPr>
        <w:t>30</w:t>
      </w:r>
    </w:p>
    <w:p w14:paraId="2771421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textAlignment w:val="auto"/>
        <w:rPr>
          <w:rFonts w:hint="default" w:ascii="Times New Roman" w:hAnsi="Times New Roman" w:eastAsia="黑体" w:cs="黑体"/>
          <w:color w:val="000000"/>
          <w:sz w:val="32"/>
          <w:szCs w:val="32"/>
          <w:highlight w:val="none"/>
          <w:lang w:val="en-US"/>
        </w:rPr>
      </w:pPr>
      <w:r>
        <w:rPr>
          <w:rFonts w:hint="eastAsia" w:ascii="Times New Roman" w:hAnsi="Times New Roman" w:eastAsia="黑体" w:cs="黑体"/>
          <w:color w:val="000000"/>
          <w:sz w:val="32"/>
          <w:szCs w:val="32"/>
          <w:highlight w:val="none"/>
        </w:rPr>
        <w:t>第四</w:t>
      </w:r>
      <w:r>
        <w:rPr>
          <w:rFonts w:hint="eastAsia" w:ascii="Times New Roman" w:hAnsi="Times New Roman" w:eastAsia="黑体" w:cs="黑体"/>
          <w:color w:val="000000"/>
          <w:sz w:val="32"/>
          <w:szCs w:val="32"/>
          <w:highlight w:val="none"/>
          <w:lang w:eastAsia="zh-CN"/>
        </w:rPr>
        <w:t>篇</w:t>
      </w:r>
      <w:r>
        <w:rPr>
          <w:rFonts w:hint="eastAsia" w:ascii="Times New Roman" w:hAnsi="Times New Roman" w:eastAsia="黑体" w:cs="黑体"/>
          <w:color w:val="000000"/>
          <w:sz w:val="32"/>
          <w:szCs w:val="32"/>
          <w:highlight w:val="none"/>
        </w:rPr>
        <w:t xml:space="preserve"> 提升重点群体福利保障新水平</w:t>
      </w:r>
      <w:r>
        <w:rPr>
          <w:rFonts w:hint="default" w:ascii="Times New Roman" w:hAnsi="Times New Roman" w:eastAsia="黑体" w:cs="Times New Roman"/>
          <w:color w:val="000000"/>
          <w:kern w:val="2"/>
          <w:sz w:val="32"/>
          <w:szCs w:val="32"/>
          <w:highlight w:val="none"/>
          <w:lang w:val="en-US" w:eastAsia="zh-CN" w:bidi="ar-SA"/>
        </w:rPr>
        <w:t>…………………</w:t>
      </w:r>
      <w:r>
        <w:rPr>
          <w:rFonts w:hint="eastAsia" w:eastAsia="黑体" w:cs="Times New Roman"/>
          <w:color w:val="000000"/>
          <w:kern w:val="2"/>
          <w:sz w:val="32"/>
          <w:szCs w:val="32"/>
          <w:highlight w:val="none"/>
          <w:lang w:val="en-US" w:eastAsia="zh-CN" w:bidi="ar-SA"/>
        </w:rPr>
        <w:t>31</w:t>
      </w:r>
    </w:p>
    <w:p w14:paraId="24B0D53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1280" w:firstLineChars="400"/>
        <w:textAlignment w:val="auto"/>
        <w:rPr>
          <w:rFonts w:hint="default" w:ascii="Times New Roman" w:hAnsi="Times New Roman" w:eastAsia="楷体_GB2312" w:cs="楷体_GB2312"/>
          <w:color w:val="000000"/>
          <w:sz w:val="32"/>
          <w:szCs w:val="32"/>
          <w:highlight w:val="none"/>
          <w:lang w:val="en-US"/>
        </w:rPr>
      </w:pPr>
      <w:r>
        <w:rPr>
          <w:rFonts w:hint="eastAsia" w:ascii="Times New Roman" w:hAnsi="Times New Roman" w:eastAsia="楷体_GB2312" w:cs="楷体_GB2312"/>
          <w:color w:val="000000"/>
          <w:sz w:val="32"/>
          <w:szCs w:val="32"/>
          <w:highlight w:val="none"/>
        </w:rPr>
        <w:t>第一</w:t>
      </w:r>
      <w:r>
        <w:rPr>
          <w:rFonts w:hint="eastAsia" w:ascii="Times New Roman" w:hAnsi="Times New Roman" w:eastAsia="楷体_GB2312" w:cs="楷体_GB2312"/>
          <w:color w:val="000000"/>
          <w:sz w:val="32"/>
          <w:szCs w:val="32"/>
          <w:highlight w:val="none"/>
          <w:lang w:eastAsia="zh-CN"/>
        </w:rPr>
        <w:t>章</w:t>
      </w:r>
      <w:r>
        <w:rPr>
          <w:rFonts w:hint="eastAsia" w:ascii="Times New Roman" w:hAnsi="Times New Roman" w:eastAsia="楷体_GB2312" w:cs="楷体_GB2312"/>
          <w:color w:val="000000"/>
          <w:sz w:val="32"/>
          <w:szCs w:val="32"/>
          <w:highlight w:val="none"/>
        </w:rPr>
        <w:t xml:space="preserve"> 健全残疾人福利保障体系</w:t>
      </w:r>
      <w:r>
        <w:rPr>
          <w:rFonts w:hint="default" w:ascii="Times New Roman" w:hAnsi="Times New Roman" w:eastAsia="楷体_GB2312" w:cs="Times New Roman"/>
          <w:color w:val="000000"/>
          <w:kern w:val="2"/>
          <w:sz w:val="32"/>
          <w:szCs w:val="32"/>
          <w:highlight w:val="none"/>
          <w:lang w:val="en-US" w:eastAsia="zh-CN" w:bidi="ar-SA"/>
        </w:rPr>
        <w:t>…………</w:t>
      </w:r>
      <w:r>
        <w:rPr>
          <w:rFonts w:hint="default" w:ascii="Times New Roman" w:hAnsi="Times New Roman" w:eastAsia="黑体" w:cs="Times New Roman"/>
          <w:color w:val="000000"/>
          <w:kern w:val="2"/>
          <w:sz w:val="32"/>
          <w:szCs w:val="32"/>
          <w:highlight w:val="none"/>
          <w:lang w:val="en-US" w:eastAsia="zh-CN" w:bidi="ar-SA"/>
        </w:rPr>
        <w:t>………</w:t>
      </w:r>
      <w:r>
        <w:rPr>
          <w:rFonts w:hint="eastAsia" w:ascii="Times New Roman" w:hAnsi="Times New Roman" w:eastAsia="楷体_GB2312" w:cs="楷体_GB2312"/>
          <w:color w:val="000000"/>
          <w:sz w:val="32"/>
          <w:szCs w:val="32"/>
          <w:highlight w:val="none"/>
          <w:lang w:val="en-US" w:eastAsia="zh-CN"/>
        </w:rPr>
        <w:t>3</w:t>
      </w:r>
      <w:r>
        <w:rPr>
          <w:rFonts w:hint="eastAsia" w:eastAsia="楷体_GB2312" w:cs="楷体_GB2312"/>
          <w:color w:val="000000"/>
          <w:sz w:val="32"/>
          <w:szCs w:val="32"/>
          <w:highlight w:val="none"/>
          <w:lang w:val="en-US" w:eastAsia="zh-CN"/>
        </w:rPr>
        <w:t>1</w:t>
      </w:r>
    </w:p>
    <w:p w14:paraId="26DD4A8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1280" w:firstLineChars="400"/>
        <w:textAlignment w:val="auto"/>
        <w:rPr>
          <w:rFonts w:hint="default" w:ascii="Times New Roman" w:hAnsi="Times New Roman" w:eastAsia="楷体_GB2312" w:cs="楷体_GB2312"/>
          <w:color w:val="000000"/>
          <w:sz w:val="32"/>
          <w:szCs w:val="32"/>
          <w:highlight w:val="none"/>
          <w:lang w:val="en-US"/>
        </w:rPr>
      </w:pPr>
      <w:r>
        <w:rPr>
          <w:rFonts w:hint="eastAsia" w:ascii="Times New Roman" w:hAnsi="Times New Roman" w:eastAsia="楷体_GB2312" w:cs="楷体_GB2312"/>
          <w:color w:val="000000"/>
          <w:sz w:val="32"/>
          <w:szCs w:val="32"/>
          <w:highlight w:val="none"/>
        </w:rPr>
        <w:t>第二</w:t>
      </w:r>
      <w:r>
        <w:rPr>
          <w:rFonts w:hint="eastAsia" w:ascii="Times New Roman" w:hAnsi="Times New Roman" w:eastAsia="楷体_GB2312" w:cs="楷体_GB2312"/>
          <w:color w:val="000000"/>
          <w:sz w:val="32"/>
          <w:szCs w:val="32"/>
          <w:highlight w:val="none"/>
          <w:lang w:eastAsia="zh-CN"/>
        </w:rPr>
        <w:t>章</w:t>
      </w:r>
      <w:r>
        <w:rPr>
          <w:rFonts w:hint="eastAsia" w:ascii="Times New Roman" w:hAnsi="Times New Roman" w:eastAsia="楷体_GB2312" w:cs="楷体_GB2312"/>
          <w:color w:val="000000"/>
          <w:sz w:val="32"/>
          <w:szCs w:val="32"/>
          <w:highlight w:val="none"/>
        </w:rPr>
        <w:t xml:space="preserve"> 构建适度普惠型儿童福利保护体系</w:t>
      </w:r>
      <w:r>
        <w:rPr>
          <w:rFonts w:hint="default" w:ascii="Times New Roman" w:hAnsi="Times New Roman" w:eastAsia="楷体_GB2312" w:cs="Times New Roman"/>
          <w:color w:val="000000"/>
          <w:kern w:val="2"/>
          <w:sz w:val="32"/>
          <w:szCs w:val="32"/>
          <w:highlight w:val="none"/>
          <w:lang w:val="en-US" w:eastAsia="zh-CN" w:bidi="ar-SA"/>
        </w:rPr>
        <w:t>………</w:t>
      </w:r>
      <w:r>
        <w:rPr>
          <w:rFonts w:hint="eastAsia" w:ascii="Times New Roman" w:hAnsi="Times New Roman" w:eastAsia="楷体_GB2312" w:cs="楷体_GB2312"/>
          <w:color w:val="000000"/>
          <w:sz w:val="32"/>
          <w:szCs w:val="32"/>
          <w:highlight w:val="none"/>
          <w:lang w:val="en-US" w:eastAsia="zh-CN"/>
        </w:rPr>
        <w:t>3</w:t>
      </w:r>
      <w:r>
        <w:rPr>
          <w:rFonts w:hint="eastAsia" w:eastAsia="楷体_GB2312" w:cs="楷体_GB2312"/>
          <w:color w:val="000000"/>
          <w:sz w:val="32"/>
          <w:szCs w:val="32"/>
          <w:highlight w:val="none"/>
          <w:lang w:val="en-US" w:eastAsia="zh-CN"/>
        </w:rPr>
        <w:t>2</w:t>
      </w:r>
    </w:p>
    <w:p w14:paraId="683230B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Times New Roman" w:hAnsi="Times New Roman" w:eastAsia="黑体" w:cs="黑体"/>
          <w:color w:val="000000"/>
          <w:sz w:val="32"/>
          <w:szCs w:val="32"/>
          <w:highlight w:val="none"/>
          <w:lang w:val="en-US" w:eastAsia="zh-CN"/>
        </w:rPr>
      </w:pPr>
      <w:r>
        <w:rPr>
          <w:rFonts w:hint="eastAsia" w:ascii="Times New Roman" w:hAnsi="Times New Roman" w:eastAsia="黑体" w:cs="黑体"/>
          <w:color w:val="000000"/>
          <w:sz w:val="32"/>
          <w:szCs w:val="32"/>
          <w:highlight w:val="none"/>
        </w:rPr>
        <w:t>第五</w:t>
      </w:r>
      <w:r>
        <w:rPr>
          <w:rFonts w:hint="eastAsia" w:ascii="Times New Roman" w:hAnsi="Times New Roman" w:eastAsia="黑体" w:cs="黑体"/>
          <w:color w:val="000000"/>
          <w:sz w:val="32"/>
          <w:szCs w:val="32"/>
          <w:highlight w:val="none"/>
          <w:lang w:eastAsia="zh-CN"/>
        </w:rPr>
        <w:t>篇</w:t>
      </w:r>
      <w:r>
        <w:rPr>
          <w:rFonts w:hint="eastAsia" w:ascii="Times New Roman" w:hAnsi="Times New Roman" w:eastAsia="黑体" w:cs="黑体"/>
          <w:color w:val="000000"/>
          <w:sz w:val="32"/>
          <w:szCs w:val="32"/>
          <w:highlight w:val="none"/>
        </w:rPr>
        <w:t xml:space="preserve"> 优化社会事务管理新服务</w:t>
      </w:r>
      <w:r>
        <w:rPr>
          <w:rFonts w:hint="default" w:ascii="Times New Roman" w:hAnsi="Times New Roman" w:eastAsia="黑体" w:cs="Times New Roman"/>
          <w:color w:val="000000"/>
          <w:kern w:val="2"/>
          <w:sz w:val="32"/>
          <w:szCs w:val="32"/>
          <w:highlight w:val="none"/>
          <w:lang w:val="en-US" w:eastAsia="zh-CN" w:bidi="ar-SA"/>
        </w:rPr>
        <w:t>………………………</w:t>
      </w:r>
      <w:r>
        <w:rPr>
          <w:rFonts w:hint="eastAsia" w:ascii="Times New Roman" w:hAnsi="Times New Roman" w:eastAsia="黑体" w:cs="黑体"/>
          <w:color w:val="000000"/>
          <w:sz w:val="32"/>
          <w:szCs w:val="32"/>
          <w:highlight w:val="none"/>
        </w:rPr>
        <w:t>3</w:t>
      </w:r>
      <w:r>
        <w:rPr>
          <w:rFonts w:hint="eastAsia" w:eastAsia="黑体" w:cs="黑体"/>
          <w:color w:val="000000"/>
          <w:sz w:val="32"/>
          <w:szCs w:val="32"/>
          <w:highlight w:val="none"/>
          <w:lang w:val="en-US" w:eastAsia="zh-CN"/>
        </w:rPr>
        <w:t>4</w:t>
      </w:r>
    </w:p>
    <w:p w14:paraId="203F52C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1280" w:firstLineChars="400"/>
        <w:textAlignment w:val="auto"/>
        <w:rPr>
          <w:rFonts w:hint="eastAsia" w:ascii="Times New Roman" w:hAnsi="Times New Roman" w:eastAsia="楷体_GB2312" w:cs="楷体_GB2312"/>
          <w:color w:val="000000"/>
          <w:sz w:val="32"/>
          <w:szCs w:val="32"/>
          <w:highlight w:val="none"/>
          <w:lang w:val="en-US" w:eastAsia="zh-CN"/>
        </w:rPr>
      </w:pPr>
      <w:r>
        <w:rPr>
          <w:rFonts w:hint="eastAsia" w:ascii="Times New Roman" w:hAnsi="Times New Roman" w:eastAsia="楷体_GB2312" w:cs="楷体_GB2312"/>
          <w:color w:val="000000"/>
          <w:sz w:val="32"/>
          <w:szCs w:val="32"/>
          <w:highlight w:val="none"/>
        </w:rPr>
        <w:t>第一</w:t>
      </w:r>
      <w:r>
        <w:rPr>
          <w:rFonts w:hint="eastAsia" w:ascii="Times New Roman" w:hAnsi="Times New Roman" w:eastAsia="楷体_GB2312" w:cs="楷体_GB2312"/>
          <w:color w:val="000000"/>
          <w:sz w:val="32"/>
          <w:szCs w:val="32"/>
          <w:highlight w:val="none"/>
          <w:lang w:eastAsia="zh-CN"/>
        </w:rPr>
        <w:t>章</w:t>
      </w:r>
      <w:r>
        <w:rPr>
          <w:rFonts w:hint="eastAsia" w:ascii="Times New Roman" w:hAnsi="Times New Roman" w:eastAsia="楷体_GB2312" w:cs="楷体_GB2312"/>
          <w:color w:val="000000"/>
          <w:sz w:val="32"/>
          <w:szCs w:val="32"/>
          <w:highlight w:val="none"/>
        </w:rPr>
        <w:t xml:space="preserve"> 深化殡葬服务管理改革创新</w:t>
      </w:r>
      <w:r>
        <w:rPr>
          <w:rFonts w:hint="default" w:ascii="Times New Roman" w:hAnsi="Times New Roman" w:eastAsia="楷体_GB2312" w:cs="Times New Roman"/>
          <w:color w:val="000000"/>
          <w:kern w:val="2"/>
          <w:sz w:val="32"/>
          <w:szCs w:val="32"/>
          <w:highlight w:val="none"/>
          <w:lang w:val="en-US" w:eastAsia="zh-CN" w:bidi="ar-SA"/>
        </w:rPr>
        <w:t>………………</w:t>
      </w:r>
      <w:r>
        <w:rPr>
          <w:rFonts w:hint="eastAsia" w:ascii="Times New Roman" w:hAnsi="Times New Roman" w:eastAsia="楷体_GB2312" w:cs="楷体_GB2312"/>
          <w:color w:val="000000"/>
          <w:sz w:val="32"/>
          <w:szCs w:val="32"/>
          <w:highlight w:val="none"/>
        </w:rPr>
        <w:t>3</w:t>
      </w:r>
      <w:r>
        <w:rPr>
          <w:rFonts w:hint="eastAsia" w:eastAsia="楷体_GB2312" w:cs="楷体_GB2312"/>
          <w:color w:val="000000"/>
          <w:sz w:val="32"/>
          <w:szCs w:val="32"/>
          <w:highlight w:val="none"/>
          <w:lang w:val="en-US" w:eastAsia="zh-CN"/>
        </w:rPr>
        <w:t>4</w:t>
      </w:r>
    </w:p>
    <w:p w14:paraId="37A1B84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1280" w:firstLineChars="400"/>
        <w:textAlignment w:val="auto"/>
        <w:rPr>
          <w:rFonts w:hint="eastAsia" w:ascii="Times New Roman" w:hAnsi="Times New Roman" w:eastAsia="楷体_GB2312" w:cs="楷体_GB2312"/>
          <w:color w:val="000000"/>
          <w:sz w:val="32"/>
          <w:szCs w:val="32"/>
          <w:highlight w:val="none"/>
          <w:lang w:val="en-US" w:eastAsia="zh-CN"/>
        </w:rPr>
      </w:pPr>
      <w:r>
        <w:rPr>
          <w:rFonts w:hint="eastAsia" w:ascii="Times New Roman" w:hAnsi="Times New Roman" w:eastAsia="楷体_GB2312" w:cs="楷体_GB2312"/>
          <w:color w:val="000000"/>
          <w:sz w:val="32"/>
          <w:szCs w:val="32"/>
          <w:highlight w:val="none"/>
        </w:rPr>
        <w:t>第二</w:t>
      </w:r>
      <w:r>
        <w:rPr>
          <w:rFonts w:hint="eastAsia" w:ascii="Times New Roman" w:hAnsi="Times New Roman" w:eastAsia="楷体_GB2312" w:cs="楷体_GB2312"/>
          <w:color w:val="000000"/>
          <w:sz w:val="32"/>
          <w:szCs w:val="32"/>
          <w:highlight w:val="none"/>
          <w:lang w:eastAsia="zh-CN"/>
        </w:rPr>
        <w:t>章</w:t>
      </w:r>
      <w:r>
        <w:rPr>
          <w:rFonts w:hint="eastAsia" w:ascii="Times New Roman" w:hAnsi="Times New Roman" w:eastAsia="楷体_GB2312" w:cs="楷体_GB2312"/>
          <w:color w:val="000000"/>
          <w:sz w:val="32"/>
          <w:szCs w:val="32"/>
          <w:highlight w:val="none"/>
        </w:rPr>
        <w:t xml:space="preserve"> 推进婚姻家庭服务提质升级</w:t>
      </w:r>
      <w:r>
        <w:rPr>
          <w:rFonts w:hint="default" w:ascii="Times New Roman" w:hAnsi="Times New Roman" w:eastAsia="楷体_GB2312" w:cs="Times New Roman"/>
          <w:color w:val="000000"/>
          <w:kern w:val="2"/>
          <w:sz w:val="32"/>
          <w:szCs w:val="32"/>
          <w:highlight w:val="none"/>
          <w:lang w:val="en-US" w:eastAsia="zh-CN" w:bidi="ar-SA"/>
        </w:rPr>
        <w:t>………………</w:t>
      </w:r>
      <w:r>
        <w:rPr>
          <w:rFonts w:hint="eastAsia" w:ascii="Times New Roman" w:hAnsi="Times New Roman" w:eastAsia="楷体_GB2312" w:cs="楷体_GB2312"/>
          <w:color w:val="000000"/>
          <w:sz w:val="32"/>
          <w:szCs w:val="32"/>
          <w:highlight w:val="none"/>
        </w:rPr>
        <w:t>3</w:t>
      </w:r>
      <w:r>
        <w:rPr>
          <w:rFonts w:hint="eastAsia" w:eastAsia="楷体_GB2312" w:cs="楷体_GB2312"/>
          <w:color w:val="000000"/>
          <w:sz w:val="32"/>
          <w:szCs w:val="32"/>
          <w:highlight w:val="none"/>
          <w:lang w:val="en-US" w:eastAsia="zh-CN"/>
        </w:rPr>
        <w:t>6</w:t>
      </w:r>
    </w:p>
    <w:p w14:paraId="57500DE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1280" w:firstLineChars="400"/>
        <w:textAlignment w:val="auto"/>
        <w:rPr>
          <w:rFonts w:hint="eastAsia" w:ascii="Times New Roman" w:hAnsi="Times New Roman" w:eastAsia="楷体_GB2312" w:cs="楷体_GB2312"/>
          <w:color w:val="000000"/>
          <w:sz w:val="32"/>
          <w:szCs w:val="32"/>
          <w:highlight w:val="none"/>
          <w:lang w:val="en-US" w:eastAsia="zh-CN"/>
        </w:rPr>
      </w:pPr>
      <w:r>
        <w:rPr>
          <w:rFonts w:hint="eastAsia" w:ascii="Times New Roman" w:hAnsi="Times New Roman" w:eastAsia="楷体_GB2312" w:cs="楷体_GB2312"/>
          <w:color w:val="000000"/>
          <w:sz w:val="32"/>
          <w:szCs w:val="32"/>
          <w:highlight w:val="none"/>
        </w:rPr>
        <w:t>第三</w:t>
      </w:r>
      <w:r>
        <w:rPr>
          <w:rFonts w:hint="eastAsia" w:ascii="Times New Roman" w:hAnsi="Times New Roman" w:eastAsia="楷体_GB2312" w:cs="楷体_GB2312"/>
          <w:color w:val="000000"/>
          <w:sz w:val="32"/>
          <w:szCs w:val="32"/>
          <w:highlight w:val="none"/>
          <w:lang w:eastAsia="zh-CN"/>
        </w:rPr>
        <w:t>章</w:t>
      </w:r>
      <w:r>
        <w:rPr>
          <w:rFonts w:hint="eastAsia" w:ascii="Times New Roman" w:hAnsi="Times New Roman" w:eastAsia="楷体_GB2312" w:cs="楷体_GB2312"/>
          <w:color w:val="000000"/>
          <w:sz w:val="32"/>
          <w:szCs w:val="32"/>
          <w:highlight w:val="none"/>
        </w:rPr>
        <w:t xml:space="preserve"> 强化见义勇为人员权益保障</w:t>
      </w:r>
      <w:r>
        <w:rPr>
          <w:rFonts w:hint="default" w:ascii="Times New Roman" w:hAnsi="Times New Roman" w:eastAsia="楷体_GB2312" w:cs="Times New Roman"/>
          <w:color w:val="000000"/>
          <w:kern w:val="2"/>
          <w:sz w:val="32"/>
          <w:szCs w:val="32"/>
          <w:highlight w:val="none"/>
          <w:lang w:val="en-US" w:eastAsia="zh-CN" w:bidi="ar-SA"/>
        </w:rPr>
        <w:t>………………</w:t>
      </w:r>
      <w:r>
        <w:rPr>
          <w:rFonts w:hint="eastAsia" w:ascii="Times New Roman" w:hAnsi="Times New Roman" w:eastAsia="楷体_GB2312" w:cs="楷体_GB2312"/>
          <w:color w:val="000000"/>
          <w:sz w:val="32"/>
          <w:szCs w:val="32"/>
          <w:highlight w:val="none"/>
        </w:rPr>
        <w:t>3</w:t>
      </w:r>
      <w:r>
        <w:rPr>
          <w:rFonts w:hint="eastAsia" w:eastAsia="楷体_GB2312" w:cs="楷体_GB2312"/>
          <w:color w:val="000000"/>
          <w:sz w:val="32"/>
          <w:szCs w:val="32"/>
          <w:highlight w:val="none"/>
          <w:lang w:val="en-US" w:eastAsia="zh-CN"/>
        </w:rPr>
        <w:t>7</w:t>
      </w:r>
    </w:p>
    <w:p w14:paraId="7AEDF74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textAlignment w:val="auto"/>
        <w:rPr>
          <w:rFonts w:hint="default" w:ascii="Times New Roman" w:hAnsi="Times New Roman" w:eastAsia="黑体" w:cs="黑体"/>
          <w:color w:val="000000"/>
          <w:sz w:val="32"/>
          <w:szCs w:val="32"/>
          <w:highlight w:val="none"/>
          <w:lang w:val="en-US" w:eastAsia="zh-CN"/>
        </w:rPr>
      </w:pPr>
      <w:r>
        <w:rPr>
          <w:rFonts w:hint="eastAsia" w:ascii="Times New Roman" w:hAnsi="Times New Roman" w:eastAsia="黑体" w:cs="黑体"/>
          <w:color w:val="000000"/>
          <w:sz w:val="32"/>
          <w:szCs w:val="32"/>
          <w:highlight w:val="none"/>
        </w:rPr>
        <w:t>第六</w:t>
      </w:r>
      <w:r>
        <w:rPr>
          <w:rFonts w:hint="eastAsia" w:ascii="Times New Roman" w:hAnsi="Times New Roman" w:eastAsia="黑体" w:cs="黑体"/>
          <w:color w:val="000000"/>
          <w:sz w:val="32"/>
          <w:szCs w:val="32"/>
          <w:highlight w:val="none"/>
          <w:lang w:eastAsia="zh-CN"/>
        </w:rPr>
        <w:t>篇</w:t>
      </w:r>
      <w:r>
        <w:rPr>
          <w:rFonts w:hint="eastAsia" w:ascii="Times New Roman" w:hAnsi="Times New Roman" w:eastAsia="黑体" w:cs="黑体"/>
          <w:color w:val="000000"/>
          <w:sz w:val="32"/>
          <w:szCs w:val="32"/>
          <w:highlight w:val="none"/>
        </w:rPr>
        <w:t xml:space="preserve"> 激发基层社会治理共治新活力</w:t>
      </w:r>
      <w:r>
        <w:rPr>
          <w:rFonts w:hint="default" w:ascii="Times New Roman" w:hAnsi="Times New Roman" w:eastAsia="黑体" w:cs="Times New Roman"/>
          <w:color w:val="000000"/>
          <w:kern w:val="2"/>
          <w:sz w:val="32"/>
          <w:szCs w:val="32"/>
          <w:highlight w:val="none"/>
          <w:lang w:val="en-US" w:eastAsia="zh-CN" w:bidi="ar-SA"/>
        </w:rPr>
        <w:t>…………………</w:t>
      </w:r>
      <w:r>
        <w:rPr>
          <w:rFonts w:hint="eastAsia" w:ascii="Times New Roman" w:hAnsi="Times New Roman" w:eastAsia="黑体" w:cs="黑体"/>
          <w:color w:val="000000"/>
          <w:sz w:val="32"/>
          <w:szCs w:val="32"/>
          <w:highlight w:val="none"/>
          <w:lang w:val="en-US" w:eastAsia="zh-CN"/>
        </w:rPr>
        <w:t>3</w:t>
      </w:r>
      <w:r>
        <w:rPr>
          <w:rFonts w:hint="eastAsia" w:eastAsia="黑体" w:cs="黑体"/>
          <w:color w:val="000000"/>
          <w:sz w:val="32"/>
          <w:szCs w:val="32"/>
          <w:highlight w:val="none"/>
          <w:lang w:val="en-US" w:eastAsia="zh-CN"/>
        </w:rPr>
        <w:t>7</w:t>
      </w:r>
    </w:p>
    <w:p w14:paraId="057441F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1280" w:firstLineChars="400"/>
        <w:textAlignment w:val="auto"/>
        <w:rPr>
          <w:rFonts w:hint="default" w:ascii="Times New Roman" w:hAnsi="Times New Roman" w:eastAsia="楷体_GB2312" w:cs="楷体_GB2312"/>
          <w:color w:val="000000"/>
          <w:sz w:val="32"/>
          <w:szCs w:val="32"/>
          <w:highlight w:val="none"/>
          <w:lang w:val="en-US" w:eastAsia="zh-CN"/>
        </w:rPr>
      </w:pPr>
      <w:r>
        <w:rPr>
          <w:rFonts w:hint="eastAsia" w:ascii="Times New Roman" w:hAnsi="Times New Roman" w:eastAsia="楷体_GB2312" w:cs="楷体_GB2312"/>
          <w:color w:val="000000"/>
          <w:sz w:val="32"/>
          <w:szCs w:val="32"/>
          <w:highlight w:val="none"/>
        </w:rPr>
        <w:t>第一</w:t>
      </w:r>
      <w:r>
        <w:rPr>
          <w:rFonts w:hint="eastAsia" w:ascii="Times New Roman" w:hAnsi="Times New Roman" w:eastAsia="楷体_GB2312" w:cs="楷体_GB2312"/>
          <w:color w:val="000000"/>
          <w:sz w:val="32"/>
          <w:szCs w:val="32"/>
          <w:highlight w:val="none"/>
          <w:lang w:eastAsia="zh-CN"/>
        </w:rPr>
        <w:t>章</w:t>
      </w:r>
      <w:r>
        <w:rPr>
          <w:rFonts w:hint="eastAsia" w:ascii="Times New Roman" w:hAnsi="Times New Roman" w:eastAsia="楷体_GB2312" w:cs="楷体_GB2312"/>
          <w:color w:val="000000"/>
          <w:sz w:val="32"/>
          <w:szCs w:val="32"/>
          <w:highlight w:val="none"/>
        </w:rPr>
        <w:t xml:space="preserve"> 激发社会组织参与治理活力</w:t>
      </w:r>
      <w:r>
        <w:rPr>
          <w:rFonts w:hint="default" w:ascii="Times New Roman" w:hAnsi="Times New Roman" w:eastAsia="楷体_GB2312" w:cs="Times New Roman"/>
          <w:color w:val="000000"/>
          <w:kern w:val="2"/>
          <w:sz w:val="32"/>
          <w:szCs w:val="32"/>
          <w:highlight w:val="none"/>
          <w:lang w:val="en-US" w:eastAsia="zh-CN" w:bidi="ar-SA"/>
        </w:rPr>
        <w:t>………………</w:t>
      </w:r>
      <w:r>
        <w:rPr>
          <w:rFonts w:hint="eastAsia" w:ascii="Times New Roman" w:hAnsi="Times New Roman" w:eastAsia="楷体_GB2312" w:cs="楷体_GB2312"/>
          <w:color w:val="000000"/>
          <w:sz w:val="32"/>
          <w:szCs w:val="32"/>
          <w:highlight w:val="none"/>
          <w:lang w:val="en-US" w:eastAsia="zh-CN"/>
        </w:rPr>
        <w:t>3</w:t>
      </w:r>
      <w:r>
        <w:rPr>
          <w:rFonts w:hint="eastAsia" w:eastAsia="楷体_GB2312" w:cs="楷体_GB2312"/>
          <w:color w:val="000000"/>
          <w:sz w:val="32"/>
          <w:szCs w:val="32"/>
          <w:highlight w:val="none"/>
          <w:lang w:val="en-US" w:eastAsia="zh-CN"/>
        </w:rPr>
        <w:t>8</w:t>
      </w:r>
    </w:p>
    <w:p w14:paraId="7DAF0D9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1280" w:firstLineChars="400"/>
        <w:textAlignment w:val="auto"/>
        <w:rPr>
          <w:rFonts w:hint="default" w:ascii="Times New Roman" w:hAnsi="Times New Roman" w:eastAsia="楷体_GB2312" w:cs="楷体_GB2312"/>
          <w:color w:val="000000"/>
          <w:sz w:val="32"/>
          <w:szCs w:val="32"/>
          <w:highlight w:val="none"/>
          <w:lang w:val="en-US" w:eastAsia="zh-CN"/>
        </w:rPr>
      </w:pPr>
      <w:r>
        <w:rPr>
          <w:rFonts w:hint="eastAsia" w:ascii="Times New Roman" w:hAnsi="Times New Roman" w:eastAsia="楷体_GB2312" w:cs="楷体_GB2312"/>
          <w:color w:val="000000"/>
          <w:sz w:val="32"/>
          <w:szCs w:val="32"/>
          <w:highlight w:val="none"/>
        </w:rPr>
        <w:t>第二</w:t>
      </w:r>
      <w:r>
        <w:rPr>
          <w:rFonts w:hint="eastAsia" w:ascii="Times New Roman" w:hAnsi="Times New Roman" w:eastAsia="楷体_GB2312" w:cs="楷体_GB2312"/>
          <w:color w:val="000000"/>
          <w:sz w:val="32"/>
          <w:szCs w:val="32"/>
          <w:highlight w:val="none"/>
          <w:lang w:eastAsia="zh-CN"/>
        </w:rPr>
        <w:t>章</w:t>
      </w:r>
      <w:r>
        <w:rPr>
          <w:rFonts w:hint="eastAsia" w:ascii="Times New Roman" w:hAnsi="Times New Roman" w:eastAsia="楷体_GB2312" w:cs="楷体_GB2312"/>
          <w:color w:val="000000"/>
          <w:sz w:val="32"/>
          <w:szCs w:val="32"/>
          <w:highlight w:val="none"/>
        </w:rPr>
        <w:t xml:space="preserve"> 推动慈善事业高质量发展</w:t>
      </w:r>
      <w:r>
        <w:rPr>
          <w:rFonts w:hint="default" w:ascii="Times New Roman" w:hAnsi="Times New Roman" w:eastAsia="黑体" w:cs="Times New Roman"/>
          <w:color w:val="000000"/>
          <w:kern w:val="2"/>
          <w:sz w:val="32"/>
          <w:szCs w:val="32"/>
          <w:highlight w:val="none"/>
          <w:lang w:val="en-US" w:eastAsia="zh-CN" w:bidi="ar-SA"/>
        </w:rPr>
        <w:t>…………………</w:t>
      </w:r>
      <w:r>
        <w:rPr>
          <w:rFonts w:hint="eastAsia" w:eastAsia="黑体" w:cs="Times New Roman"/>
          <w:color w:val="000000"/>
          <w:kern w:val="2"/>
          <w:sz w:val="32"/>
          <w:szCs w:val="32"/>
          <w:highlight w:val="none"/>
          <w:lang w:val="en-US" w:eastAsia="zh-CN" w:bidi="ar-SA"/>
        </w:rPr>
        <w:t>40</w:t>
      </w:r>
    </w:p>
    <w:p w14:paraId="570D057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1280" w:firstLineChars="400"/>
        <w:textAlignment w:val="auto"/>
        <w:rPr>
          <w:rFonts w:hint="eastAsia" w:ascii="Times New Roman" w:hAnsi="Times New Roman" w:eastAsia="楷体_GB2312" w:cs="楷体_GB2312"/>
          <w:color w:val="000000"/>
          <w:sz w:val="32"/>
          <w:szCs w:val="32"/>
          <w:highlight w:val="none"/>
          <w:lang w:val="en-US" w:eastAsia="zh-CN"/>
        </w:rPr>
      </w:pPr>
      <w:r>
        <w:rPr>
          <w:rFonts w:hint="eastAsia" w:ascii="Times New Roman" w:hAnsi="Times New Roman" w:eastAsia="楷体_GB2312" w:cs="楷体_GB2312"/>
          <w:color w:val="000000"/>
          <w:sz w:val="32"/>
          <w:szCs w:val="32"/>
          <w:highlight w:val="none"/>
        </w:rPr>
        <w:t>第三</w:t>
      </w:r>
      <w:r>
        <w:rPr>
          <w:rFonts w:hint="eastAsia" w:ascii="Times New Roman" w:hAnsi="Times New Roman" w:eastAsia="楷体_GB2312" w:cs="楷体_GB2312"/>
          <w:color w:val="000000"/>
          <w:sz w:val="32"/>
          <w:szCs w:val="32"/>
          <w:highlight w:val="none"/>
          <w:lang w:eastAsia="zh-CN"/>
        </w:rPr>
        <w:t>章</w:t>
      </w:r>
      <w:r>
        <w:rPr>
          <w:rFonts w:hint="eastAsia" w:ascii="Times New Roman" w:hAnsi="Times New Roman" w:eastAsia="楷体_GB2312" w:cs="楷体_GB2312"/>
          <w:color w:val="000000"/>
          <w:sz w:val="32"/>
          <w:szCs w:val="32"/>
          <w:highlight w:val="none"/>
        </w:rPr>
        <w:t xml:space="preserve"> 提升行政区划科学管理水平</w:t>
      </w:r>
      <w:r>
        <w:rPr>
          <w:rFonts w:hint="default" w:ascii="Times New Roman" w:hAnsi="Times New Roman" w:eastAsia="楷体_GB2312" w:cs="Times New Roman"/>
          <w:color w:val="000000"/>
          <w:kern w:val="2"/>
          <w:sz w:val="32"/>
          <w:szCs w:val="32"/>
          <w:highlight w:val="none"/>
          <w:lang w:val="en-US" w:eastAsia="zh-CN" w:bidi="ar-SA"/>
        </w:rPr>
        <w:t>………………</w:t>
      </w:r>
      <w:r>
        <w:rPr>
          <w:rFonts w:hint="eastAsia" w:ascii="Times New Roman" w:hAnsi="Times New Roman" w:eastAsia="楷体_GB2312" w:cs="楷体_GB2312"/>
          <w:color w:val="000000"/>
          <w:sz w:val="32"/>
          <w:szCs w:val="32"/>
          <w:highlight w:val="none"/>
        </w:rPr>
        <w:t>4</w:t>
      </w:r>
      <w:r>
        <w:rPr>
          <w:rFonts w:hint="eastAsia" w:eastAsia="楷体_GB2312" w:cs="楷体_GB2312"/>
          <w:color w:val="000000"/>
          <w:sz w:val="32"/>
          <w:szCs w:val="32"/>
          <w:highlight w:val="none"/>
          <w:lang w:val="en-US" w:eastAsia="zh-CN"/>
        </w:rPr>
        <w:t>1</w:t>
      </w:r>
    </w:p>
    <w:p w14:paraId="0F5954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Times New Roman" w:hAnsi="Times New Roman" w:eastAsia="黑体" w:cs="黑体"/>
          <w:color w:val="000000"/>
          <w:sz w:val="32"/>
          <w:szCs w:val="32"/>
          <w:highlight w:val="none"/>
          <w:lang w:val="en-US" w:eastAsia="zh-CN"/>
        </w:rPr>
      </w:pPr>
      <w:r>
        <w:rPr>
          <w:rFonts w:hint="eastAsia" w:ascii="Times New Roman" w:hAnsi="Times New Roman" w:eastAsia="黑体" w:cs="黑体"/>
          <w:color w:val="000000"/>
          <w:sz w:val="32"/>
          <w:szCs w:val="32"/>
          <w:highlight w:val="none"/>
        </w:rPr>
        <w:t>第七</w:t>
      </w:r>
      <w:r>
        <w:rPr>
          <w:rFonts w:hint="eastAsia" w:ascii="Times New Roman" w:hAnsi="Times New Roman" w:eastAsia="黑体" w:cs="黑体"/>
          <w:color w:val="000000"/>
          <w:sz w:val="32"/>
          <w:szCs w:val="32"/>
          <w:highlight w:val="none"/>
          <w:lang w:eastAsia="zh-CN"/>
        </w:rPr>
        <w:t>篇</w:t>
      </w:r>
      <w:r>
        <w:rPr>
          <w:rFonts w:hint="eastAsia" w:ascii="Times New Roman" w:hAnsi="Times New Roman" w:eastAsia="黑体" w:cs="黑体"/>
          <w:color w:val="000000"/>
          <w:sz w:val="32"/>
          <w:szCs w:val="32"/>
          <w:highlight w:val="none"/>
        </w:rPr>
        <w:t xml:space="preserve"> 扎实做好规划实施的支撑保障工作</w:t>
      </w:r>
      <w:r>
        <w:rPr>
          <w:rFonts w:hint="default" w:ascii="Times New Roman" w:hAnsi="Times New Roman" w:eastAsia="楷体_GB2312" w:cs="Times New Roman"/>
          <w:color w:val="000000"/>
          <w:kern w:val="2"/>
          <w:sz w:val="32"/>
          <w:szCs w:val="32"/>
          <w:highlight w:val="none"/>
          <w:lang w:val="en-US" w:eastAsia="zh-CN" w:bidi="ar-SA"/>
        </w:rPr>
        <w:t>……………</w:t>
      </w:r>
      <w:r>
        <w:rPr>
          <w:rFonts w:hint="eastAsia" w:ascii="Times New Roman" w:hAnsi="Times New Roman" w:eastAsia="黑体" w:cs="黑体"/>
          <w:color w:val="000000"/>
          <w:sz w:val="32"/>
          <w:szCs w:val="32"/>
          <w:highlight w:val="none"/>
        </w:rPr>
        <w:t>4</w:t>
      </w:r>
      <w:r>
        <w:rPr>
          <w:rFonts w:hint="eastAsia" w:eastAsia="黑体" w:cs="黑体"/>
          <w:color w:val="000000"/>
          <w:sz w:val="32"/>
          <w:szCs w:val="32"/>
          <w:highlight w:val="none"/>
          <w:lang w:val="en-US" w:eastAsia="zh-CN"/>
        </w:rPr>
        <w:t>2</w:t>
      </w:r>
    </w:p>
    <w:p w14:paraId="2CEBC1E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1280" w:firstLineChars="400"/>
        <w:textAlignment w:val="auto"/>
        <w:rPr>
          <w:rFonts w:hint="eastAsia" w:ascii="Times New Roman" w:hAnsi="Times New Roman" w:eastAsia="楷体_GB2312" w:cs="楷体_GB2312"/>
          <w:color w:val="000000"/>
          <w:sz w:val="32"/>
          <w:szCs w:val="32"/>
          <w:highlight w:val="none"/>
          <w:lang w:val="en-US" w:eastAsia="zh-CN"/>
        </w:rPr>
      </w:pPr>
      <w:r>
        <w:rPr>
          <w:rFonts w:hint="eastAsia" w:ascii="Times New Roman" w:hAnsi="Times New Roman" w:eastAsia="楷体_GB2312" w:cs="楷体_GB2312"/>
          <w:color w:val="000000"/>
          <w:sz w:val="32"/>
          <w:szCs w:val="32"/>
          <w:highlight w:val="none"/>
        </w:rPr>
        <w:t>第一</w:t>
      </w:r>
      <w:r>
        <w:rPr>
          <w:rFonts w:hint="eastAsia" w:ascii="Times New Roman" w:hAnsi="Times New Roman" w:eastAsia="楷体_GB2312" w:cs="楷体_GB2312"/>
          <w:color w:val="000000"/>
          <w:sz w:val="32"/>
          <w:szCs w:val="32"/>
          <w:highlight w:val="none"/>
          <w:lang w:eastAsia="zh-CN"/>
        </w:rPr>
        <w:t>章</w:t>
      </w:r>
      <w:r>
        <w:rPr>
          <w:rFonts w:hint="eastAsia" w:ascii="Times New Roman" w:hAnsi="Times New Roman" w:eastAsia="楷体_GB2312" w:cs="楷体_GB2312"/>
          <w:color w:val="000000"/>
          <w:sz w:val="32"/>
          <w:szCs w:val="32"/>
          <w:highlight w:val="none"/>
        </w:rPr>
        <w:t xml:space="preserve"> 加强组织领导</w:t>
      </w:r>
      <w:r>
        <w:rPr>
          <w:rFonts w:hint="default" w:ascii="Times New Roman" w:hAnsi="Times New Roman" w:eastAsia="楷体_GB2312" w:cs="Times New Roman"/>
          <w:color w:val="000000"/>
          <w:kern w:val="2"/>
          <w:sz w:val="32"/>
          <w:szCs w:val="32"/>
          <w:highlight w:val="none"/>
          <w:lang w:val="en-US" w:eastAsia="zh-CN" w:bidi="ar-SA"/>
        </w:rPr>
        <w:t>………………………………</w:t>
      </w:r>
      <w:r>
        <w:rPr>
          <w:rFonts w:hint="eastAsia" w:ascii="Times New Roman" w:hAnsi="Times New Roman" w:eastAsia="楷体_GB2312" w:cs="楷体_GB2312"/>
          <w:color w:val="000000"/>
          <w:sz w:val="32"/>
          <w:szCs w:val="32"/>
          <w:highlight w:val="none"/>
        </w:rPr>
        <w:t>4</w:t>
      </w:r>
      <w:r>
        <w:rPr>
          <w:rFonts w:hint="eastAsia" w:eastAsia="楷体_GB2312" w:cs="楷体_GB2312"/>
          <w:color w:val="000000"/>
          <w:sz w:val="32"/>
          <w:szCs w:val="32"/>
          <w:highlight w:val="none"/>
          <w:lang w:val="en-US" w:eastAsia="zh-CN"/>
        </w:rPr>
        <w:t>2</w:t>
      </w:r>
    </w:p>
    <w:p w14:paraId="02F7547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1280" w:firstLineChars="400"/>
        <w:textAlignment w:val="auto"/>
        <w:rPr>
          <w:rFonts w:hint="default" w:ascii="Times New Roman" w:hAnsi="Times New Roman" w:eastAsia="楷体_GB2312" w:cs="楷体_GB2312"/>
          <w:color w:val="000000"/>
          <w:sz w:val="32"/>
          <w:szCs w:val="32"/>
          <w:highlight w:val="none"/>
          <w:lang w:val="en-US" w:eastAsia="zh-CN"/>
        </w:rPr>
      </w:pPr>
      <w:r>
        <w:rPr>
          <w:rFonts w:hint="eastAsia" w:ascii="Times New Roman" w:hAnsi="Times New Roman" w:eastAsia="楷体_GB2312" w:cs="楷体_GB2312"/>
          <w:color w:val="000000"/>
          <w:sz w:val="32"/>
          <w:szCs w:val="32"/>
          <w:highlight w:val="none"/>
        </w:rPr>
        <w:t>第二</w:t>
      </w:r>
      <w:r>
        <w:rPr>
          <w:rFonts w:hint="eastAsia" w:ascii="Times New Roman" w:hAnsi="Times New Roman" w:eastAsia="楷体_GB2312" w:cs="楷体_GB2312"/>
          <w:color w:val="000000"/>
          <w:sz w:val="32"/>
          <w:szCs w:val="32"/>
          <w:highlight w:val="none"/>
          <w:lang w:eastAsia="zh-CN"/>
        </w:rPr>
        <w:t>章</w:t>
      </w:r>
      <w:r>
        <w:rPr>
          <w:rFonts w:hint="eastAsia" w:ascii="Times New Roman" w:hAnsi="Times New Roman" w:eastAsia="楷体_GB2312" w:cs="楷体_GB2312"/>
          <w:color w:val="000000"/>
          <w:sz w:val="32"/>
          <w:szCs w:val="32"/>
          <w:highlight w:val="none"/>
        </w:rPr>
        <w:t xml:space="preserve"> </w:t>
      </w:r>
      <w:r>
        <w:rPr>
          <w:rFonts w:hint="eastAsia" w:ascii="Times New Roman" w:hAnsi="Times New Roman" w:eastAsia="楷体_GB2312" w:cs="楷体_GB2312"/>
          <w:color w:val="000000"/>
          <w:sz w:val="32"/>
          <w:szCs w:val="32"/>
          <w:highlight w:val="none"/>
          <w:lang w:eastAsia="zh-CN"/>
        </w:rPr>
        <w:t>坚持</w:t>
      </w:r>
      <w:r>
        <w:rPr>
          <w:rFonts w:hint="eastAsia" w:ascii="Times New Roman" w:hAnsi="Times New Roman" w:eastAsia="楷体_GB2312" w:cs="楷体_GB2312"/>
          <w:color w:val="000000"/>
          <w:sz w:val="32"/>
          <w:szCs w:val="32"/>
          <w:highlight w:val="none"/>
        </w:rPr>
        <w:t>依法行政</w:t>
      </w:r>
      <w:r>
        <w:rPr>
          <w:rFonts w:hint="default" w:ascii="Times New Roman" w:hAnsi="Times New Roman" w:eastAsia="楷体_GB2312" w:cs="Times New Roman"/>
          <w:color w:val="000000"/>
          <w:kern w:val="2"/>
          <w:sz w:val="32"/>
          <w:szCs w:val="32"/>
          <w:highlight w:val="none"/>
          <w:lang w:val="en-US" w:eastAsia="zh-CN" w:bidi="ar-SA"/>
        </w:rPr>
        <w:t>………………………………</w:t>
      </w:r>
      <w:r>
        <w:rPr>
          <w:rFonts w:hint="eastAsia" w:eastAsia="楷体_GB2312" w:cs="楷体_GB2312"/>
          <w:color w:val="000000"/>
          <w:sz w:val="32"/>
          <w:szCs w:val="32"/>
          <w:highlight w:val="none"/>
          <w:lang w:val="en-US" w:eastAsia="zh-CN"/>
        </w:rPr>
        <w:t>43</w:t>
      </w:r>
    </w:p>
    <w:p w14:paraId="5EEE164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1280" w:firstLineChars="400"/>
        <w:textAlignment w:val="auto"/>
        <w:rPr>
          <w:rFonts w:hint="eastAsia" w:ascii="Times New Roman" w:hAnsi="Times New Roman" w:eastAsia="楷体_GB2312" w:cs="楷体_GB2312"/>
          <w:color w:val="000000"/>
          <w:sz w:val="32"/>
          <w:szCs w:val="32"/>
          <w:highlight w:val="none"/>
          <w:lang w:val="en-US" w:eastAsia="zh-CN"/>
        </w:rPr>
      </w:pPr>
      <w:r>
        <w:rPr>
          <w:rFonts w:hint="eastAsia" w:ascii="Times New Roman" w:hAnsi="Times New Roman" w:eastAsia="楷体_GB2312" w:cs="楷体_GB2312"/>
          <w:color w:val="000000"/>
          <w:sz w:val="32"/>
          <w:szCs w:val="32"/>
          <w:highlight w:val="none"/>
        </w:rPr>
        <w:t>第三</w:t>
      </w:r>
      <w:r>
        <w:rPr>
          <w:rFonts w:hint="eastAsia" w:ascii="Times New Roman" w:hAnsi="Times New Roman" w:eastAsia="楷体_GB2312" w:cs="楷体_GB2312"/>
          <w:color w:val="000000"/>
          <w:sz w:val="32"/>
          <w:szCs w:val="32"/>
          <w:highlight w:val="none"/>
          <w:lang w:eastAsia="zh-CN"/>
        </w:rPr>
        <w:t>章</w:t>
      </w:r>
      <w:r>
        <w:rPr>
          <w:rFonts w:hint="eastAsia" w:ascii="Times New Roman" w:hAnsi="Times New Roman" w:eastAsia="楷体_GB2312" w:cs="楷体_GB2312"/>
          <w:color w:val="000000"/>
          <w:sz w:val="32"/>
          <w:szCs w:val="32"/>
          <w:highlight w:val="none"/>
        </w:rPr>
        <w:t xml:space="preserve"> </w:t>
      </w:r>
      <w:r>
        <w:rPr>
          <w:rFonts w:hint="eastAsia" w:ascii="Times New Roman" w:hAnsi="Times New Roman" w:eastAsia="楷体_GB2312" w:cs="楷体_GB2312"/>
          <w:color w:val="000000"/>
          <w:sz w:val="32"/>
          <w:szCs w:val="32"/>
          <w:highlight w:val="none"/>
          <w:lang w:eastAsia="zh-CN"/>
        </w:rPr>
        <w:t>强化</w:t>
      </w:r>
      <w:r>
        <w:rPr>
          <w:rFonts w:hint="eastAsia" w:ascii="Times New Roman" w:hAnsi="Times New Roman" w:eastAsia="楷体_GB2312" w:cs="楷体_GB2312"/>
          <w:color w:val="000000"/>
          <w:sz w:val="32"/>
          <w:szCs w:val="32"/>
          <w:highlight w:val="none"/>
        </w:rPr>
        <w:t>人才</w:t>
      </w:r>
      <w:r>
        <w:rPr>
          <w:rFonts w:hint="eastAsia" w:ascii="Times New Roman" w:hAnsi="Times New Roman" w:eastAsia="楷体_GB2312" w:cs="楷体_GB2312"/>
          <w:color w:val="000000"/>
          <w:sz w:val="32"/>
          <w:szCs w:val="32"/>
          <w:highlight w:val="none"/>
          <w:lang w:eastAsia="zh-CN"/>
        </w:rPr>
        <w:t>建设</w:t>
      </w:r>
      <w:r>
        <w:rPr>
          <w:rFonts w:hint="default" w:ascii="Times New Roman" w:hAnsi="Times New Roman" w:eastAsia="楷体_GB2312" w:cs="Times New Roman"/>
          <w:color w:val="000000"/>
          <w:kern w:val="2"/>
          <w:sz w:val="32"/>
          <w:szCs w:val="32"/>
          <w:highlight w:val="none"/>
          <w:lang w:val="en-US" w:eastAsia="zh-CN" w:bidi="ar-SA"/>
        </w:rPr>
        <w:t>………………………………</w:t>
      </w:r>
      <w:r>
        <w:rPr>
          <w:rFonts w:hint="eastAsia" w:ascii="Times New Roman" w:hAnsi="Times New Roman" w:eastAsia="楷体_GB2312" w:cs="楷体_GB2312"/>
          <w:color w:val="000000"/>
          <w:sz w:val="32"/>
          <w:szCs w:val="32"/>
          <w:highlight w:val="none"/>
        </w:rPr>
        <w:t>4</w:t>
      </w:r>
      <w:r>
        <w:rPr>
          <w:rFonts w:hint="eastAsia" w:eastAsia="楷体_GB2312" w:cs="楷体_GB2312"/>
          <w:color w:val="000000"/>
          <w:sz w:val="32"/>
          <w:szCs w:val="32"/>
          <w:highlight w:val="none"/>
          <w:lang w:val="en-US" w:eastAsia="zh-CN"/>
        </w:rPr>
        <w:t>3</w:t>
      </w:r>
    </w:p>
    <w:p w14:paraId="0BC0B61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1280" w:firstLineChars="400"/>
        <w:textAlignment w:val="auto"/>
        <w:rPr>
          <w:rFonts w:hint="eastAsia" w:ascii="Times New Roman" w:hAnsi="Times New Roman" w:eastAsia="楷体_GB2312" w:cs="楷体_GB2312"/>
          <w:color w:val="000000"/>
          <w:sz w:val="32"/>
          <w:szCs w:val="32"/>
          <w:highlight w:val="none"/>
          <w:lang w:val="en-US" w:eastAsia="zh-CN"/>
        </w:rPr>
      </w:pPr>
      <w:r>
        <w:rPr>
          <w:rFonts w:hint="eastAsia" w:ascii="Times New Roman" w:hAnsi="Times New Roman" w:eastAsia="楷体_GB2312" w:cs="楷体_GB2312"/>
          <w:color w:val="000000"/>
          <w:sz w:val="32"/>
          <w:szCs w:val="32"/>
          <w:highlight w:val="none"/>
        </w:rPr>
        <w:t>第</w:t>
      </w:r>
      <w:r>
        <w:rPr>
          <w:rFonts w:hint="eastAsia" w:ascii="Times New Roman" w:hAnsi="Times New Roman" w:eastAsia="楷体_GB2312" w:cs="楷体_GB2312"/>
          <w:color w:val="000000"/>
          <w:sz w:val="32"/>
          <w:szCs w:val="32"/>
          <w:highlight w:val="none"/>
          <w:lang w:eastAsia="zh-CN"/>
        </w:rPr>
        <w:t>四章</w:t>
      </w:r>
      <w:r>
        <w:rPr>
          <w:rFonts w:hint="eastAsia" w:ascii="Times New Roman" w:hAnsi="Times New Roman" w:eastAsia="楷体_GB2312" w:cs="楷体_GB2312"/>
          <w:color w:val="000000"/>
          <w:sz w:val="32"/>
          <w:szCs w:val="32"/>
          <w:highlight w:val="none"/>
        </w:rPr>
        <w:t xml:space="preserve"> 优化资源配置</w:t>
      </w:r>
      <w:r>
        <w:rPr>
          <w:rFonts w:hint="default" w:ascii="Times New Roman" w:hAnsi="Times New Roman" w:eastAsia="楷体_GB2312" w:cs="Times New Roman"/>
          <w:color w:val="000000"/>
          <w:kern w:val="2"/>
          <w:sz w:val="32"/>
          <w:szCs w:val="32"/>
          <w:highlight w:val="none"/>
          <w:lang w:val="en-US" w:eastAsia="zh-CN" w:bidi="ar-SA"/>
        </w:rPr>
        <w:t>………………………………</w:t>
      </w:r>
      <w:r>
        <w:rPr>
          <w:rFonts w:hint="eastAsia" w:ascii="Times New Roman" w:hAnsi="Times New Roman" w:eastAsia="楷体_GB2312" w:cs="楷体_GB2312"/>
          <w:color w:val="000000"/>
          <w:sz w:val="32"/>
          <w:szCs w:val="32"/>
          <w:highlight w:val="none"/>
        </w:rPr>
        <w:t>4</w:t>
      </w:r>
      <w:r>
        <w:rPr>
          <w:rFonts w:hint="eastAsia" w:eastAsia="楷体_GB2312" w:cs="楷体_GB2312"/>
          <w:color w:val="000000"/>
          <w:sz w:val="32"/>
          <w:szCs w:val="32"/>
          <w:highlight w:val="none"/>
          <w:lang w:val="en-US" w:eastAsia="zh-CN"/>
        </w:rPr>
        <w:t>4</w:t>
      </w:r>
    </w:p>
    <w:p w14:paraId="4429A50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1280" w:firstLineChars="400"/>
        <w:textAlignment w:val="auto"/>
        <w:rPr>
          <w:rFonts w:hint="default" w:ascii="Times New Roman" w:hAnsi="Times New Roman" w:eastAsia="楷体_GB2312" w:cs="楷体_GB2312"/>
          <w:color w:val="000000"/>
          <w:sz w:val="32"/>
          <w:szCs w:val="32"/>
          <w:highlight w:val="none"/>
          <w:lang w:val="en-US" w:eastAsia="zh-CN"/>
        </w:rPr>
      </w:pPr>
      <w:r>
        <w:rPr>
          <w:rFonts w:hint="eastAsia" w:ascii="Times New Roman" w:hAnsi="Times New Roman" w:eastAsia="楷体_GB2312" w:cs="楷体_GB2312"/>
          <w:color w:val="000000"/>
          <w:sz w:val="32"/>
          <w:szCs w:val="32"/>
          <w:highlight w:val="none"/>
        </w:rPr>
        <w:t>第</w:t>
      </w:r>
      <w:r>
        <w:rPr>
          <w:rFonts w:hint="eastAsia" w:ascii="Times New Roman" w:hAnsi="Times New Roman" w:eastAsia="楷体_GB2312" w:cs="楷体_GB2312"/>
          <w:color w:val="000000"/>
          <w:sz w:val="32"/>
          <w:szCs w:val="32"/>
          <w:highlight w:val="none"/>
          <w:lang w:eastAsia="zh-CN"/>
        </w:rPr>
        <w:t>五章</w:t>
      </w:r>
      <w:r>
        <w:rPr>
          <w:rFonts w:hint="eastAsia" w:ascii="Times New Roman" w:hAnsi="Times New Roman" w:eastAsia="楷体_GB2312" w:cs="楷体_GB2312"/>
          <w:color w:val="000000"/>
          <w:sz w:val="32"/>
          <w:szCs w:val="32"/>
          <w:highlight w:val="none"/>
        </w:rPr>
        <w:t xml:space="preserve"> </w:t>
      </w:r>
      <w:r>
        <w:rPr>
          <w:rFonts w:hint="eastAsia" w:ascii="Times New Roman" w:hAnsi="Times New Roman" w:eastAsia="楷体_GB2312" w:cs="楷体_GB2312"/>
          <w:color w:val="000000"/>
          <w:sz w:val="32"/>
          <w:szCs w:val="32"/>
          <w:highlight w:val="none"/>
          <w:lang w:eastAsia="zh-CN"/>
        </w:rPr>
        <w:t>突出科技赋能</w:t>
      </w:r>
      <w:r>
        <w:rPr>
          <w:rFonts w:hint="default" w:ascii="Times New Roman" w:hAnsi="Times New Roman" w:eastAsia="楷体_GB2312" w:cs="Times New Roman"/>
          <w:color w:val="000000"/>
          <w:kern w:val="2"/>
          <w:sz w:val="32"/>
          <w:szCs w:val="32"/>
          <w:highlight w:val="none"/>
          <w:lang w:val="en-US" w:eastAsia="zh-CN" w:bidi="ar-SA"/>
        </w:rPr>
        <w:t>………………………………</w:t>
      </w:r>
      <w:r>
        <w:rPr>
          <w:rFonts w:hint="default" w:ascii="Times New Roman" w:hAnsi="Times New Roman" w:eastAsia="楷体_GB2312" w:cs="楷体_GB2312"/>
          <w:color w:val="000000"/>
          <w:sz w:val="32"/>
          <w:szCs w:val="32"/>
          <w:highlight w:val="none"/>
          <w:lang w:val="en-US" w:eastAsia="zh-CN"/>
        </w:rPr>
        <w:t>4</w:t>
      </w:r>
      <w:r>
        <w:rPr>
          <w:rFonts w:hint="eastAsia" w:eastAsia="楷体_GB2312" w:cs="楷体_GB2312"/>
          <w:color w:val="000000"/>
          <w:sz w:val="32"/>
          <w:szCs w:val="32"/>
          <w:highlight w:val="none"/>
          <w:lang w:val="en-US" w:eastAsia="zh-CN"/>
        </w:rPr>
        <w:t>4</w:t>
      </w:r>
    </w:p>
    <w:p w14:paraId="69E7C26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1280" w:firstLineChars="400"/>
        <w:textAlignment w:val="auto"/>
        <w:rPr>
          <w:rFonts w:hint="default" w:ascii="Times New Roman" w:hAnsi="Times New Roman" w:eastAsia="楷体_GB2312" w:cs="楷体_GB2312"/>
          <w:color w:val="000000"/>
          <w:sz w:val="32"/>
          <w:szCs w:val="32"/>
          <w:highlight w:val="none"/>
          <w:lang w:val="en-US" w:eastAsia="zh-CN"/>
        </w:rPr>
      </w:pPr>
      <w:r>
        <w:rPr>
          <w:rFonts w:hint="eastAsia" w:ascii="Times New Roman" w:hAnsi="Times New Roman" w:eastAsia="楷体_GB2312" w:cs="楷体_GB2312"/>
          <w:color w:val="000000"/>
          <w:sz w:val="32"/>
          <w:szCs w:val="32"/>
          <w:highlight w:val="none"/>
          <w:lang w:eastAsia="zh-CN"/>
        </w:rPr>
        <w:t>第六章</w:t>
      </w:r>
      <w:r>
        <w:rPr>
          <w:rFonts w:hint="eastAsia" w:ascii="Times New Roman" w:hAnsi="Times New Roman" w:eastAsia="楷体_GB2312" w:cs="楷体_GB2312"/>
          <w:color w:val="000000"/>
          <w:sz w:val="32"/>
          <w:szCs w:val="32"/>
          <w:highlight w:val="none"/>
          <w:lang w:val="en-US" w:eastAsia="zh-CN"/>
        </w:rPr>
        <w:t xml:space="preserve"> </w:t>
      </w:r>
      <w:r>
        <w:rPr>
          <w:rFonts w:hint="eastAsia" w:ascii="Times New Roman" w:hAnsi="Times New Roman" w:eastAsia="楷体_GB2312" w:cs="楷体_GB2312"/>
          <w:color w:val="000000"/>
          <w:sz w:val="32"/>
          <w:szCs w:val="32"/>
          <w:highlight w:val="none"/>
        </w:rPr>
        <w:t>守牢安全底线</w:t>
      </w:r>
      <w:r>
        <w:rPr>
          <w:rFonts w:hint="default" w:ascii="Times New Roman" w:hAnsi="Times New Roman" w:eastAsia="楷体_GB2312" w:cs="Times New Roman"/>
          <w:color w:val="000000"/>
          <w:kern w:val="2"/>
          <w:sz w:val="32"/>
          <w:szCs w:val="32"/>
          <w:highlight w:val="none"/>
          <w:lang w:val="en-US" w:eastAsia="zh-CN" w:bidi="ar-SA"/>
        </w:rPr>
        <w:t>………………………………</w:t>
      </w:r>
      <w:r>
        <w:rPr>
          <w:rFonts w:hint="eastAsia" w:ascii="Times New Roman" w:hAnsi="Times New Roman" w:eastAsia="楷体_GB2312" w:cs="楷体_GB2312"/>
          <w:color w:val="000000"/>
          <w:sz w:val="32"/>
          <w:szCs w:val="32"/>
          <w:highlight w:val="none"/>
          <w:lang w:val="en-US" w:eastAsia="zh-CN"/>
        </w:rPr>
        <w:t>4</w:t>
      </w:r>
      <w:r>
        <w:rPr>
          <w:rFonts w:hint="eastAsia" w:eastAsia="楷体_GB2312" w:cs="楷体_GB2312"/>
          <w:color w:val="000000"/>
          <w:sz w:val="32"/>
          <w:szCs w:val="32"/>
          <w:highlight w:val="none"/>
          <w:lang w:val="en-US" w:eastAsia="zh-CN"/>
        </w:rPr>
        <w:t>5</w:t>
      </w:r>
    </w:p>
    <w:p w14:paraId="624DB3D8">
      <w:pPr>
        <w:pStyle w:val="2"/>
        <w:shd w:val="clear"/>
        <w:rPr>
          <w:rFonts w:hint="eastAsia" w:ascii="Times New Roman" w:hAnsi="Times New Roman" w:eastAsia="仿宋_GB2312" w:cs="仿宋_GB2312"/>
          <w:highlight w:val="none"/>
          <w:lang w:val="en-US" w:eastAsia="zh-CN"/>
        </w:rPr>
      </w:pPr>
    </w:p>
    <w:p w14:paraId="208E550B">
      <w:pPr>
        <w:shd w:val="clear"/>
        <w:rPr>
          <w:rFonts w:hint="eastAsia" w:ascii="Times New Roman" w:hAnsi="Times New Roman"/>
          <w:highlight w:val="none"/>
          <w:lang w:val="en-US" w:eastAsia="zh-CN"/>
        </w:rPr>
        <w:sectPr>
          <w:headerReference r:id="rId5" w:type="default"/>
          <w:footerReference r:id="rId7" w:type="default"/>
          <w:headerReference r:id="rId6" w:type="even"/>
          <w:footerReference r:id="rId8" w:type="even"/>
          <w:pgSz w:w="11906" w:h="16838"/>
          <w:pgMar w:top="2098" w:right="1474" w:bottom="1984" w:left="1587" w:header="851" w:footer="1417" w:gutter="0"/>
          <w:pgNumType w:fmt="decimal" w:start="1"/>
          <w:cols w:space="425" w:num="1"/>
          <w:docGrid w:type="linesAndChars" w:linePitch="579" w:charSpace="15"/>
        </w:sectPr>
      </w:pPr>
    </w:p>
    <w:p w14:paraId="52CEFD6C">
      <w:pPr>
        <w:pStyle w:val="35"/>
        <w:keepNext w:val="0"/>
        <w:keepLines w:val="0"/>
        <w:pageBreakBefore w:val="0"/>
        <w:widowControl w:val="0"/>
        <w:pBdr>
          <w:top w:val="none" w:color="auto" w:sz="0" w:space="1"/>
          <w:left w:val="none" w:color="auto" w:sz="0" w:space="4"/>
          <w:bottom w:val="none" w:color="auto" w:sz="0" w:space="1"/>
          <w:right w:val="none" w:color="auto" w:sz="0" w:space="4"/>
        </w:pBdr>
        <w:shd w:val="clear"/>
        <w:kinsoku/>
        <w:wordWrap/>
        <w:overflowPunct/>
        <w:topLinePunct w:val="0"/>
        <w:autoSpaceDE/>
        <w:autoSpaceDN/>
        <w:bidi w:val="0"/>
        <w:adjustRightInd/>
        <w:snapToGrid/>
        <w:spacing w:before="318" w:beforeLines="100" w:after="318" w:afterLines="100" w:line="560" w:lineRule="exact"/>
        <w:ind w:firstLine="0" w:firstLineChars="0"/>
        <w:jc w:val="center"/>
        <w:outlineLvl w:val="0"/>
        <w:rPr>
          <w:rFonts w:hint="eastAsia" w:ascii="Times New Roman" w:hAnsi="Times New Roman" w:eastAsia="仿宋_GB2312" w:cs="仿宋_GB2312"/>
          <w:highlight w:val="none"/>
          <w:lang w:eastAsia="zh-CN"/>
        </w:rPr>
      </w:pPr>
      <w:bookmarkStart w:id="9" w:name="_Toc28711"/>
      <w:bookmarkStart w:id="10" w:name="_Toc20699"/>
      <w:bookmarkStart w:id="11" w:name="_Toc20417"/>
      <w:r>
        <w:rPr>
          <w:rFonts w:hint="eastAsia" w:ascii="Times New Roman" w:hAnsi="Times New Roman" w:eastAsia="方正小标宋简体" w:cs="Times New Roman"/>
          <w:kern w:val="44"/>
          <w:sz w:val="36"/>
          <w:szCs w:val="36"/>
          <w:highlight w:val="none"/>
          <w:lang w:val="en-US" w:eastAsia="zh-CN"/>
        </w:rPr>
        <w:t>第一章</w:t>
      </w:r>
      <w:bookmarkEnd w:id="9"/>
      <w:bookmarkEnd w:id="10"/>
      <w:r>
        <w:rPr>
          <w:rFonts w:hint="eastAsia" w:ascii="Times New Roman" w:hAnsi="Times New Roman" w:eastAsia="方正小标宋简体" w:cs="Times New Roman"/>
          <w:kern w:val="44"/>
          <w:sz w:val="36"/>
          <w:szCs w:val="36"/>
          <w:highlight w:val="none"/>
          <w:lang w:val="en-US" w:eastAsia="zh-CN"/>
        </w:rPr>
        <w:t xml:space="preserve"> 开启朝阳民政事业高质量发展新征程</w:t>
      </w:r>
      <w:bookmarkEnd w:id="11"/>
    </w:p>
    <w:p w14:paraId="6E4ECD3E">
      <w:pPr>
        <w:pStyle w:val="14"/>
        <w:keepNext w:val="0"/>
        <w:keepLines w:val="0"/>
        <w:pageBreakBefore w:val="0"/>
        <w:widowControl w:val="0"/>
        <w:shd w:val="clear"/>
        <w:kinsoku/>
        <w:wordWrap/>
        <w:overflowPunct/>
        <w:topLinePunct w:val="0"/>
        <w:autoSpaceDE/>
        <w:autoSpaceDN/>
        <w:bidi w:val="0"/>
        <w:adjustRightInd/>
        <w:snapToGrid/>
        <w:spacing w:before="292" w:beforeLines="50" w:after="292" w:afterLines="50" w:line="560" w:lineRule="exact"/>
        <w:ind w:firstLine="0" w:firstLineChars="0"/>
        <w:jc w:val="center"/>
        <w:textAlignment w:val="auto"/>
        <w:rPr>
          <w:rFonts w:hint="eastAsia" w:ascii="Times New Roman" w:hAnsi="Times New Roman" w:eastAsia="黑体" w:cs="黑体"/>
          <w:sz w:val="32"/>
          <w:szCs w:val="32"/>
          <w:highlight w:val="none"/>
          <w:lang w:val="en-US" w:eastAsia="zh-CN"/>
        </w:rPr>
      </w:pPr>
      <w:bookmarkStart w:id="12" w:name="_Toc11304"/>
      <w:bookmarkStart w:id="13" w:name="_Toc32699"/>
      <w:r>
        <w:rPr>
          <w:rFonts w:hint="eastAsia" w:ascii="Times New Roman" w:hAnsi="Times New Roman" w:eastAsia="黑体" w:cs="黑体"/>
          <w:sz w:val="32"/>
          <w:szCs w:val="32"/>
          <w:highlight w:val="none"/>
          <w:lang w:val="en-US" w:eastAsia="zh-CN"/>
        </w:rPr>
        <w:t>第一章 发展基础</w:t>
      </w:r>
      <w:bookmarkEnd w:id="12"/>
      <w:bookmarkEnd w:id="13"/>
    </w:p>
    <w:p w14:paraId="6BB09D21">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highlight w:val="none"/>
        </w:rPr>
      </w:pP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十四五</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时期，朝阳区民政系统坚持以习近平新时代中国特色社会主义思想为指导，聚焦群众</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七有</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要求和</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五性</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需求，紧扣</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五宜</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朝阳建设目标，圆满完成规划确定的主要任务，</w:t>
      </w:r>
      <w:r>
        <w:rPr>
          <w:rFonts w:hint="eastAsia" w:ascii="Times New Roman" w:hAnsi="Times New Roman" w:eastAsia="仿宋_GB2312" w:cs="仿宋_GB2312"/>
          <w:highlight w:val="none"/>
          <w:lang w:eastAsia="zh-CN"/>
        </w:rPr>
        <w:t>民政</w:t>
      </w:r>
      <w:r>
        <w:rPr>
          <w:rFonts w:hint="eastAsia" w:ascii="Times New Roman" w:hAnsi="Times New Roman" w:eastAsia="仿宋_GB2312" w:cs="仿宋_GB2312"/>
          <w:highlight w:val="none"/>
        </w:rPr>
        <w:t>事业发展取得显著成就。截至</w:t>
      </w:r>
      <w:r>
        <w:rPr>
          <w:rFonts w:hint="eastAsia" w:ascii="Times New Roman" w:hAnsi="Times New Roman" w:eastAsia="仿宋_GB2312" w:cs="仿宋_GB2312"/>
          <w:highlight w:val="none"/>
          <w:lang w:eastAsia="zh-CN"/>
        </w:rPr>
        <w:t>“十四五”末</w:t>
      </w:r>
      <w:r>
        <w:rPr>
          <w:rFonts w:hint="eastAsia" w:ascii="Times New Roman" w:hAnsi="Times New Roman" w:eastAsia="仿宋_GB2312" w:cs="仿宋_GB2312"/>
          <w:highlight w:val="none"/>
        </w:rPr>
        <w:t>，全区民政领域23项主要指标</w:t>
      </w:r>
      <w:r>
        <w:rPr>
          <w:rFonts w:hint="eastAsia" w:ascii="Times New Roman" w:hAnsi="Times New Roman" w:eastAsia="仿宋_GB2312" w:cs="仿宋_GB2312"/>
          <w:highlight w:val="none"/>
          <w:lang w:eastAsia="zh-CN"/>
        </w:rPr>
        <w:t>全部</w:t>
      </w:r>
      <w:r>
        <w:rPr>
          <w:rFonts w:hint="eastAsia" w:ascii="Times New Roman" w:hAnsi="Times New Roman" w:eastAsia="仿宋_GB2312" w:cs="仿宋_GB2312"/>
          <w:highlight w:val="none"/>
        </w:rPr>
        <w:t>完成</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基本民生保障底线兜牢筑实，三级养老服务网络基本成型，基层社会治理效能显著增强，基本社会服务效能大幅提升，为</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十五五</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时期朝阳民政事业高质量发展奠定了坚实基础。</w:t>
      </w:r>
    </w:p>
    <w:p w14:paraId="74087E07">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楷体_GB2312" w:cs="楷体_GB2312"/>
          <w:highlight w:val="none"/>
          <w:lang w:val="en-US" w:eastAsia="zh-CN"/>
        </w:rPr>
      </w:pPr>
      <w:bookmarkStart w:id="14" w:name="_Toc348"/>
      <w:bookmarkStart w:id="15" w:name="_Toc19916"/>
      <w:r>
        <w:rPr>
          <w:rFonts w:hint="eastAsia" w:ascii="Times New Roman" w:hAnsi="Times New Roman" w:eastAsia="楷体_GB2312" w:cs="楷体_GB2312"/>
          <w:highlight w:val="none"/>
          <w:lang w:val="en-US" w:eastAsia="zh-CN"/>
        </w:rPr>
        <w:t>一、养老服务体系日益完善，服务供给提质增效</w:t>
      </w:r>
      <w:bookmarkEnd w:id="14"/>
    </w:p>
    <w:p w14:paraId="51B483AD">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highlight w:val="none"/>
          <w:lang w:eastAsia="zh-CN"/>
        </w:rPr>
      </w:pPr>
      <w:r>
        <w:rPr>
          <w:rFonts w:hint="eastAsia" w:ascii="Times New Roman" w:hAnsi="Times New Roman" w:eastAsia="仿宋_GB2312" w:cs="仿宋_GB2312"/>
          <w:highlight w:val="none"/>
        </w:rPr>
        <w:t>深入贯彻积极应对人口老龄化国家战略，紧扣</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五宜</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朝阳建设目标，全面建成居家社区机构相协调、医养康养相结合的现代养老服务体系，区域养老服务综合实力显著增强。</w:t>
      </w:r>
    </w:p>
    <w:p w14:paraId="0620856E">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b/>
          <w:bCs/>
          <w:highlight w:val="none"/>
          <w:lang w:val="en-US" w:eastAsia="zh-CN"/>
        </w:rPr>
      </w:pPr>
      <w:r>
        <w:rPr>
          <w:rFonts w:hint="eastAsia" w:ascii="Times New Roman" w:hAnsi="Times New Roman" w:eastAsia="仿宋_GB2312" w:cs="仿宋_GB2312"/>
          <w:b/>
          <w:bCs/>
          <w:highlight w:val="none"/>
          <w:lang w:val="en-US" w:eastAsia="zh-CN"/>
        </w:rPr>
        <w:t>（一）三级养老服务网络基本成型</w:t>
      </w:r>
    </w:p>
    <w:p w14:paraId="156DF334">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rPr>
        <w:t>构建起</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区级指导中心统筹、街乡区域中心支撑、社区驿站延伸</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的三级养老服务实体网络。率先提出</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区域养老服务联合体</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的理念，涌现出朝外街道</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3S</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养老联合体等一大批优秀模式。截至</w:t>
      </w:r>
      <w:r>
        <w:rPr>
          <w:rFonts w:hint="eastAsia" w:ascii="Times New Roman" w:hAnsi="Times New Roman" w:eastAsia="仿宋_GB2312" w:cs="仿宋_GB2312"/>
          <w:highlight w:val="none"/>
          <w:lang w:eastAsia="zh-CN"/>
        </w:rPr>
        <w:t>“十四五”末</w:t>
      </w:r>
      <w:r>
        <w:rPr>
          <w:rFonts w:hint="eastAsia" w:ascii="Times New Roman" w:hAnsi="Times New Roman" w:eastAsia="仿宋_GB2312" w:cs="仿宋_GB2312"/>
          <w:highlight w:val="none"/>
        </w:rPr>
        <w:t>，全区备案养老机构8</w:t>
      </w:r>
      <w:r>
        <w:rPr>
          <w:rFonts w:hint="eastAsia" w:ascii="Times New Roman" w:hAnsi="Times New Roman" w:eastAsia="仿宋_GB2312" w:cs="仿宋_GB2312"/>
          <w:highlight w:val="none"/>
          <w:lang w:val="en-US" w:eastAsia="zh-CN"/>
        </w:rPr>
        <w:t>5</w:t>
      </w:r>
      <w:r>
        <w:rPr>
          <w:rFonts w:hint="eastAsia" w:ascii="Times New Roman" w:hAnsi="Times New Roman" w:eastAsia="仿宋_GB2312" w:cs="仿宋_GB2312"/>
          <w:highlight w:val="none"/>
        </w:rPr>
        <w:t>家</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驿站</w:t>
      </w:r>
      <w:r>
        <w:rPr>
          <w:rFonts w:hint="eastAsia" w:ascii="Times New Roman" w:hAnsi="Times New Roman" w:eastAsia="仿宋_GB2312" w:cs="仿宋_GB2312"/>
          <w:highlight w:val="none"/>
          <w:lang w:val="en-US" w:eastAsia="zh-CN"/>
        </w:rPr>
        <w:t>173</w:t>
      </w:r>
      <w:r>
        <w:rPr>
          <w:rFonts w:hint="eastAsia" w:ascii="Times New Roman" w:hAnsi="Times New Roman" w:eastAsia="仿宋_GB2312" w:cs="仿宋_GB2312"/>
          <w:highlight w:val="none"/>
        </w:rPr>
        <w:t>家。每千名常住人口养老床位数达</w:t>
      </w:r>
      <w:r>
        <w:rPr>
          <w:rFonts w:hint="eastAsia" w:ascii="Times New Roman" w:hAnsi="Times New Roman" w:eastAsia="仿宋_GB2312" w:cs="仿宋_GB2312"/>
          <w:highlight w:val="none"/>
          <w:lang w:eastAsia="zh-CN"/>
        </w:rPr>
        <w:t>7.17</w:t>
      </w:r>
      <w:r>
        <w:rPr>
          <w:rFonts w:hint="eastAsia" w:ascii="Times New Roman" w:hAnsi="Times New Roman" w:eastAsia="仿宋_GB2312" w:cs="仿宋_GB2312"/>
          <w:highlight w:val="none"/>
        </w:rPr>
        <w:t>张，超额完成规划指标，就近就便为老服务圈基本成型。</w:t>
      </w:r>
      <w:r>
        <w:rPr>
          <w:rFonts w:hint="eastAsia" w:ascii="Times New Roman" w:hAnsi="Times New Roman" w:eastAsia="仿宋_GB2312" w:cs="仿宋_GB2312"/>
          <w:highlight w:val="none"/>
          <w:lang w:val="en-US" w:eastAsia="zh-CN"/>
        </w:rPr>
        <w:t>建成全市首个老龄友好智慧体验中心。</w:t>
      </w:r>
    </w:p>
    <w:p w14:paraId="69DF1508">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b/>
          <w:bCs/>
          <w:highlight w:val="none"/>
          <w:lang w:val="en-US" w:eastAsia="zh-CN"/>
        </w:rPr>
      </w:pPr>
      <w:r>
        <w:rPr>
          <w:rFonts w:hint="eastAsia" w:ascii="Times New Roman" w:hAnsi="Times New Roman" w:eastAsia="仿宋_GB2312" w:cs="仿宋_GB2312"/>
          <w:b/>
          <w:bCs/>
          <w:highlight w:val="none"/>
          <w:lang w:val="en-US" w:eastAsia="zh-CN"/>
        </w:rPr>
        <w:t>（二）养老服务供给能力大幅增强</w:t>
      </w:r>
    </w:p>
    <w:p w14:paraId="2BBD88FB">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highlight w:val="none"/>
        </w:rPr>
      </w:pPr>
      <w:r>
        <w:rPr>
          <w:rFonts w:hint="eastAsia" w:ascii="Times New Roman" w:hAnsi="Times New Roman" w:eastAsia="仿宋_GB2312" w:cs="仿宋_GB2312"/>
          <w:highlight w:val="none"/>
        </w:rPr>
        <w:t>居家养老服务效能显著提升，建成养老家庭照护床位</w:t>
      </w:r>
      <w:r>
        <w:rPr>
          <w:rFonts w:hint="eastAsia" w:ascii="Times New Roman" w:hAnsi="Times New Roman" w:eastAsia="仿宋_GB2312" w:cs="仿宋_GB2312"/>
          <w:highlight w:val="none"/>
          <w:lang w:val="en-US" w:eastAsia="zh-CN"/>
        </w:rPr>
        <w:t>5</w:t>
      </w:r>
      <w:r>
        <w:rPr>
          <w:rFonts w:hint="eastAsia" w:ascii="Times New Roman" w:hAnsi="Times New Roman" w:eastAsia="仿宋_GB2312" w:cs="仿宋_GB2312"/>
          <w:highlight w:val="none"/>
        </w:rPr>
        <w:t>000余张，基本养老服务超70万人次；在全市率先实现</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一键呼</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智慧终端全覆盖，惠及4.8万名老年人。助餐服务网络织密扎牢，建成助餐点2</w:t>
      </w:r>
      <w:r>
        <w:rPr>
          <w:rFonts w:hint="eastAsia" w:ascii="Times New Roman" w:hAnsi="Times New Roman" w:eastAsia="仿宋_GB2312" w:cs="仿宋_GB2312"/>
          <w:highlight w:val="none"/>
          <w:lang w:val="en-US" w:eastAsia="zh-CN"/>
        </w:rPr>
        <w:t>81</w:t>
      </w:r>
      <w:r>
        <w:rPr>
          <w:rFonts w:hint="eastAsia" w:ascii="Times New Roman" w:hAnsi="Times New Roman" w:eastAsia="仿宋_GB2312" w:cs="仿宋_GB2312"/>
          <w:highlight w:val="none"/>
        </w:rPr>
        <w:t>个，城乡社区覆盖率大幅提升。农村养老补短板成效明显，引入社会资本新增农村养老机构1</w:t>
      </w:r>
      <w:r>
        <w:rPr>
          <w:rFonts w:hint="eastAsia" w:ascii="Times New Roman" w:hAnsi="Times New Roman" w:eastAsia="仿宋_GB2312" w:cs="仿宋_GB2312"/>
          <w:highlight w:val="none"/>
          <w:lang w:val="en-US" w:eastAsia="zh-CN"/>
        </w:rPr>
        <w:t>5</w:t>
      </w:r>
      <w:r>
        <w:rPr>
          <w:rFonts w:hint="eastAsia" w:ascii="Times New Roman" w:hAnsi="Times New Roman" w:eastAsia="仿宋_GB2312" w:cs="仿宋_GB2312"/>
          <w:highlight w:val="none"/>
        </w:rPr>
        <w:t>家，农村机构占比超</w:t>
      </w:r>
      <w:r>
        <w:rPr>
          <w:rFonts w:hint="eastAsia" w:ascii="Times New Roman" w:hAnsi="Times New Roman" w:eastAsia="仿宋_GB2312" w:cs="仿宋_GB2312"/>
          <w:highlight w:val="none"/>
          <w:lang w:eastAsia="zh-CN"/>
        </w:rPr>
        <w:t>六</w:t>
      </w:r>
      <w:r>
        <w:rPr>
          <w:rFonts w:hint="eastAsia" w:ascii="Times New Roman" w:hAnsi="Times New Roman" w:eastAsia="仿宋_GB2312" w:cs="仿宋_GB2312"/>
          <w:highlight w:val="none"/>
        </w:rPr>
        <w:t>成，城乡养老服务均衡发展形势向好。朝阳区被民政部、财政部评为第四批中央财政支持开展居家和社区养老服务改革试点优秀地区，获批居家和社区基本养老服务提升行动试点单位并圆满完成任务，被纳入积极应对人口老龄化重点联系城市（区），朝阳区居家和社区养老服务模式被中国民生发展论坛确定为2022民生示范工程。</w:t>
      </w:r>
    </w:p>
    <w:p w14:paraId="7D0E9986">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b/>
          <w:bCs/>
          <w:highlight w:val="none"/>
          <w:lang w:val="en-US" w:eastAsia="zh-CN"/>
        </w:rPr>
      </w:pPr>
      <w:r>
        <w:rPr>
          <w:rFonts w:hint="eastAsia" w:ascii="Times New Roman" w:hAnsi="Times New Roman" w:eastAsia="仿宋_GB2312" w:cs="仿宋_GB2312"/>
          <w:b/>
          <w:bCs/>
          <w:highlight w:val="none"/>
          <w:lang w:val="en-US" w:eastAsia="zh-CN"/>
        </w:rPr>
        <w:t>（三）医养康养与服务质量深度融合</w:t>
      </w:r>
    </w:p>
    <w:p w14:paraId="252C969B">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highlight w:val="none"/>
          <w:lang w:val="en-US" w:eastAsia="zh-CN"/>
        </w:rPr>
      </w:pPr>
      <w:bookmarkStart w:id="16" w:name="_Toc9864"/>
      <w:bookmarkStart w:id="17" w:name="_Toc24841"/>
      <w:r>
        <w:rPr>
          <w:rFonts w:hint="eastAsia" w:ascii="Times New Roman" w:hAnsi="Times New Roman" w:eastAsia="仿宋_GB2312" w:cs="仿宋_GB2312"/>
          <w:highlight w:val="none"/>
        </w:rPr>
        <w:t>医养结合深化创新，首创</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驿站内设护理站</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模式并获推广，</w:t>
      </w:r>
      <w:r>
        <w:rPr>
          <w:rFonts w:hint="eastAsia" w:ascii="仿宋_GB2312" w:hAnsi="仿宋_GB2312" w:eastAsia="仿宋_GB2312" w:cs="仿宋_GB2312"/>
          <w:sz w:val="32"/>
          <w:szCs w:val="32"/>
          <w:highlight w:val="none"/>
        </w:rPr>
        <w:t>医养结合机构</w:t>
      </w:r>
      <w:r>
        <w:rPr>
          <w:rFonts w:hint="eastAsia" w:ascii="Times New Roman" w:hAnsi="Times New Roman" w:eastAsia="仿宋_GB2312" w:cs="仿宋_GB2312"/>
          <w:highlight w:val="none"/>
        </w:rPr>
        <w:t>达48家，医疗与养老资源实现无缝对接。服务质量标杆引领，养老机构星级评定覆盖率达8</w:t>
      </w:r>
      <w:r>
        <w:rPr>
          <w:rFonts w:hint="eastAsia" w:ascii="Times New Roman" w:hAnsi="Times New Roman" w:eastAsia="仿宋_GB2312" w:cs="仿宋_GB2312"/>
          <w:highlight w:val="none"/>
          <w:lang w:val="en-US" w:eastAsia="zh-CN"/>
        </w:rPr>
        <w:t>0</w:t>
      </w:r>
      <w:r>
        <w:rPr>
          <w:rFonts w:hint="eastAsia" w:ascii="Times New Roman" w:hAnsi="Times New Roman" w:eastAsia="仿宋_GB2312" w:cs="仿宋_GB2312"/>
          <w:highlight w:val="none"/>
        </w:rPr>
        <w:t>％，四星级以上机构数量及服务质量稳居全市前列。人才队伍量质齐升，实施护理员岗位津贴制度，万名老人拥有护理员数</w:t>
      </w:r>
      <w:r>
        <w:rPr>
          <w:rFonts w:hint="eastAsia" w:ascii="Times New Roman" w:hAnsi="Times New Roman" w:eastAsia="仿宋_GB2312" w:cs="仿宋_GB2312"/>
          <w:highlight w:val="none"/>
          <w:lang w:eastAsia="zh-CN"/>
        </w:rPr>
        <w:t>超</w:t>
      </w:r>
      <w:r>
        <w:rPr>
          <w:rFonts w:hint="eastAsia" w:ascii="Times New Roman" w:hAnsi="Times New Roman" w:eastAsia="仿宋_GB2312" w:cs="仿宋_GB2312"/>
          <w:highlight w:val="none"/>
          <w:lang w:val="en-US" w:eastAsia="zh-CN"/>
        </w:rPr>
        <w:t>81</w:t>
      </w:r>
      <w:r>
        <w:rPr>
          <w:rFonts w:hint="eastAsia" w:ascii="Times New Roman" w:hAnsi="Times New Roman" w:eastAsia="仿宋_GB2312" w:cs="仿宋_GB2312"/>
          <w:highlight w:val="none"/>
        </w:rPr>
        <w:t>名。京津冀协同走深走实，建设协同养老床位1400余张，跨区域养老资源共享机制日益成熟。</w:t>
      </w:r>
      <w:bookmarkEnd w:id="16"/>
      <w:bookmarkEnd w:id="17"/>
    </w:p>
    <w:p w14:paraId="068292B6">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楷体_GB2312" w:cs="楷体_GB2312"/>
          <w:highlight w:val="none"/>
          <w:lang w:val="en-US" w:eastAsia="zh-CN"/>
        </w:rPr>
      </w:pPr>
      <w:bookmarkStart w:id="18" w:name="_Toc30717"/>
      <w:r>
        <w:rPr>
          <w:rFonts w:hint="eastAsia" w:ascii="Times New Roman" w:hAnsi="Times New Roman" w:eastAsia="楷体_GB2312" w:cs="楷体_GB2312"/>
          <w:highlight w:val="none"/>
          <w:lang w:val="en-US" w:eastAsia="zh-CN"/>
        </w:rPr>
        <w:t>二、基本民生保障网络牢固，保障能力显著提升</w:t>
      </w:r>
      <w:bookmarkEnd w:id="15"/>
      <w:bookmarkEnd w:id="18"/>
    </w:p>
    <w:p w14:paraId="1C013D31">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highlight w:val="none"/>
        </w:rPr>
      </w:pPr>
      <w:r>
        <w:rPr>
          <w:rFonts w:hint="eastAsia" w:ascii="Times New Roman" w:hAnsi="Times New Roman" w:eastAsia="仿宋_GB2312" w:cs="仿宋_GB2312"/>
          <w:highlight w:val="none"/>
        </w:rPr>
        <w:t>坚持以人民为中心，持续深化社会救助制度改革，构建起分层分类、城乡统筹、精准高效的社会救助体系，确保困难群众共享改革发展成果。</w:t>
      </w:r>
    </w:p>
    <w:p w14:paraId="710FF29C">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b/>
          <w:bCs/>
          <w:highlight w:val="none"/>
          <w:lang w:val="en-US" w:eastAsia="zh-CN"/>
        </w:rPr>
      </w:pPr>
      <w:r>
        <w:rPr>
          <w:rFonts w:hint="eastAsia" w:ascii="Times New Roman" w:hAnsi="Times New Roman" w:eastAsia="仿宋_GB2312" w:cs="仿宋_GB2312"/>
          <w:b/>
          <w:bCs/>
          <w:highlight w:val="none"/>
          <w:lang w:val="en-US" w:eastAsia="zh-CN"/>
        </w:rPr>
        <w:t>（一）社会救助体系建设与应急效能同步提升</w:t>
      </w:r>
    </w:p>
    <w:p w14:paraId="7F6E9ECE">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highlight w:val="none"/>
        </w:rPr>
      </w:pPr>
      <w:r>
        <w:rPr>
          <w:rFonts w:hint="eastAsia" w:ascii="Times New Roman" w:hAnsi="Times New Roman" w:eastAsia="仿宋_GB2312" w:cs="仿宋_GB2312"/>
          <w:highlight w:val="none"/>
        </w:rPr>
        <w:t>实行</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大数据比对＋铁脚板核查</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双轮驱动机制，推动部门数据联通，实现低收入人口动态监测与主动发现常态化。深化</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放管服</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改革，救助标准动态调整机制运行顺畅，审批时限大幅压缩。</w:t>
      </w:r>
      <w:r>
        <w:rPr>
          <w:rFonts w:hint="eastAsia" w:ascii="Times New Roman" w:hAnsi="Times New Roman" w:eastAsia="仿宋_GB2312" w:cs="仿宋_GB2312"/>
          <w:highlight w:val="none"/>
          <w:lang w:eastAsia="zh-CN"/>
        </w:rPr>
        <w:t>截至“</w:t>
      </w:r>
      <w:r>
        <w:rPr>
          <w:rFonts w:hint="eastAsia" w:ascii="Times New Roman" w:hAnsi="Times New Roman" w:eastAsia="仿宋_GB2312" w:cs="仿宋_GB2312"/>
          <w:highlight w:val="none"/>
          <w:lang w:val="en-US" w:eastAsia="zh-CN"/>
        </w:rPr>
        <w:t>十四五末，</w:t>
      </w:r>
      <w:r>
        <w:rPr>
          <w:rFonts w:hint="eastAsia" w:ascii="Times New Roman" w:hAnsi="Times New Roman" w:eastAsia="仿宋_GB2312" w:cs="仿宋_GB2312"/>
          <w:highlight w:val="none"/>
        </w:rPr>
        <w:t>全区保障各类对象1.1万余人，特困人员集中供养率保持100％。应急救助能力显著增强，突发公共卫生事件应急救助及长期照料床位建设全面达标，有效化解突发性、紧迫性民生风险。</w:t>
      </w:r>
    </w:p>
    <w:p w14:paraId="48586A62">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b/>
          <w:bCs/>
          <w:highlight w:val="none"/>
          <w:lang w:val="en-US" w:eastAsia="zh-CN"/>
        </w:rPr>
      </w:pPr>
      <w:r>
        <w:rPr>
          <w:rFonts w:hint="eastAsia" w:ascii="Times New Roman" w:hAnsi="Times New Roman" w:eastAsia="仿宋_GB2312" w:cs="仿宋_GB2312"/>
          <w:b/>
          <w:bCs/>
          <w:highlight w:val="none"/>
          <w:lang w:val="en-US" w:eastAsia="zh-CN"/>
        </w:rPr>
        <w:t>（二）未成年人保护体系与关爱服务不断完善</w:t>
      </w:r>
    </w:p>
    <w:p w14:paraId="0485CE05">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highlight w:val="none"/>
        </w:rPr>
      </w:pPr>
      <w:r>
        <w:rPr>
          <w:rFonts w:hint="eastAsia" w:ascii="Times New Roman" w:hAnsi="Times New Roman" w:eastAsia="仿宋_GB2312" w:cs="仿宋_GB2312"/>
          <w:highlight w:val="none"/>
        </w:rPr>
        <w:t>构建</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六位一体</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未成年人保护格局，区、街乡未成年人保护工作网络实现全覆盖。孤儿及事实无人抚养儿童基本生活费标准提升至每月2650元，累计为9107人次儿童发放生活费1928.5万元，助学医疗保障惠及约3000人次528万元。推动关爱服务由物质保障向精神关爱拓展，专业社工服务与机构养育、医疗、康复、教育环境优化同步推进，全国儿童信息系统数据录入量居全市首位，获评北京市未成年人保护工作先进集体。</w:t>
      </w:r>
    </w:p>
    <w:p w14:paraId="4293CE38">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b/>
          <w:bCs/>
          <w:highlight w:val="none"/>
          <w:lang w:val="en-US" w:eastAsia="zh-CN"/>
        </w:rPr>
      </w:pPr>
      <w:r>
        <w:rPr>
          <w:rFonts w:hint="eastAsia" w:ascii="Times New Roman" w:hAnsi="Times New Roman" w:eastAsia="仿宋_GB2312" w:cs="仿宋_GB2312"/>
          <w:b/>
          <w:bCs/>
          <w:highlight w:val="none"/>
          <w:lang w:val="en-US" w:eastAsia="zh-CN"/>
        </w:rPr>
        <w:t>（三）重点群体保障与服务水平稳步提升</w:t>
      </w:r>
    </w:p>
    <w:p w14:paraId="4A75CD27">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highlight w:val="none"/>
        </w:rPr>
      </w:pPr>
      <w:r>
        <w:rPr>
          <w:rFonts w:hint="eastAsia" w:ascii="Times New Roman" w:hAnsi="Times New Roman" w:eastAsia="仿宋_GB2312" w:cs="仿宋_GB2312"/>
          <w:highlight w:val="none"/>
        </w:rPr>
        <w:t>残疾人保障精准有力，全面落实残疾人</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两项补贴</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制度，实现应补尽补、精准发放，全区享受困难残疾人生活补贴5666人，享受重度残疾人护理补贴9815人。基本康复服务与辅具适配实现全覆盖。精神障碍</w:t>
      </w:r>
      <w:r>
        <w:rPr>
          <w:rFonts w:hint="eastAsia" w:ascii="Times New Roman" w:hAnsi="Times New Roman" w:eastAsia="仿宋_GB2312" w:cs="仿宋_GB2312"/>
          <w:highlight w:val="none"/>
          <w:lang w:eastAsia="zh-CN"/>
        </w:rPr>
        <w:t>社区</w:t>
      </w:r>
      <w:r>
        <w:rPr>
          <w:rFonts w:hint="eastAsia" w:ascii="Times New Roman" w:hAnsi="Times New Roman" w:eastAsia="仿宋_GB2312" w:cs="仿宋_GB2312"/>
          <w:highlight w:val="none"/>
        </w:rPr>
        <w:t>康复</w:t>
      </w:r>
      <w:r>
        <w:rPr>
          <w:rFonts w:hint="eastAsia" w:ascii="Times New Roman" w:hAnsi="Times New Roman" w:eastAsia="仿宋_GB2312" w:cs="仿宋_GB2312"/>
          <w:highlight w:val="none"/>
          <w:lang w:eastAsia="zh-CN"/>
        </w:rPr>
        <w:t>服务</w:t>
      </w:r>
      <w:r>
        <w:rPr>
          <w:rFonts w:hint="eastAsia" w:ascii="Times New Roman" w:hAnsi="Times New Roman" w:eastAsia="仿宋_GB2312" w:cs="仿宋_GB2312"/>
          <w:highlight w:val="none"/>
        </w:rPr>
        <w:t>特色鲜明，被民政部选为全国精神障碍社区康复服务试点项目区，负责统筹开展全国试点工作，创</w:t>
      </w:r>
      <w:r>
        <w:rPr>
          <w:rFonts w:hint="eastAsia" w:ascii="Times New Roman" w:hAnsi="Times New Roman" w:eastAsia="仿宋_GB2312" w:cs="仿宋_GB2312"/>
          <w:highlight w:val="none"/>
          <w:lang w:eastAsia="zh-CN"/>
        </w:rPr>
        <w:t>建“</w:t>
      </w:r>
      <w:r>
        <w:rPr>
          <w:rFonts w:hint="eastAsia" w:ascii="Times New Roman" w:hAnsi="Times New Roman" w:eastAsia="仿宋_GB2312" w:cs="仿宋_GB2312"/>
          <w:highlight w:val="none"/>
        </w:rPr>
        <w:t>一统两融合，四联四协同</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服务体系，实现街乡康复服务</w:t>
      </w:r>
      <w:r>
        <w:rPr>
          <w:rFonts w:hint="eastAsia" w:ascii="Times New Roman" w:hAnsi="Times New Roman" w:eastAsia="仿宋_GB2312" w:cs="仿宋_GB2312"/>
          <w:highlight w:val="none"/>
          <w:lang w:eastAsia="zh-CN"/>
        </w:rPr>
        <w:t>站点</w:t>
      </w:r>
      <w:r>
        <w:rPr>
          <w:rFonts w:hint="eastAsia" w:ascii="Times New Roman" w:hAnsi="Times New Roman" w:eastAsia="仿宋_GB2312" w:cs="仿宋_GB2312"/>
          <w:highlight w:val="none"/>
        </w:rPr>
        <w:t>全覆盖，服务效能显著提升。超转保障与流浪救助规范运行，征地超转待遇发放规范有序，有力维护社会稳定；流浪乞讨救助网络全天候运行，极端天气专项救助机制完善，成功帮助</w:t>
      </w:r>
      <w:r>
        <w:rPr>
          <w:rFonts w:hint="eastAsia" w:ascii="Times New Roman" w:hAnsi="Times New Roman" w:eastAsia="仿宋_GB2312" w:cs="仿宋_GB2312"/>
          <w:highlight w:val="none"/>
          <w:lang w:val="en-US" w:eastAsia="zh-CN"/>
        </w:rPr>
        <w:t>62</w:t>
      </w:r>
      <w:r>
        <w:rPr>
          <w:rFonts w:hint="eastAsia" w:ascii="Times New Roman" w:hAnsi="Times New Roman" w:eastAsia="仿宋_GB2312" w:cs="仿宋_GB2312"/>
          <w:highlight w:val="none"/>
        </w:rPr>
        <w:t>名受助人员寻亲返乡，兜底保障温度充分彰显。</w:t>
      </w:r>
    </w:p>
    <w:p w14:paraId="41372B3A">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楷体_GB2312" w:cs="楷体_GB2312"/>
          <w:highlight w:val="none"/>
          <w:lang w:val="en-US" w:eastAsia="zh-CN"/>
        </w:rPr>
      </w:pPr>
      <w:bookmarkStart w:id="19" w:name="_Toc20732"/>
      <w:r>
        <w:rPr>
          <w:rFonts w:hint="eastAsia" w:ascii="Times New Roman" w:hAnsi="Times New Roman" w:eastAsia="楷体_GB2312" w:cs="楷体_GB2312"/>
          <w:highlight w:val="none"/>
          <w:lang w:val="en-US" w:eastAsia="zh-CN"/>
        </w:rPr>
        <w:t>三、基本社会服务便民利民，专项事务规范高效</w:t>
      </w:r>
      <w:bookmarkEnd w:id="19"/>
    </w:p>
    <w:p w14:paraId="6F72A979">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highlight w:val="none"/>
        </w:rPr>
      </w:pPr>
      <w:r>
        <w:rPr>
          <w:rFonts w:hint="eastAsia" w:ascii="Times New Roman" w:hAnsi="Times New Roman" w:eastAsia="仿宋_GB2312" w:cs="仿宋_GB2312"/>
          <w:highlight w:val="none"/>
        </w:rPr>
        <w:t>深化</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放管服</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改革，坚持公益属性与服务品质并重，全面提升专项社会事务管理的法治化、标准化、人性化水平，群众办事满意度与获得感显著增强。</w:t>
      </w:r>
    </w:p>
    <w:p w14:paraId="6D63383C">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b/>
          <w:bCs/>
          <w:highlight w:val="none"/>
          <w:lang w:val="en-US" w:eastAsia="zh-CN"/>
        </w:rPr>
      </w:pPr>
      <w:r>
        <w:rPr>
          <w:rFonts w:hint="eastAsia" w:ascii="Times New Roman" w:hAnsi="Times New Roman" w:eastAsia="仿宋_GB2312" w:cs="仿宋_GB2312"/>
          <w:b/>
          <w:bCs/>
          <w:highlight w:val="none"/>
          <w:lang w:val="en-US" w:eastAsia="zh-CN"/>
        </w:rPr>
        <w:t>（一）婚姻登记服务打造行业标杆，婚俗改革深入推进</w:t>
      </w:r>
    </w:p>
    <w:p w14:paraId="6D7800FE">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highlight w:val="none"/>
        </w:rPr>
      </w:pPr>
      <w:r>
        <w:rPr>
          <w:rFonts w:hint="eastAsia" w:ascii="Times New Roman" w:hAnsi="Times New Roman" w:eastAsia="仿宋_GB2312" w:cs="仿宋_GB2312"/>
          <w:highlight w:val="none"/>
        </w:rPr>
        <w:t>对标国家5A级标准打造规范化婚姻登记机关，硬件设施全市领先。深化婚俗改革，创新“云颁证”、“互联网＋”咨询等特色服务，实现从“程序化办公”向“温情化服务”的根本转变。积极落实婚姻登记“跨省通办”试点工作，推行婚登婚检“一站式”办理。常态化开展结婚颁证与婚姻家庭辅导，年均服务量及辅导成效位居全市前列。成功获评北京市“5A级婚姻登记机关”，形成的婚俗改革“朝阳经验”在全市推广。</w:t>
      </w:r>
    </w:p>
    <w:p w14:paraId="28280133">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b/>
          <w:bCs/>
          <w:highlight w:val="none"/>
          <w:lang w:val="en-US" w:eastAsia="zh-CN"/>
        </w:rPr>
      </w:pPr>
      <w:r>
        <w:rPr>
          <w:rFonts w:hint="eastAsia" w:ascii="Times New Roman" w:hAnsi="Times New Roman" w:eastAsia="仿宋_GB2312" w:cs="仿宋_GB2312"/>
          <w:b/>
          <w:bCs/>
          <w:highlight w:val="none"/>
          <w:lang w:val="en-US" w:eastAsia="zh-CN"/>
        </w:rPr>
        <w:t>（二）殡葬服务管理回归公益本位，移风易俗成效显著</w:t>
      </w:r>
    </w:p>
    <w:p w14:paraId="1A88E64D">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highlight w:val="none"/>
        </w:rPr>
      </w:pPr>
      <w:r>
        <w:rPr>
          <w:rFonts w:hint="eastAsia" w:ascii="Times New Roman" w:hAnsi="Times New Roman" w:eastAsia="仿宋_GB2312" w:cs="仿宋_GB2312"/>
          <w:highlight w:val="none"/>
          <w:lang w:val="en-US" w:eastAsia="zh-CN"/>
        </w:rPr>
        <w:t>依托</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一馆三园</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lang w:val="en-US" w:eastAsia="zh-CN"/>
        </w:rPr>
        <w:t>殡葬</w:t>
      </w:r>
      <w:r>
        <w:rPr>
          <w:rFonts w:hint="eastAsia" w:ascii="Times New Roman" w:hAnsi="Times New Roman" w:eastAsia="仿宋_GB2312" w:cs="仿宋_GB2312"/>
          <w:highlight w:val="none"/>
        </w:rPr>
        <w:t>服务</w:t>
      </w:r>
      <w:r>
        <w:rPr>
          <w:rFonts w:hint="eastAsia" w:ascii="Times New Roman" w:hAnsi="Times New Roman" w:eastAsia="仿宋_GB2312" w:cs="仿宋_GB2312"/>
          <w:highlight w:val="none"/>
          <w:lang w:val="en-US" w:eastAsia="zh-CN"/>
        </w:rPr>
        <w:t>机构</w:t>
      </w:r>
      <w:r>
        <w:rPr>
          <w:rFonts w:hint="eastAsia" w:ascii="Times New Roman" w:hAnsi="Times New Roman" w:eastAsia="仿宋_GB2312" w:cs="仿宋_GB2312"/>
          <w:highlight w:val="none"/>
        </w:rPr>
        <w:t>，殡葬服务保障能力稳步提升，圆满完成清明等重点时段祭扫保障任务，累计接待群众逾86万人次，实现安全有序目标。严格落实</w:t>
      </w:r>
      <w:r>
        <w:rPr>
          <w:rFonts w:hint="eastAsia" w:ascii="Times New Roman" w:hAnsi="Times New Roman" w:eastAsia="仿宋_GB2312" w:cs="仿宋_GB2312"/>
          <w:highlight w:val="none"/>
          <w:lang w:val="en-US" w:eastAsia="zh-CN"/>
        </w:rPr>
        <w:t>城乡无丧葬补助居民丧葬补贴</w:t>
      </w:r>
      <w:r>
        <w:rPr>
          <w:rFonts w:hint="eastAsia" w:ascii="Times New Roman" w:hAnsi="Times New Roman" w:eastAsia="仿宋_GB2312" w:cs="仿宋_GB2312"/>
          <w:highlight w:val="none"/>
        </w:rPr>
        <w:t>等惠民政策，</w:t>
      </w:r>
      <w:r>
        <w:rPr>
          <w:rFonts w:hint="eastAsia" w:ascii="Times New Roman" w:hAnsi="Times New Roman" w:eastAsia="仿宋_GB2312" w:cs="仿宋_GB2312"/>
          <w:highlight w:val="none"/>
          <w:lang w:val="en-US" w:eastAsia="zh-CN"/>
        </w:rPr>
        <w:t>保障特殊人群权益</w:t>
      </w:r>
      <w:r>
        <w:rPr>
          <w:rFonts w:hint="eastAsia" w:ascii="Times New Roman" w:hAnsi="Times New Roman" w:eastAsia="仿宋_GB2312" w:cs="仿宋_GB2312"/>
          <w:highlight w:val="none"/>
        </w:rPr>
        <w:t>。</w:t>
      </w:r>
      <w:r>
        <w:rPr>
          <w:rFonts w:hint="eastAsia" w:ascii="Times New Roman" w:hAnsi="Times New Roman" w:eastAsia="仿宋_GB2312" w:cs="仿宋_GB2312"/>
          <w:highlight w:val="none"/>
          <w:lang w:val="en-US" w:eastAsia="zh-CN"/>
        </w:rPr>
        <w:t>联合相关部门出台《推进殡葬领域联合监管工作方案》，</w:t>
      </w:r>
      <w:r>
        <w:rPr>
          <w:rFonts w:hint="eastAsia" w:ascii="Times New Roman" w:hAnsi="Times New Roman" w:eastAsia="仿宋_GB2312" w:cs="仿宋_GB2312"/>
          <w:highlight w:val="none"/>
        </w:rPr>
        <w:t>深入开展散葬坟墓治理，</w:t>
      </w:r>
      <w:r>
        <w:rPr>
          <w:rFonts w:hint="eastAsia" w:ascii="Times New Roman" w:hAnsi="Times New Roman" w:eastAsia="仿宋_GB2312" w:cs="仿宋_GB2312"/>
          <w:highlight w:val="none"/>
          <w:lang w:val="en-US" w:eastAsia="zh-CN"/>
        </w:rPr>
        <w:t>殡葬领域管理服务规范化水平全面提升</w:t>
      </w:r>
      <w:r>
        <w:rPr>
          <w:rFonts w:hint="eastAsia" w:ascii="Times New Roman" w:hAnsi="Times New Roman" w:eastAsia="仿宋_GB2312" w:cs="仿宋_GB2312"/>
          <w:highlight w:val="none"/>
        </w:rPr>
        <w:t>。</w:t>
      </w:r>
    </w:p>
    <w:p w14:paraId="3B64A261">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b/>
          <w:bCs/>
          <w:highlight w:val="none"/>
          <w:lang w:val="en-US" w:eastAsia="zh-CN"/>
        </w:rPr>
      </w:pPr>
      <w:r>
        <w:rPr>
          <w:rFonts w:hint="eastAsia" w:ascii="Times New Roman" w:hAnsi="Times New Roman" w:eastAsia="仿宋_GB2312" w:cs="仿宋_GB2312"/>
          <w:b/>
          <w:bCs/>
          <w:highlight w:val="none"/>
          <w:lang w:val="en-US" w:eastAsia="zh-CN"/>
        </w:rPr>
        <w:t>（三）弘扬见义勇为精神，树立社会正义正气</w:t>
      </w:r>
    </w:p>
    <w:p w14:paraId="58784877">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highlight w:val="none"/>
        </w:rPr>
      </w:pPr>
      <w:r>
        <w:rPr>
          <w:rFonts w:hint="eastAsia" w:ascii="Times New Roman" w:hAnsi="Times New Roman" w:eastAsia="仿宋_GB2312" w:cs="仿宋_GB2312"/>
          <w:highlight w:val="none"/>
        </w:rPr>
        <w:t>见义勇为权益保障机制健全，确认流程规范，累计确认见义勇为人员21名，通过</w:t>
      </w:r>
      <w:r>
        <w:rPr>
          <w:rFonts w:hint="eastAsia" w:ascii="Times New Roman" w:hAnsi="Times New Roman" w:eastAsia="仿宋_GB2312" w:cs="仿宋_GB2312"/>
          <w:highlight w:val="none"/>
          <w:lang w:val="en-US" w:eastAsia="zh-CN"/>
        </w:rPr>
        <w:t>规范化</w:t>
      </w:r>
      <w:r>
        <w:rPr>
          <w:rFonts w:hint="eastAsia" w:ascii="Times New Roman" w:hAnsi="Times New Roman" w:eastAsia="仿宋_GB2312" w:cs="仿宋_GB2312"/>
          <w:highlight w:val="none"/>
        </w:rPr>
        <w:t>的奖励慰问与</w:t>
      </w:r>
      <w:r>
        <w:rPr>
          <w:rFonts w:hint="eastAsia" w:ascii="Times New Roman" w:hAnsi="Times New Roman" w:eastAsia="仿宋_GB2312" w:cs="仿宋_GB2312"/>
          <w:highlight w:val="none"/>
          <w:lang w:val="en-US" w:eastAsia="zh-CN"/>
        </w:rPr>
        <w:t>精准</w:t>
      </w:r>
      <w:r>
        <w:rPr>
          <w:rFonts w:hint="eastAsia" w:ascii="Times New Roman" w:hAnsi="Times New Roman" w:eastAsia="仿宋_GB2312" w:cs="仿宋_GB2312"/>
          <w:highlight w:val="none"/>
        </w:rPr>
        <w:t>困难帮扶，在全区营造了</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崇尚英雄、关爱英雄</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的浓厚社会氛围。</w:t>
      </w:r>
    </w:p>
    <w:p w14:paraId="2AAC1380">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楷体_GB2312" w:cs="楷体_GB2312"/>
          <w:highlight w:val="none"/>
        </w:rPr>
      </w:pPr>
      <w:bookmarkStart w:id="20" w:name="_Toc16653"/>
      <w:bookmarkStart w:id="21" w:name="_Toc11529"/>
      <w:r>
        <w:rPr>
          <w:rFonts w:hint="eastAsia" w:ascii="Times New Roman" w:hAnsi="Times New Roman" w:eastAsia="楷体_GB2312" w:cs="楷体_GB2312"/>
          <w:highlight w:val="none"/>
          <w:lang w:val="en-US" w:eastAsia="zh-CN"/>
        </w:rPr>
        <w:t>四、</w:t>
      </w:r>
      <w:r>
        <w:rPr>
          <w:rFonts w:hint="eastAsia" w:ascii="Times New Roman" w:hAnsi="Times New Roman" w:eastAsia="楷体_GB2312" w:cs="楷体_GB2312"/>
          <w:highlight w:val="none"/>
        </w:rPr>
        <w:t>社会治理格局共建共享，慈善活力充分激发</w:t>
      </w:r>
      <w:bookmarkEnd w:id="20"/>
      <w:bookmarkEnd w:id="21"/>
    </w:p>
    <w:p w14:paraId="5496A73B">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highlight w:val="none"/>
        </w:rPr>
      </w:pPr>
      <w:r>
        <w:rPr>
          <w:rFonts w:hint="eastAsia" w:ascii="Times New Roman" w:hAnsi="Times New Roman" w:eastAsia="仿宋_GB2312" w:cs="仿宋_GB2312"/>
          <w:highlight w:val="none"/>
        </w:rPr>
        <w:t>坚持党建引领与社会化发展并重，推动治理重心下移、资源下沉，构建起主体多元、机制健全、共建共享的基层社会治理新格局。</w:t>
      </w:r>
    </w:p>
    <w:p w14:paraId="77C99A8F">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b/>
          <w:bCs/>
          <w:highlight w:val="none"/>
          <w:lang w:val="en-US" w:eastAsia="zh-CN"/>
        </w:rPr>
      </w:pPr>
      <w:r>
        <w:rPr>
          <w:rFonts w:hint="eastAsia" w:ascii="Times New Roman" w:hAnsi="Times New Roman" w:eastAsia="仿宋_GB2312" w:cs="仿宋_GB2312"/>
          <w:b/>
          <w:bCs/>
          <w:highlight w:val="none"/>
          <w:lang w:val="en-US" w:eastAsia="zh-CN"/>
        </w:rPr>
        <w:t>（一）社会组织培育体系与参与治理效能持续增强</w:t>
      </w:r>
    </w:p>
    <w:p w14:paraId="37DE0E13">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highlight w:val="none"/>
        </w:rPr>
      </w:pPr>
      <w:r>
        <w:rPr>
          <w:rFonts w:hint="eastAsia" w:ascii="Times New Roman" w:hAnsi="Times New Roman" w:eastAsia="仿宋_GB2312" w:cs="仿宋_GB2312"/>
          <w:highlight w:val="none"/>
        </w:rPr>
        <w:t>构建</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一中心、多基地、N空间</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的立体化培育孵化矩阵，投入资金2200余万元，实现区级及43个街乡培育孵化中心、社区社会组织联合会全覆盖。截至</w:t>
      </w:r>
      <w:r>
        <w:rPr>
          <w:rFonts w:hint="eastAsia" w:ascii="Times New Roman" w:hAnsi="Times New Roman" w:eastAsia="仿宋_GB2312" w:cs="仿宋_GB2312"/>
          <w:highlight w:val="none"/>
          <w:lang w:eastAsia="zh-CN"/>
        </w:rPr>
        <w:t>“十四五”末</w:t>
      </w:r>
      <w:r>
        <w:rPr>
          <w:rFonts w:hint="eastAsia" w:ascii="Times New Roman" w:hAnsi="Times New Roman" w:eastAsia="仿宋_GB2312" w:cs="仿宋_GB2312"/>
          <w:highlight w:val="none"/>
        </w:rPr>
        <w:t>，全区登记社会组织9</w:t>
      </w:r>
      <w:r>
        <w:rPr>
          <w:rFonts w:hint="eastAsia" w:ascii="Times New Roman" w:hAnsi="Times New Roman" w:eastAsia="仿宋_GB2312" w:cs="仿宋_GB2312"/>
          <w:highlight w:val="none"/>
          <w:lang w:val="en-US" w:eastAsia="zh-CN"/>
        </w:rPr>
        <w:t>50</w:t>
      </w:r>
      <w:r>
        <w:rPr>
          <w:rFonts w:hint="eastAsia" w:ascii="Times New Roman" w:hAnsi="Times New Roman" w:eastAsia="仿宋_GB2312" w:cs="仿宋_GB2312"/>
          <w:highlight w:val="none"/>
        </w:rPr>
        <w:t>家，培育社区社会组织9730家，总量与质量均居全市前列。强化</w:t>
      </w:r>
      <w:r>
        <w:rPr>
          <w:rFonts w:hint="eastAsia" w:ascii="Times New Roman" w:hAnsi="Times New Roman" w:eastAsia="仿宋_GB2312" w:cs="仿宋_GB2312"/>
          <w:highlight w:val="none"/>
          <w:lang w:eastAsia="zh-CN"/>
        </w:rPr>
        <w:t>社区</w:t>
      </w:r>
      <w:r>
        <w:rPr>
          <w:rFonts w:hint="eastAsia" w:ascii="Times New Roman" w:hAnsi="Times New Roman" w:eastAsia="仿宋_GB2312" w:cs="仿宋_GB2312"/>
          <w:highlight w:val="none"/>
        </w:rPr>
        <w:t>社会组织在基层治理中的</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生力军</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作用，引导其深度融入</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邻里守望</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等治理实践，</w:t>
      </w:r>
      <w:r>
        <w:rPr>
          <w:rFonts w:hint="eastAsia" w:ascii="Times New Roman" w:hAnsi="Times New Roman" w:eastAsia="仿宋_GB2312" w:cs="仿宋_GB2312"/>
          <w:highlight w:val="none"/>
          <w:lang w:val="en-US" w:eastAsia="zh-CN"/>
        </w:rPr>
        <w:t>累计</w:t>
      </w:r>
      <w:r>
        <w:rPr>
          <w:rFonts w:hint="eastAsia" w:ascii="Times New Roman" w:hAnsi="Times New Roman" w:eastAsia="仿宋_GB2312" w:cs="仿宋_GB2312"/>
          <w:highlight w:val="none"/>
        </w:rPr>
        <w:t>开展服务</w:t>
      </w:r>
      <w:r>
        <w:rPr>
          <w:rFonts w:hint="eastAsia" w:ascii="Times New Roman" w:hAnsi="Times New Roman" w:eastAsia="仿宋_GB2312" w:cs="仿宋_GB2312"/>
          <w:highlight w:val="none"/>
          <w:lang w:val="en-US" w:eastAsia="zh-CN"/>
        </w:rPr>
        <w:t>14</w:t>
      </w:r>
      <w:r>
        <w:rPr>
          <w:rFonts w:hint="eastAsia" w:ascii="Times New Roman" w:hAnsi="Times New Roman" w:eastAsia="仿宋_GB2312" w:cs="仿宋_GB2312"/>
          <w:highlight w:val="none"/>
        </w:rPr>
        <w:t>万余场次，惠及群众11.2万人次。建立</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有进有出</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的动态监管机制，分类治理成效显著，行业生态更加健康有序。</w:t>
      </w:r>
    </w:p>
    <w:p w14:paraId="7CB79AF4">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b/>
          <w:bCs/>
          <w:highlight w:val="none"/>
          <w:lang w:val="en-US" w:eastAsia="zh-CN"/>
        </w:rPr>
      </w:pPr>
      <w:r>
        <w:rPr>
          <w:rFonts w:hint="eastAsia" w:ascii="Times New Roman" w:hAnsi="Times New Roman" w:eastAsia="仿宋_GB2312" w:cs="仿宋_GB2312"/>
          <w:b/>
          <w:bCs/>
          <w:highlight w:val="none"/>
          <w:lang w:val="en-US" w:eastAsia="zh-CN"/>
        </w:rPr>
        <w:t>（二）“</w:t>
      </w:r>
      <w:r>
        <w:rPr>
          <w:rFonts w:hint="eastAsia" w:eastAsia="仿宋_GB2312" w:cs="仿宋_GB2312"/>
          <w:b/>
          <w:bCs/>
          <w:highlight w:val="none"/>
          <w:lang w:val="en-US" w:eastAsia="zh-CN"/>
        </w:rPr>
        <w:t>慈善朝阳</w:t>
      </w:r>
      <w:r>
        <w:rPr>
          <w:rFonts w:hint="eastAsia" w:ascii="Times New Roman" w:hAnsi="Times New Roman" w:eastAsia="仿宋_GB2312" w:cs="仿宋_GB2312"/>
          <w:b/>
          <w:bCs/>
          <w:highlight w:val="none"/>
          <w:lang w:val="en-US" w:eastAsia="zh-CN"/>
        </w:rPr>
        <w:t>”慈善品牌与精准帮扶机制成效显著</w:t>
      </w:r>
    </w:p>
    <w:p w14:paraId="510F299C">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highlight w:val="none"/>
        </w:rPr>
      </w:pPr>
      <w:r>
        <w:rPr>
          <w:rFonts w:hint="eastAsia" w:ascii="Times New Roman" w:hAnsi="Times New Roman" w:eastAsia="仿宋_GB2312" w:cs="仿宋_GB2312"/>
          <w:highlight w:val="none"/>
        </w:rPr>
        <w:t>成功打造</w:t>
      </w:r>
      <w:r>
        <w:rPr>
          <w:rFonts w:hint="eastAsia" w:ascii="Times New Roman" w:hAnsi="Times New Roman" w:eastAsia="仿宋_GB2312" w:cs="仿宋_GB2312"/>
          <w:highlight w:val="none"/>
          <w:lang w:eastAsia="zh-CN"/>
        </w:rPr>
        <w:t>“</w:t>
      </w:r>
      <w:r>
        <w:rPr>
          <w:rFonts w:hint="eastAsia" w:eastAsia="仿宋_GB2312" w:cs="仿宋_GB2312"/>
          <w:highlight w:val="none"/>
          <w:lang w:eastAsia="zh-CN"/>
        </w:rPr>
        <w:t>慈善朝阳</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区域慈善品牌，创新</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慈善＋救助</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融合发展模式。建立慈善工作站与互助基金，构建</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需求点单—组织配单—站点接单—群众评单</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的闭环服务机制，推动近百家慈善力量精准下沉基层，实现慈善资源与困难群众需求的无缝对接，形成了可复制、可推广的慈善参与社会治理</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朝阳模式</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w:t>
      </w:r>
    </w:p>
    <w:p w14:paraId="40BE8B35">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b/>
          <w:bCs/>
          <w:highlight w:val="none"/>
          <w:lang w:val="en-US" w:eastAsia="zh-CN"/>
        </w:rPr>
      </w:pPr>
      <w:r>
        <w:rPr>
          <w:rFonts w:hint="eastAsia" w:ascii="Times New Roman" w:hAnsi="Times New Roman" w:eastAsia="仿宋_GB2312" w:cs="仿宋_GB2312"/>
          <w:b/>
          <w:bCs/>
          <w:highlight w:val="none"/>
          <w:lang w:val="en-US" w:eastAsia="zh-CN"/>
        </w:rPr>
        <w:t>（三）行政区划管理科学精细</w:t>
      </w:r>
    </w:p>
    <w:p w14:paraId="5F57F390">
      <w:pPr>
        <w:keepNext w:val="0"/>
        <w:keepLines w:val="0"/>
        <w:pageBreakBefore w:val="0"/>
        <w:widowControl w:val="0"/>
        <w:numPr>
          <w:ilvl w:val="0"/>
          <w:numId w:val="0"/>
        </w:numPr>
        <w:shd w:val="clear"/>
        <w:kinsoku/>
        <w:wordWrap/>
        <w:overflowPunct/>
        <w:topLinePunct w:val="0"/>
        <w:autoSpaceDE/>
        <w:autoSpaceDN/>
        <w:bidi w:val="0"/>
        <w:adjustRightInd/>
        <w:snapToGrid/>
        <w:ind w:firstLine="640" w:firstLineChars="20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rPr>
        <w:t>行政区划基础作用充分发挥，圆满完成第四轮行政区域界线联合检查，建立界线界桩常态化巡查机制，有效优化管辖区域、消除边界隐患，有力服务城市精细化治理大局。</w:t>
      </w:r>
    </w:p>
    <w:p w14:paraId="138ED4A9">
      <w:pPr>
        <w:pStyle w:val="14"/>
        <w:keepNext w:val="0"/>
        <w:keepLines w:val="0"/>
        <w:pageBreakBefore w:val="0"/>
        <w:widowControl w:val="0"/>
        <w:shd w:val="clear"/>
        <w:kinsoku/>
        <w:wordWrap/>
        <w:overflowPunct/>
        <w:topLinePunct w:val="0"/>
        <w:autoSpaceDE/>
        <w:autoSpaceDN/>
        <w:bidi w:val="0"/>
        <w:adjustRightInd/>
        <w:snapToGrid/>
        <w:spacing w:before="292" w:beforeLines="50" w:after="292" w:afterLines="50" w:line="560" w:lineRule="exact"/>
        <w:ind w:firstLine="0" w:firstLineChars="0"/>
        <w:jc w:val="center"/>
        <w:textAlignment w:val="auto"/>
        <w:rPr>
          <w:rFonts w:hint="eastAsia" w:ascii="Times New Roman" w:hAnsi="Times New Roman" w:eastAsia="黑体" w:cs="黑体"/>
          <w:sz w:val="32"/>
          <w:szCs w:val="32"/>
          <w:highlight w:val="none"/>
          <w:lang w:val="en-US" w:eastAsia="zh-CN"/>
        </w:rPr>
      </w:pPr>
      <w:bookmarkStart w:id="22" w:name="_Toc4699"/>
      <w:bookmarkStart w:id="23" w:name="_Toc10912"/>
      <w:r>
        <w:rPr>
          <w:rFonts w:hint="eastAsia" w:ascii="Times New Roman" w:hAnsi="Times New Roman" w:eastAsia="黑体" w:cs="黑体"/>
          <w:sz w:val="32"/>
          <w:szCs w:val="32"/>
          <w:highlight w:val="none"/>
          <w:lang w:val="en-US" w:eastAsia="zh-CN"/>
        </w:rPr>
        <w:t>第二章 面临形势</w:t>
      </w:r>
      <w:bookmarkEnd w:id="22"/>
      <w:bookmarkEnd w:id="23"/>
      <w:bookmarkStart w:id="24" w:name="_Toc4791"/>
      <w:bookmarkStart w:id="25" w:name="_Toc21563"/>
      <w:bookmarkStart w:id="26" w:name="_Toc21571"/>
      <w:bookmarkStart w:id="27" w:name="_Toc21636"/>
    </w:p>
    <w:p w14:paraId="4A55BEBB">
      <w:pPr>
        <w:keepNext w:val="0"/>
        <w:keepLines w:val="0"/>
        <w:pageBreakBefore w:val="0"/>
        <w:widowControl w:val="0"/>
        <w:shd w:val="clear"/>
        <w:kinsoku/>
        <w:wordWrap/>
        <w:overflowPunct/>
        <w:topLinePunct w:val="0"/>
        <w:autoSpaceDE/>
        <w:autoSpaceDN/>
        <w:bidi w:val="0"/>
        <w:adjustRightInd/>
        <w:snapToGrid/>
        <w:textAlignment w:val="auto"/>
        <w:rPr>
          <w:rFonts w:hint="eastAsia" w:ascii="Times New Roman" w:hAnsi="Times New Roman" w:eastAsia="仿宋_GB2312" w:cs="仿宋_GB2312"/>
          <w:highlight w:val="none"/>
        </w:rPr>
      </w:pPr>
      <w:r>
        <w:rPr>
          <w:rFonts w:hint="eastAsia" w:ascii="Times New Roman" w:hAnsi="Times New Roman" w:eastAsia="仿宋_GB2312" w:cs="仿宋_GB2312"/>
          <w:highlight w:val="none"/>
        </w:rPr>
        <w:t>“十五五”时期，是我国基本实现社会主义现代化夯实基础、全面发力的关键时期，是北京率先基本实现社会主义现代化承前启后的关键五年，是朝阳建设具有国际影响力的中国式现代化强区的重要五年，也是朝阳民政事业适应新形势、满足新标准、构建新格局的窗口期。当前，朝阳区民政事业发展面临多重机遇叠加，同时也面临人口形势变化、供需结构有待优化、安全与发展统筹难度加大等挑战。</w:t>
      </w:r>
    </w:p>
    <w:bookmarkEnd w:id="24"/>
    <w:bookmarkEnd w:id="25"/>
    <w:bookmarkEnd w:id="26"/>
    <w:bookmarkEnd w:id="27"/>
    <w:p w14:paraId="786FC73C">
      <w:pPr>
        <w:keepNext w:val="0"/>
        <w:keepLines w:val="0"/>
        <w:pageBreakBefore w:val="0"/>
        <w:widowControl w:val="0"/>
        <w:shd w:val="clear"/>
        <w:kinsoku/>
        <w:wordWrap/>
        <w:overflowPunct/>
        <w:topLinePunct w:val="0"/>
        <w:autoSpaceDE/>
        <w:autoSpaceDN/>
        <w:bidi w:val="0"/>
        <w:adjustRightInd/>
        <w:snapToGrid/>
        <w:textAlignment w:val="auto"/>
        <w:rPr>
          <w:rFonts w:hint="eastAsia" w:ascii="Times New Roman" w:hAnsi="Times New Roman" w:eastAsia="楷体_GB2312" w:cs="楷体_GB2312"/>
          <w:highlight w:val="none"/>
          <w:lang w:val="en-US" w:eastAsia="zh-CN"/>
        </w:rPr>
      </w:pPr>
      <w:bookmarkStart w:id="28" w:name="_Toc32707"/>
      <w:bookmarkStart w:id="29" w:name="_Toc17828"/>
      <w:r>
        <w:rPr>
          <w:rFonts w:hint="eastAsia" w:ascii="Times New Roman" w:hAnsi="Times New Roman" w:eastAsia="楷体_GB2312" w:cs="楷体_GB2312"/>
          <w:highlight w:val="none"/>
          <w:lang w:val="en-US" w:eastAsia="zh-CN"/>
        </w:rPr>
        <w:t>一、习近平总书记重要论述为民政事业发展提供了根本遵循</w:t>
      </w:r>
      <w:bookmarkEnd w:id="28"/>
      <w:bookmarkEnd w:id="29"/>
    </w:p>
    <w:p w14:paraId="14A4E9C5">
      <w:pPr>
        <w:keepNext w:val="0"/>
        <w:keepLines w:val="0"/>
        <w:pageBreakBefore w:val="0"/>
        <w:widowControl w:val="0"/>
        <w:shd w:val="clear"/>
        <w:kinsoku/>
        <w:wordWrap/>
        <w:overflowPunct/>
        <w:topLinePunct w:val="0"/>
        <w:autoSpaceDE/>
        <w:autoSpaceDN/>
        <w:bidi w:val="0"/>
        <w:adjustRightInd/>
        <w:snapToGrid/>
        <w:textAlignment w:val="auto"/>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lang w:val="en-US" w:eastAsia="zh-CN"/>
        </w:rPr>
        <w:t>习近平总书记对民政工作作出一系列重要论述，深刻阐明了民政工作的方向性、根本性、全局性、战略性问题，为新时代新征程推动民政事业高质量发展提供了根本遵循、注入了强大动力。党的二十届四中全会和市委十三届七次全会，对未来五年发展作出顶层设计和战略擘画，明确民政事业发展方向和目标要求。“十五五”时期，朝阳民政要主动对标中央与北京市决策部署，在推动更加普惠均等、完善“四个体系”、提升“两个着力”水平、实现高质量发展上下功夫，更好发挥民政事业在区域高质量发展和社会稳定中的基础支撑作用，把习近平总书记关于民政工作的重要论述转化为服务中国式现代化强区建设的具体实践。</w:t>
      </w:r>
    </w:p>
    <w:p w14:paraId="2A3875B9">
      <w:pPr>
        <w:keepNext w:val="0"/>
        <w:keepLines w:val="0"/>
        <w:pageBreakBefore w:val="0"/>
        <w:widowControl w:val="0"/>
        <w:shd w:val="clear"/>
        <w:kinsoku/>
        <w:wordWrap/>
        <w:overflowPunct/>
        <w:topLinePunct w:val="0"/>
        <w:autoSpaceDE/>
        <w:autoSpaceDN/>
        <w:bidi w:val="0"/>
        <w:adjustRightInd/>
        <w:snapToGrid/>
        <w:textAlignment w:val="auto"/>
        <w:rPr>
          <w:rFonts w:hint="eastAsia" w:ascii="Times New Roman" w:hAnsi="Times New Roman" w:eastAsia="楷体_GB2312" w:cs="楷体_GB2312"/>
          <w:highlight w:val="none"/>
          <w:lang w:val="en-US" w:eastAsia="zh-CN"/>
        </w:rPr>
      </w:pPr>
      <w:bookmarkStart w:id="30" w:name="_Toc19762"/>
      <w:bookmarkStart w:id="31" w:name="_Toc2154"/>
      <w:r>
        <w:rPr>
          <w:rFonts w:hint="eastAsia" w:ascii="Times New Roman" w:hAnsi="Times New Roman" w:eastAsia="楷体_GB2312" w:cs="楷体_GB2312"/>
          <w:highlight w:val="none"/>
          <w:lang w:val="en-US" w:eastAsia="zh-CN"/>
        </w:rPr>
        <w:t>二、提升“五区”功能与建好“五宜”朝阳新要求</w:t>
      </w:r>
      <w:bookmarkEnd w:id="30"/>
      <w:bookmarkEnd w:id="31"/>
    </w:p>
    <w:p w14:paraId="000CCFC0">
      <w:pPr>
        <w:keepNext w:val="0"/>
        <w:keepLines w:val="0"/>
        <w:pageBreakBefore w:val="0"/>
        <w:widowControl w:val="0"/>
        <w:shd w:val="clear"/>
        <w:kinsoku/>
        <w:wordWrap/>
        <w:overflowPunct/>
        <w:topLinePunct w:val="0"/>
        <w:autoSpaceDE/>
        <w:autoSpaceDN/>
        <w:bidi w:val="0"/>
        <w:adjustRightInd/>
        <w:snapToGrid/>
        <w:textAlignment w:val="auto"/>
        <w:rPr>
          <w:rFonts w:hint="eastAsia" w:ascii="Times New Roman" w:hAnsi="Times New Roman" w:eastAsia="仿宋_GB2312" w:cs="仿宋_GB2312"/>
          <w:highlight w:val="none"/>
          <w:lang w:eastAsia="zh-CN"/>
        </w:rPr>
      </w:pP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lang w:val="en-US" w:eastAsia="zh-CN"/>
        </w:rPr>
        <w:t>十四五</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lang w:val="en-US" w:eastAsia="zh-CN"/>
        </w:rPr>
        <w:t>时期，北京经济发展稳中有进、首都功能持续优化；朝阳区围绕“五宜”朝阳建设，依托</w:t>
      </w:r>
      <w:r>
        <w:rPr>
          <w:rFonts w:hint="eastAsia" w:ascii="Times New Roman" w:hAnsi="Times New Roman" w:eastAsia="仿宋_GB2312" w:cs="仿宋_GB2312"/>
          <w:highlight w:val="none"/>
          <w:lang w:eastAsia="zh-CN"/>
        </w:rPr>
        <w:t>首都对外开放的重要门户和国际交往中心功能的核心承载区</w:t>
      </w:r>
      <w:r>
        <w:rPr>
          <w:rFonts w:hint="eastAsia" w:ascii="Times New Roman" w:hAnsi="Times New Roman" w:eastAsia="仿宋_GB2312" w:cs="仿宋_GB2312"/>
          <w:highlight w:val="none"/>
          <w:lang w:val="en-US" w:eastAsia="zh-CN"/>
        </w:rPr>
        <w:t>的区位优势</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lang w:val="en-US" w:eastAsia="zh-CN"/>
        </w:rPr>
        <w:t>基本民生保障、基本社会服务、基层社会治理水平稳步提升，为“十五五”民政事业高质量发展奠定了坚实基础。进入“十五五”时期，朝阳区开放型经济</w:t>
      </w:r>
      <w:r>
        <w:rPr>
          <w:rFonts w:hint="eastAsia" w:eastAsia="仿宋_GB2312" w:cs="仿宋_GB2312"/>
          <w:highlight w:val="none"/>
          <w:lang w:val="en-US" w:eastAsia="zh-CN"/>
        </w:rPr>
        <w:t>体系压力</w:t>
      </w:r>
      <w:r>
        <w:rPr>
          <w:rFonts w:hint="eastAsia" w:ascii="Times New Roman" w:hAnsi="Times New Roman" w:eastAsia="仿宋_GB2312" w:cs="仿宋_GB2312"/>
          <w:highlight w:val="none"/>
          <w:lang w:val="en-US" w:eastAsia="zh-CN"/>
        </w:rPr>
        <w:t>更加凸显，</w:t>
      </w:r>
      <w:r>
        <w:rPr>
          <w:rFonts w:hint="eastAsia" w:ascii="Times New Roman" w:hAnsi="Times New Roman" w:eastAsia="仿宋_GB2312" w:cs="仿宋_GB2312"/>
          <w:highlight w:val="none"/>
          <w:lang w:eastAsia="zh-CN"/>
        </w:rPr>
        <w:t>外部环境复杂严峻带来的不确定性</w:t>
      </w:r>
      <w:r>
        <w:rPr>
          <w:rFonts w:hint="eastAsia" w:ascii="Times New Roman" w:hAnsi="Times New Roman" w:eastAsia="仿宋_GB2312" w:cs="仿宋_GB2312"/>
          <w:highlight w:val="none"/>
          <w:lang w:val="en-US" w:eastAsia="zh-CN"/>
        </w:rPr>
        <w:t>易</w:t>
      </w:r>
      <w:r>
        <w:rPr>
          <w:rFonts w:hint="eastAsia" w:ascii="Times New Roman" w:hAnsi="Times New Roman" w:eastAsia="仿宋_GB2312" w:cs="仿宋_GB2312"/>
          <w:highlight w:val="none"/>
          <w:lang w:eastAsia="zh-CN"/>
        </w:rPr>
        <w:t>向民生领域传导，部分低收入、灵活就业群体抗风险能力减弱，因病致贫、因失业返贫风险增加，民生需求呈现更强的多样化、动态化特征。</w:t>
      </w:r>
      <w:r>
        <w:rPr>
          <w:rFonts w:hint="eastAsia" w:ascii="Times New Roman" w:hAnsi="Times New Roman" w:eastAsia="仿宋_GB2312" w:cs="仿宋_GB2312"/>
          <w:highlight w:val="none"/>
          <w:lang w:val="en-US" w:eastAsia="zh-CN"/>
        </w:rPr>
        <w:t>围绕提升“五区”功能、建</w:t>
      </w:r>
      <w:r>
        <w:rPr>
          <w:rFonts w:hint="eastAsia" w:eastAsia="仿宋_GB2312" w:cs="仿宋_GB2312"/>
          <w:highlight w:val="none"/>
          <w:lang w:val="en-US" w:eastAsia="zh-CN"/>
        </w:rPr>
        <w:t>好</w:t>
      </w:r>
      <w:r>
        <w:rPr>
          <w:rFonts w:hint="eastAsia" w:ascii="Times New Roman" w:hAnsi="Times New Roman" w:eastAsia="仿宋_GB2312" w:cs="仿宋_GB2312"/>
          <w:highlight w:val="none"/>
          <w:lang w:val="en-US" w:eastAsia="zh-CN"/>
        </w:rPr>
        <w:t>“五宜”朝阳的新要求，朝阳民政要把握发展机遇、主动应对挑战，以更有韧性的民生保障和更高效的基层治理支撑“四个中心”服务能力跃升，</w:t>
      </w:r>
      <w:r>
        <w:rPr>
          <w:rFonts w:hint="eastAsia" w:ascii="Times New Roman" w:hAnsi="Times New Roman" w:eastAsia="仿宋_GB2312" w:cs="仿宋_GB2312"/>
          <w:highlight w:val="none"/>
          <w:lang w:eastAsia="zh-CN"/>
        </w:rPr>
        <w:t>以民生之“稳”支撑大局之“安”。</w:t>
      </w:r>
    </w:p>
    <w:p w14:paraId="369B1A6D">
      <w:pPr>
        <w:keepNext w:val="0"/>
        <w:keepLines w:val="0"/>
        <w:pageBreakBefore w:val="0"/>
        <w:widowControl w:val="0"/>
        <w:shd w:val="clear"/>
        <w:kinsoku/>
        <w:wordWrap/>
        <w:overflowPunct/>
        <w:topLinePunct w:val="0"/>
        <w:autoSpaceDE/>
        <w:autoSpaceDN/>
        <w:bidi w:val="0"/>
        <w:adjustRightInd/>
        <w:snapToGrid/>
        <w:textAlignment w:val="auto"/>
        <w:rPr>
          <w:rFonts w:hint="eastAsia" w:ascii="Times New Roman" w:hAnsi="Times New Roman" w:eastAsia="楷体_GB2312" w:cs="楷体_GB2312"/>
          <w:highlight w:val="none"/>
          <w:lang w:val="en-US" w:eastAsia="zh-CN"/>
        </w:rPr>
      </w:pPr>
      <w:bookmarkStart w:id="32" w:name="_Toc4778"/>
      <w:bookmarkStart w:id="33" w:name="_Toc14098"/>
      <w:r>
        <w:rPr>
          <w:rFonts w:hint="eastAsia" w:ascii="Times New Roman" w:hAnsi="Times New Roman" w:eastAsia="楷体_GB2312" w:cs="楷体_GB2312"/>
          <w:highlight w:val="none"/>
          <w:lang w:val="en-US" w:eastAsia="zh-CN"/>
        </w:rPr>
        <w:t>三、应对人口结构变化与养老服务供给新挑战</w:t>
      </w:r>
      <w:bookmarkEnd w:id="32"/>
      <w:bookmarkEnd w:id="33"/>
    </w:p>
    <w:p w14:paraId="156818DF">
      <w:pPr>
        <w:keepNext w:val="0"/>
        <w:keepLines w:val="0"/>
        <w:pageBreakBefore w:val="0"/>
        <w:widowControl w:val="0"/>
        <w:shd w:val="clear"/>
        <w:kinsoku/>
        <w:wordWrap/>
        <w:overflowPunct/>
        <w:topLinePunct w:val="0"/>
        <w:autoSpaceDE/>
        <w:autoSpaceDN/>
        <w:bidi w:val="0"/>
        <w:adjustRightInd/>
        <w:snapToGrid/>
        <w:textAlignment w:val="auto"/>
        <w:rPr>
          <w:rFonts w:hint="eastAsia" w:ascii="Times New Roman" w:hAnsi="Times New Roman" w:eastAsia="仿宋_GB2312" w:cs="仿宋_GB2312"/>
          <w:highlight w:val="none"/>
        </w:rPr>
      </w:pPr>
      <w:r>
        <w:rPr>
          <w:rFonts w:hint="eastAsia" w:ascii="Times New Roman" w:hAnsi="Times New Roman" w:eastAsia="仿宋_GB2312" w:cs="仿宋_GB2312"/>
          <w:highlight w:val="none"/>
        </w:rPr>
        <w:t>人口老龄化是今后较长时期的基本国情，应对老龄化已上升为国家战略。目前，朝阳区已经进入中度老龄化社会，老年人口规模大、增速快，全区60岁以上人口达89.3万，占比26％，高出全市平均水平2.5个百分点</w:t>
      </w:r>
      <w:r>
        <w:rPr>
          <w:rStyle w:val="27"/>
          <w:rFonts w:hint="eastAsia" w:ascii="Times New Roman" w:hAnsi="Times New Roman" w:eastAsia="仿宋_GB2312" w:cs="仿宋_GB2312"/>
          <w:color w:val="auto"/>
          <w:highlight w:val="none"/>
        </w:rPr>
        <w:footnoteReference w:id="0"/>
      </w:r>
      <w:r>
        <w:rPr>
          <w:rFonts w:hint="eastAsia" w:ascii="Times New Roman" w:hAnsi="Times New Roman" w:eastAsia="仿宋_GB2312" w:cs="仿宋_GB2312"/>
          <w:highlight w:val="none"/>
        </w:rPr>
        <w:t>，居全市首位，预计</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十五五</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期间，老年人口规模将突破百万大关。其中，</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老老人</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群体规模持续扩大，增速显著加快，失能比例上升，照护需求高涨且层次分野明显、独居规模扩大。与此同时，少子化与家庭小型化趋势叠加，传统家庭养老育幼功能弱化，代际间的资源分配压力逐步上升，居家养老照护群体承压较大，对社会化、专业化养老服务的依赖度显著增强，</w:t>
      </w:r>
      <w:r>
        <w:rPr>
          <w:rFonts w:hint="eastAsia" w:eastAsia="仿宋_GB2312" w:cs="仿宋_GB2312"/>
          <w:highlight w:val="none"/>
          <w:lang w:eastAsia="zh-CN"/>
        </w:rPr>
        <w:t>亟须</w:t>
      </w:r>
      <w:r>
        <w:rPr>
          <w:rFonts w:hint="eastAsia" w:ascii="Times New Roman" w:hAnsi="Times New Roman" w:eastAsia="仿宋_GB2312" w:cs="仿宋_GB2312"/>
          <w:highlight w:val="none"/>
        </w:rPr>
        <w:t>通过完善社会服务体系来填补家庭照护功能的缺口。</w:t>
      </w:r>
      <w:bookmarkStart w:id="34" w:name="_Toc6363"/>
      <w:bookmarkStart w:id="35" w:name="_Toc739"/>
    </w:p>
    <w:p w14:paraId="775031DF">
      <w:pPr>
        <w:keepNext w:val="0"/>
        <w:keepLines w:val="0"/>
        <w:pageBreakBefore w:val="0"/>
        <w:widowControl w:val="0"/>
        <w:shd w:val="clear"/>
        <w:kinsoku/>
        <w:wordWrap/>
        <w:overflowPunct/>
        <w:topLinePunct w:val="0"/>
        <w:autoSpaceDE/>
        <w:autoSpaceDN/>
        <w:bidi w:val="0"/>
        <w:adjustRightInd/>
        <w:snapToGrid/>
        <w:textAlignment w:val="auto"/>
        <w:rPr>
          <w:rFonts w:hint="eastAsia" w:ascii="Times New Roman" w:hAnsi="Times New Roman" w:eastAsia="楷体_GB2312" w:cs="楷体_GB2312"/>
          <w:highlight w:val="none"/>
          <w:lang w:val="en-US" w:eastAsia="zh-CN"/>
        </w:rPr>
      </w:pPr>
      <w:r>
        <w:rPr>
          <w:rFonts w:hint="eastAsia" w:ascii="Times New Roman" w:hAnsi="Times New Roman" w:eastAsia="楷体_GB2312" w:cs="楷体_GB2312"/>
          <w:highlight w:val="none"/>
          <w:lang w:val="en-US" w:eastAsia="zh-CN"/>
        </w:rPr>
        <w:t>四、破解设施存量制约与安全标准迭代新冲突</w:t>
      </w:r>
      <w:bookmarkEnd w:id="34"/>
      <w:bookmarkEnd w:id="35"/>
    </w:p>
    <w:p w14:paraId="10D8F11B">
      <w:pPr>
        <w:keepNext w:val="0"/>
        <w:keepLines w:val="0"/>
        <w:pageBreakBefore w:val="0"/>
        <w:widowControl w:val="0"/>
        <w:shd w:val="clear"/>
        <w:kinsoku/>
        <w:wordWrap/>
        <w:overflowPunct/>
        <w:topLinePunct w:val="0"/>
        <w:autoSpaceDE/>
        <w:autoSpaceDN/>
        <w:bidi w:val="0"/>
        <w:adjustRightInd/>
        <w:snapToGrid/>
        <w:textAlignment w:val="auto"/>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rPr>
        <w:t>首都高质量发展离不开高水平安全，民政安全是关键。朝阳区作为开发较早的中心城区，民政设施建设起步早、存量大，随着国家及北京市对民政服务设施安全标准不断迭代，朝阳区面临</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标准迭代快</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与</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存量更新慢</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的困境。区内部分养老机构、救助站及社区服务设施利用老旧厂房、腾退空间或居民楼配套商业设施改建而成，原有建设标准难以达到新的安全标准，面临产权复杂、空间受限、资金成本高昂等达标改造障碍</w:t>
      </w:r>
      <w:r>
        <w:rPr>
          <w:rFonts w:hint="eastAsia" w:eastAsia="仿宋_GB2312" w:cs="仿宋_GB2312"/>
          <w:b w:val="0"/>
          <w:bCs w:val="0"/>
          <w:highlight w:val="none"/>
          <w:lang w:eastAsia="zh-CN"/>
        </w:rPr>
        <w:t>，</w:t>
      </w:r>
      <w:r>
        <w:rPr>
          <w:rFonts w:hint="eastAsia" w:ascii="仿宋_GB2312" w:hAnsi="仿宋_GB2312" w:eastAsia="仿宋_GB2312" w:cs="仿宋_GB2312"/>
          <w:b w:val="0"/>
          <w:bCs w:val="0"/>
          <w:sz w:val="32"/>
          <w:szCs w:val="32"/>
          <w:highlight w:val="none"/>
          <w:lang w:eastAsia="zh-CN"/>
        </w:rPr>
        <w:t>本质安全存在基础相对“薄弱”“先天不足”的问题</w:t>
      </w:r>
      <w:r>
        <w:rPr>
          <w:rFonts w:hint="eastAsia" w:ascii="Times New Roman" w:hAnsi="Times New Roman" w:eastAsia="仿宋_GB2312" w:cs="仿宋_GB2312"/>
          <w:b w:val="0"/>
          <w:bCs w:val="0"/>
          <w:highlight w:val="none"/>
        </w:rPr>
        <w:t>。</w:t>
      </w:r>
      <w:r>
        <w:rPr>
          <w:rFonts w:hint="eastAsia" w:ascii="仿宋_GB2312" w:hAnsi="仿宋_GB2312" w:eastAsia="仿宋_GB2312" w:cs="仿宋_GB2312"/>
          <w:b w:val="0"/>
          <w:bCs w:val="0"/>
          <w:sz w:val="32"/>
          <w:szCs w:val="32"/>
          <w:highlight w:val="none"/>
        </w:rPr>
        <w:t>养老机构人员密集、老年人抵抗力弱，突发公共卫生事件易引发聚集性感染，常态化防控与应急处置压力持续存在</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老年人风险识别能力较弱，以养老投资、保健产品为名的诈骗手段翻新，财产安全隐患突出，监管与防范难度加大</w:t>
      </w:r>
      <w:r>
        <w:rPr>
          <w:rFonts w:hint="eastAsia" w:ascii="仿宋_GB2312" w:hAnsi="仿宋_GB2312" w:eastAsia="仿宋_GB2312" w:cs="仿宋_GB2312"/>
          <w:b w:val="0"/>
          <w:bCs w:val="0"/>
          <w:sz w:val="32"/>
          <w:szCs w:val="32"/>
          <w:highlight w:val="none"/>
          <w:lang w:eastAsia="zh-CN"/>
        </w:rPr>
        <w:t>。</w:t>
      </w:r>
      <w:r>
        <w:rPr>
          <w:rFonts w:hint="eastAsia" w:ascii="Times New Roman" w:hAnsi="Times New Roman" w:eastAsia="仿宋_GB2312" w:cs="仿宋_GB2312"/>
          <w:highlight w:val="none"/>
        </w:rPr>
        <w:t>如何在城市更新背景下，既打破</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旧设施</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的物理束缚，又守住</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新标准</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的安全红线，是实现存量资源有效利用必须攻克的难题。</w:t>
      </w:r>
      <w:r>
        <w:rPr>
          <w:rFonts w:hint="eastAsia" w:ascii="Times New Roman" w:hAnsi="Times New Roman" w:eastAsia="仿宋_GB2312" w:cs="仿宋_GB2312"/>
          <w:highlight w:val="none"/>
          <w:lang w:val="en-US" w:eastAsia="zh-CN"/>
        </w:rPr>
        <w:t>朝阳民政要树牢“首都安全无小事”的理念，以更高标准推动民政高质量发展和高水平安全良性互动、确保朝阳民政事业行稳致远。</w:t>
      </w:r>
    </w:p>
    <w:p w14:paraId="3C42DEFE">
      <w:pPr>
        <w:keepNext w:val="0"/>
        <w:keepLines w:val="0"/>
        <w:pageBreakBefore w:val="0"/>
        <w:widowControl w:val="0"/>
        <w:shd w:val="clear"/>
        <w:kinsoku/>
        <w:wordWrap/>
        <w:overflowPunct/>
        <w:topLinePunct w:val="0"/>
        <w:autoSpaceDE/>
        <w:autoSpaceDN/>
        <w:bidi w:val="0"/>
        <w:adjustRightInd/>
        <w:snapToGrid/>
        <w:textAlignment w:val="auto"/>
        <w:rPr>
          <w:rFonts w:hint="eastAsia" w:ascii="Times New Roman" w:hAnsi="Times New Roman" w:eastAsia="楷体_GB2312" w:cs="楷体_GB2312"/>
          <w:highlight w:val="none"/>
        </w:rPr>
      </w:pPr>
      <w:bookmarkStart w:id="36" w:name="_Toc4979"/>
      <w:bookmarkStart w:id="37" w:name="_Toc12603"/>
      <w:r>
        <w:rPr>
          <w:rFonts w:hint="eastAsia" w:ascii="Times New Roman" w:hAnsi="Times New Roman" w:eastAsia="楷体_GB2312" w:cs="楷体_GB2312"/>
          <w:highlight w:val="none"/>
          <w:lang w:val="en-US" w:eastAsia="zh-CN"/>
        </w:rPr>
        <w:t>五、化解资源均衡配置与多元服务需求新矛盾</w:t>
      </w:r>
      <w:bookmarkEnd w:id="36"/>
      <w:bookmarkEnd w:id="37"/>
    </w:p>
    <w:p w14:paraId="52B053DA">
      <w:pPr>
        <w:keepNext w:val="0"/>
        <w:keepLines w:val="0"/>
        <w:pageBreakBefore w:val="0"/>
        <w:widowControl w:val="0"/>
        <w:shd w:val="clear"/>
        <w:kinsoku/>
        <w:wordWrap/>
        <w:overflowPunct/>
        <w:topLinePunct w:val="0"/>
        <w:autoSpaceDE/>
        <w:autoSpaceDN/>
        <w:bidi w:val="0"/>
        <w:adjustRightInd/>
        <w:snapToGrid/>
        <w:textAlignment w:val="auto"/>
        <w:rPr>
          <w:rFonts w:hint="eastAsia" w:ascii="Times New Roman" w:hAnsi="Times New Roman" w:eastAsia="仿宋_GB2312" w:cs="仿宋_GB2312"/>
          <w:highlight w:val="none"/>
        </w:rPr>
      </w:pPr>
      <w:r>
        <w:rPr>
          <w:rFonts w:hint="eastAsia" w:ascii="Times New Roman" w:hAnsi="Times New Roman" w:eastAsia="仿宋_GB2312" w:cs="仿宋_GB2312"/>
          <w:highlight w:val="none"/>
        </w:rPr>
        <w:t>对照首都高质量发展标准与群众日益增长的美好生活需要，朝阳区民政公共服务在布局与结构上仍存在供需错配。在养老服务领域，养老服务机构布局不均衡，老年人口密集的城市地区专业化养老机构较为稀缺，综合考虑成本、空间、设施配置等因素，机构多设置于相对偏远区域。在殡葬服务领域，设施类型与规模滞后于老龄化速度，公益性墓地规划落地难，存在布局空白点，绿色生态安葬设施供给不足。在残疾人服务领域，精神卫生福利机构供给缺口较大，精神障碍社区康复服务体系尚不健全，专业人才队伍匮乏，服务专业化水平亟待提升。</w:t>
      </w:r>
    </w:p>
    <w:p w14:paraId="4F9ABC1D">
      <w:pPr>
        <w:keepNext w:val="0"/>
        <w:keepLines w:val="0"/>
        <w:pageBreakBefore w:val="0"/>
        <w:widowControl w:val="0"/>
        <w:shd w:val="clear"/>
        <w:kinsoku/>
        <w:wordWrap/>
        <w:overflowPunct/>
        <w:topLinePunct w:val="0"/>
        <w:autoSpaceDE/>
        <w:autoSpaceDN/>
        <w:bidi w:val="0"/>
        <w:adjustRightInd/>
        <w:snapToGrid/>
        <w:textAlignment w:val="auto"/>
        <w:rPr>
          <w:rFonts w:hint="eastAsia" w:ascii="Times New Roman" w:hAnsi="Times New Roman" w:eastAsia="楷体_GB2312" w:cs="楷体_GB2312"/>
          <w:highlight w:val="none"/>
          <w:lang w:val="en-US" w:eastAsia="zh-CN"/>
        </w:rPr>
      </w:pPr>
      <w:bookmarkStart w:id="38" w:name="_Toc2370"/>
      <w:bookmarkStart w:id="39" w:name="_Toc25950"/>
      <w:r>
        <w:rPr>
          <w:rFonts w:hint="eastAsia" w:ascii="Times New Roman" w:hAnsi="Times New Roman" w:eastAsia="楷体_GB2312" w:cs="楷体_GB2312"/>
          <w:highlight w:val="none"/>
          <w:lang w:val="en-US" w:eastAsia="zh-CN"/>
        </w:rPr>
        <w:t>六、实现机制改革创新与治理现代化转型新跨越</w:t>
      </w:r>
      <w:bookmarkEnd w:id="38"/>
      <w:bookmarkEnd w:id="39"/>
    </w:p>
    <w:p w14:paraId="11B795DA">
      <w:pPr>
        <w:keepNext w:val="0"/>
        <w:keepLines w:val="0"/>
        <w:pageBreakBefore w:val="0"/>
        <w:widowControl w:val="0"/>
        <w:shd w:val="clear"/>
        <w:kinsoku/>
        <w:wordWrap/>
        <w:overflowPunct/>
        <w:topLinePunct w:val="0"/>
        <w:autoSpaceDE/>
        <w:autoSpaceDN/>
        <w:bidi w:val="0"/>
        <w:adjustRightInd/>
        <w:snapToGrid/>
        <w:textAlignment w:val="auto"/>
        <w:rPr>
          <w:rFonts w:hint="eastAsia" w:ascii="Times New Roman" w:hAnsi="Times New Roman" w:eastAsia="仿宋_GB2312" w:cs="仿宋_GB2312"/>
          <w:highlight w:val="none"/>
        </w:rPr>
      </w:pPr>
      <w:r>
        <w:rPr>
          <w:rFonts w:hint="eastAsia" w:ascii="Times New Roman" w:hAnsi="Times New Roman" w:eastAsia="仿宋_GB2312" w:cs="仿宋_GB2312"/>
          <w:highlight w:val="none"/>
        </w:rPr>
        <w:t>超大城市治理的智慧化精细化趋势，要求民政工作必须加快治理现代化转型。社会组织是参与社会治理的重要载体，但其自身</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造血</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功能与专业度仍有提升空间，与慈善资源的有效衔接尚不紧密；</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政府救助＋慈善帮扶</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的融合发展机制仍处于探索阶段，社区慈善与志愿服务参与民生保障的激励渠道还需拓宽，社会力量在福利供给中的补充作用还未充分释放。尽管区域数字基础较好，但民政数据资源的深度治理与跨部门共享机制仍需深化。目前，依靠数据辅助决策、通过技术手段实现福利对象精准画像的能力还不够强，从</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人找政策</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向</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政策找人</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转变的主动发现机制还未完全成熟，数字化在提升福利服务的可及性与均等化方面仍有较大潜力可挖。</w:t>
      </w:r>
    </w:p>
    <w:p w14:paraId="28A923FE">
      <w:pPr>
        <w:pStyle w:val="14"/>
        <w:keepNext w:val="0"/>
        <w:keepLines w:val="0"/>
        <w:pageBreakBefore w:val="0"/>
        <w:widowControl w:val="0"/>
        <w:shd w:val="clear"/>
        <w:kinsoku/>
        <w:wordWrap/>
        <w:overflowPunct/>
        <w:topLinePunct w:val="0"/>
        <w:autoSpaceDE/>
        <w:autoSpaceDN/>
        <w:bidi w:val="0"/>
        <w:adjustRightInd/>
        <w:snapToGrid/>
        <w:spacing w:before="292" w:beforeLines="50" w:after="292" w:afterLines="50" w:line="600" w:lineRule="exact"/>
        <w:ind w:firstLine="0" w:firstLineChars="0"/>
        <w:jc w:val="center"/>
        <w:textAlignment w:val="auto"/>
        <w:rPr>
          <w:rFonts w:hint="eastAsia" w:ascii="Times New Roman" w:hAnsi="Times New Roman" w:eastAsia="黑体" w:cs="黑体"/>
          <w:sz w:val="32"/>
          <w:szCs w:val="32"/>
          <w:highlight w:val="none"/>
          <w:lang w:val="en-US" w:eastAsia="zh-CN"/>
        </w:rPr>
      </w:pPr>
      <w:bookmarkStart w:id="40" w:name="_Toc26300"/>
      <w:bookmarkStart w:id="41" w:name="_Toc5856"/>
      <w:r>
        <w:rPr>
          <w:rFonts w:hint="eastAsia" w:ascii="Times New Roman" w:hAnsi="Times New Roman" w:eastAsia="黑体" w:cs="黑体"/>
          <w:sz w:val="32"/>
          <w:szCs w:val="32"/>
          <w:highlight w:val="none"/>
          <w:lang w:val="en-US" w:eastAsia="zh-CN"/>
        </w:rPr>
        <w:t>第三章 发展思路</w:t>
      </w:r>
      <w:bookmarkEnd w:id="40"/>
      <w:bookmarkEnd w:id="41"/>
    </w:p>
    <w:p w14:paraId="45AA8864">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楷体_GB2312" w:cs="楷体_GB2312"/>
          <w:highlight w:val="none"/>
          <w:lang w:val="en-US" w:eastAsia="zh-CN"/>
        </w:rPr>
      </w:pPr>
      <w:bookmarkStart w:id="42" w:name="_Toc13896"/>
      <w:bookmarkStart w:id="43" w:name="_Toc648"/>
      <w:r>
        <w:rPr>
          <w:rFonts w:hint="eastAsia" w:ascii="Times New Roman" w:hAnsi="Times New Roman" w:eastAsia="楷体_GB2312" w:cs="楷体_GB2312"/>
          <w:highlight w:val="none"/>
          <w:lang w:val="en-US" w:eastAsia="zh-CN"/>
        </w:rPr>
        <w:t>一、指导思想</w:t>
      </w:r>
      <w:bookmarkEnd w:id="42"/>
      <w:bookmarkEnd w:id="43"/>
    </w:p>
    <w:p w14:paraId="559A8D6A">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highlight w:val="none"/>
        </w:rPr>
      </w:pPr>
      <w:r>
        <w:rPr>
          <w:rFonts w:hint="eastAsia" w:ascii="Times New Roman" w:hAnsi="Times New Roman" w:eastAsia="仿宋_GB2312" w:cs="仿宋_GB2312"/>
          <w:highlight w:val="none"/>
        </w:rPr>
        <w:t>坚持以习近平新时代中国特色社会主义思想为指导，</w:t>
      </w:r>
      <w:r>
        <w:rPr>
          <w:rFonts w:hint="eastAsia" w:ascii="Times New Roman" w:hAnsi="Times New Roman" w:eastAsia="仿宋_GB2312" w:cs="仿宋_GB2312"/>
          <w:highlight w:val="none"/>
          <w:lang w:val="en-US" w:eastAsia="zh-CN"/>
        </w:rPr>
        <w:t>全面</w:t>
      </w:r>
      <w:r>
        <w:rPr>
          <w:rFonts w:hint="eastAsia" w:ascii="Times New Roman" w:hAnsi="Times New Roman" w:eastAsia="仿宋_GB2312" w:cs="仿宋_GB2312"/>
          <w:highlight w:val="none"/>
        </w:rPr>
        <w:t>贯彻落实党的二十大和二十届</w:t>
      </w:r>
      <w:r>
        <w:rPr>
          <w:rFonts w:hint="eastAsia" w:ascii="Times New Roman" w:hAnsi="Times New Roman" w:eastAsia="仿宋_GB2312" w:cs="仿宋_GB2312"/>
          <w:highlight w:val="none"/>
          <w:lang w:val="en-US" w:eastAsia="zh-CN"/>
        </w:rPr>
        <w:t>历次</w:t>
      </w:r>
      <w:r>
        <w:rPr>
          <w:rFonts w:hint="eastAsia" w:ascii="Times New Roman" w:hAnsi="Times New Roman" w:eastAsia="仿宋_GB2312" w:cs="仿宋_GB2312"/>
          <w:highlight w:val="none"/>
        </w:rPr>
        <w:t>全会精神，</w:t>
      </w:r>
      <w:r>
        <w:rPr>
          <w:rFonts w:hint="eastAsia" w:ascii="Times New Roman" w:hAnsi="Times New Roman" w:eastAsia="仿宋_GB2312" w:cs="仿宋_GB2312"/>
          <w:highlight w:val="none"/>
          <w:lang w:val="en-US" w:eastAsia="zh-CN"/>
        </w:rPr>
        <w:t>深入贯彻</w:t>
      </w:r>
      <w:r>
        <w:rPr>
          <w:rFonts w:hint="eastAsia" w:ascii="Times New Roman" w:hAnsi="Times New Roman" w:eastAsia="仿宋_GB2312" w:cs="仿宋_GB2312"/>
          <w:highlight w:val="none"/>
        </w:rPr>
        <w:t>习近平总书记考察北京重要讲话精神</w:t>
      </w:r>
      <w:r>
        <w:rPr>
          <w:rFonts w:hint="eastAsia" w:eastAsia="仿宋_GB2312" w:cs="仿宋_GB2312"/>
          <w:highlight w:val="none"/>
          <w:lang w:eastAsia="zh-CN"/>
        </w:rPr>
        <w:t>、习近平总书记</w:t>
      </w:r>
      <w:r>
        <w:rPr>
          <w:rFonts w:hint="eastAsia" w:ascii="Times New Roman" w:hAnsi="Times New Roman" w:eastAsia="仿宋_GB2312" w:cs="仿宋_GB2312"/>
          <w:highlight w:val="none"/>
          <w:lang w:val="en-US" w:eastAsia="zh-CN"/>
        </w:rPr>
        <w:t>关于</w:t>
      </w:r>
      <w:r>
        <w:rPr>
          <w:rFonts w:hint="eastAsia" w:ascii="Times New Roman" w:hAnsi="Times New Roman" w:eastAsia="仿宋_GB2312" w:cs="仿宋_GB2312"/>
          <w:highlight w:val="none"/>
        </w:rPr>
        <w:t>民政工作重要论述</w:t>
      </w:r>
      <w:r>
        <w:rPr>
          <w:rFonts w:hint="eastAsia" w:ascii="Times New Roman" w:hAnsi="Times New Roman" w:eastAsia="仿宋_GB2312" w:cs="仿宋_GB2312"/>
          <w:highlight w:val="none"/>
          <w:lang w:val="en-US" w:eastAsia="zh-CN"/>
        </w:rPr>
        <w:t>精神</w:t>
      </w:r>
      <w:r>
        <w:rPr>
          <w:rFonts w:hint="eastAsia" w:ascii="Times New Roman" w:hAnsi="Times New Roman" w:eastAsia="仿宋_GB2312" w:cs="仿宋_GB2312"/>
          <w:highlight w:val="none"/>
        </w:rPr>
        <w:t>，</w:t>
      </w:r>
      <w:r>
        <w:rPr>
          <w:rFonts w:hint="eastAsia" w:ascii="Times New Roman" w:hAnsi="Times New Roman" w:eastAsia="仿宋_GB2312" w:cs="仿宋_GB2312"/>
          <w:highlight w:val="none"/>
          <w:lang w:val="en-US" w:eastAsia="zh-CN"/>
        </w:rPr>
        <w:t>以</w:t>
      </w:r>
      <w:r>
        <w:rPr>
          <w:rFonts w:hint="eastAsia" w:eastAsia="仿宋_GB2312" w:cs="仿宋_GB2312"/>
          <w:highlight w:val="none"/>
          <w:lang w:val="en-US" w:eastAsia="zh-CN"/>
        </w:rPr>
        <w:t>更好地服务</w:t>
      </w:r>
      <w:r>
        <w:rPr>
          <w:rFonts w:hint="eastAsia" w:ascii="Times New Roman" w:hAnsi="Times New Roman" w:eastAsia="仿宋_GB2312" w:cs="仿宋_GB2312"/>
          <w:highlight w:val="none"/>
          <w:lang w:val="en-US" w:eastAsia="zh-CN"/>
        </w:rPr>
        <w:t>朝阳建设具有国际影响力的中国式现代化强区为主线，以推动民政事业高质量发展为主题，以全面深化改革为根本动力，以满足</w:t>
      </w:r>
      <w:r>
        <w:rPr>
          <w:rFonts w:hint="eastAsia" w:eastAsia="仿宋_GB2312" w:cs="仿宋_GB2312"/>
          <w:highlight w:val="none"/>
          <w:lang w:val="en-US" w:eastAsia="zh-CN"/>
        </w:rPr>
        <w:t>人民日益增长的美好生活需要</w:t>
      </w:r>
      <w:r>
        <w:rPr>
          <w:rFonts w:hint="eastAsia" w:ascii="Times New Roman" w:hAnsi="Times New Roman" w:eastAsia="仿宋_GB2312" w:cs="仿宋_GB2312"/>
          <w:highlight w:val="none"/>
          <w:lang w:val="en-US" w:eastAsia="zh-CN"/>
        </w:rPr>
        <w:t>为根本目的</w:t>
      </w:r>
      <w:r>
        <w:rPr>
          <w:rFonts w:hint="eastAsia" w:ascii="Times New Roman" w:hAnsi="Times New Roman" w:eastAsia="仿宋_GB2312" w:cs="仿宋_GB2312"/>
          <w:highlight w:val="none"/>
        </w:rPr>
        <w:t>，</w:t>
      </w:r>
      <w:r>
        <w:rPr>
          <w:rFonts w:hint="eastAsia" w:eastAsia="仿宋_GB2312" w:cs="仿宋_GB2312"/>
          <w:highlight w:val="none"/>
          <w:lang w:eastAsia="zh-CN"/>
        </w:rPr>
        <w:t>坚持稳中求进</w:t>
      </w:r>
      <w:r>
        <w:rPr>
          <w:rFonts w:hint="eastAsia" w:ascii="Times New Roman" w:hAnsi="Times New Roman" w:eastAsia="仿宋_GB2312" w:cs="仿宋_GB2312"/>
          <w:highlight w:val="none"/>
          <w:lang w:val="en-US" w:eastAsia="zh-CN"/>
        </w:rPr>
        <w:t>总基调，突出系统性、整体性、协同性发展，加强普惠性、基础性、兜底性民生建设，持续完善政策制度体系、服务保障体系、监督管理体系、社会参与体系，着力推进实施积极应对人口老龄化国家战略，着力提升社会救助、社会福利、社会事务、社会治理工作水平，更好发挥民政部门保民生、防风险、促发展的职能作用，为“四个中心”服务能力提升、</w:t>
      </w:r>
      <w:r>
        <w:rPr>
          <w:rFonts w:hint="eastAsia" w:eastAsia="仿宋_GB2312" w:cs="仿宋_GB2312"/>
          <w:highlight w:val="none"/>
          <w:lang w:val="en-US" w:eastAsia="zh-CN"/>
        </w:rPr>
        <w:t>提升</w:t>
      </w:r>
      <w:r>
        <w:rPr>
          <w:rFonts w:hint="eastAsia" w:ascii="Times New Roman" w:hAnsi="Times New Roman" w:eastAsia="仿宋_GB2312" w:cs="仿宋_GB2312"/>
          <w:highlight w:val="none"/>
          <w:lang w:val="en-US" w:eastAsia="zh-CN"/>
        </w:rPr>
        <w:t>“五区”功能和</w:t>
      </w:r>
      <w:r>
        <w:rPr>
          <w:rFonts w:hint="eastAsia" w:eastAsia="仿宋_GB2312" w:cs="仿宋_GB2312"/>
          <w:highlight w:val="none"/>
          <w:lang w:val="en-US" w:eastAsia="zh-CN"/>
        </w:rPr>
        <w:t>建好</w:t>
      </w:r>
      <w:r>
        <w:rPr>
          <w:rFonts w:hint="eastAsia" w:ascii="Times New Roman" w:hAnsi="Times New Roman" w:eastAsia="仿宋_GB2312" w:cs="仿宋_GB2312"/>
          <w:highlight w:val="none"/>
          <w:lang w:val="en-US" w:eastAsia="zh-CN"/>
        </w:rPr>
        <w:t>“五宜”朝阳提供有力支撑和坚实保障。</w:t>
      </w:r>
    </w:p>
    <w:p w14:paraId="12392533">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楷体_GB2312" w:cs="楷体_GB2312"/>
          <w:highlight w:val="none"/>
          <w:lang w:val="en-US" w:eastAsia="zh-CN"/>
        </w:rPr>
      </w:pPr>
      <w:bookmarkStart w:id="44" w:name="_Toc9018"/>
      <w:bookmarkStart w:id="45" w:name="_Toc32679"/>
      <w:r>
        <w:rPr>
          <w:rFonts w:hint="eastAsia" w:ascii="Times New Roman" w:hAnsi="Times New Roman" w:eastAsia="楷体_GB2312" w:cs="楷体_GB2312"/>
          <w:highlight w:val="none"/>
          <w:lang w:val="en-US" w:eastAsia="zh-CN"/>
        </w:rPr>
        <w:t>二、基本原则</w:t>
      </w:r>
      <w:bookmarkEnd w:id="44"/>
      <w:bookmarkEnd w:id="45"/>
    </w:p>
    <w:p w14:paraId="001388B7">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b/>
          <w:bCs/>
          <w:highlight w:val="none"/>
          <w:lang w:val="en-US" w:eastAsia="zh-CN"/>
        </w:rPr>
        <w:t>坚持党的全面领导。</w:t>
      </w:r>
      <w:r>
        <w:rPr>
          <w:rFonts w:hint="eastAsia" w:ascii="Times New Roman" w:hAnsi="Times New Roman" w:eastAsia="仿宋_GB2312" w:cs="仿宋_GB2312"/>
          <w:highlight w:val="none"/>
          <w:lang w:val="en-US" w:eastAsia="zh-CN"/>
        </w:rPr>
        <w:t>始终把政治建设摆在首位，牢固树立“看民政首先从政治上看”的意识，坚决贯彻党中央决策部署和市委、市政府、区委、区政府工作要求，把党的领导贯穿民政工作各领域全过程，确保民政事业沿着正确方向前进。</w:t>
      </w:r>
    </w:p>
    <w:p w14:paraId="25D34727">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b/>
          <w:bCs/>
          <w:highlight w:val="none"/>
          <w:lang w:val="en-US" w:eastAsia="zh-CN"/>
        </w:rPr>
        <w:t>坚持以人民为中心。</w:t>
      </w:r>
      <w:r>
        <w:rPr>
          <w:rFonts w:hint="eastAsia" w:ascii="Times New Roman" w:hAnsi="Times New Roman" w:eastAsia="仿宋_GB2312" w:cs="仿宋_GB2312"/>
          <w:highlight w:val="none"/>
          <w:lang w:val="en-US" w:eastAsia="zh-CN"/>
        </w:rPr>
        <w:t>牢牢站稳人民立场，顺应群众对美好生活的新期待，</w:t>
      </w:r>
      <w:r>
        <w:rPr>
          <w:rFonts w:hint="eastAsia" w:eastAsia="仿宋_GB2312" w:cs="仿宋_GB2312"/>
          <w:highlight w:val="none"/>
          <w:lang w:val="en-US" w:eastAsia="zh-CN"/>
        </w:rPr>
        <w:t>推动全龄友好型城区建设。</w:t>
      </w:r>
      <w:r>
        <w:rPr>
          <w:rFonts w:hint="eastAsia" w:ascii="Times New Roman" w:hAnsi="Times New Roman" w:eastAsia="仿宋_GB2312" w:cs="仿宋_GB2312"/>
          <w:highlight w:val="none"/>
          <w:lang w:val="en-US" w:eastAsia="zh-CN"/>
        </w:rPr>
        <w:t>聚焦“一老一小”、困难群众、残疾人等重点群体，统筹基本民生保障、基层社会治理和基本社会服务，促进公共服务更加公平可及、均衡普惠、便捷高效，不断增强群众获得感、幸福感、安全感。</w:t>
      </w:r>
    </w:p>
    <w:p w14:paraId="6EFB62D4">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b/>
          <w:bCs/>
          <w:highlight w:val="none"/>
          <w:lang w:val="en-US" w:eastAsia="zh-CN"/>
        </w:rPr>
        <w:t>坚持深化改革创新。</w:t>
      </w:r>
      <w:r>
        <w:rPr>
          <w:rFonts w:hint="eastAsia" w:ascii="Times New Roman" w:hAnsi="Times New Roman" w:eastAsia="仿宋_GB2312" w:cs="仿宋_GB2312"/>
          <w:highlight w:val="none"/>
          <w:lang w:val="en-US" w:eastAsia="zh-CN"/>
        </w:rPr>
        <w:t>把改革创新作为民政事业发展第一动力。紧盯中央及北京市关心的重点、群众关切的热点、政策实施的堵点、发展滞后的难点，用改革思路和创新办法破难题、增活力、提质量。强化系统观念，加强对民政工作的前瞻性思考、全局性谋划、战略性布局、整体性推进</w:t>
      </w:r>
      <w:r>
        <w:rPr>
          <w:rFonts w:hint="eastAsia" w:eastAsia="仿宋_GB2312" w:cs="仿宋_GB2312"/>
          <w:highlight w:val="none"/>
          <w:lang w:val="en-US" w:eastAsia="zh-CN"/>
        </w:rPr>
        <w:t>，加快事业产业融合发展</w:t>
      </w:r>
      <w:r>
        <w:rPr>
          <w:rFonts w:hint="eastAsia" w:ascii="Times New Roman" w:hAnsi="Times New Roman" w:eastAsia="仿宋_GB2312" w:cs="仿宋_GB2312"/>
          <w:highlight w:val="none"/>
          <w:lang w:val="en-US" w:eastAsia="zh-CN"/>
        </w:rPr>
        <w:t>。坚持全区一盘棋推进，加强部门协同、层级联动合力破解发展难题。</w:t>
      </w:r>
    </w:p>
    <w:p w14:paraId="036762E6">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b/>
          <w:bCs/>
          <w:highlight w:val="none"/>
          <w:lang w:val="en-US" w:eastAsia="zh-CN"/>
        </w:rPr>
        <w:t>坚持首善标准朝阳特色。</w:t>
      </w:r>
      <w:r>
        <w:rPr>
          <w:rFonts w:hint="eastAsia" w:ascii="Times New Roman" w:hAnsi="Times New Roman" w:eastAsia="仿宋_GB2312" w:cs="仿宋_GB2312"/>
          <w:highlight w:val="none"/>
          <w:lang w:val="en-US" w:eastAsia="zh-CN"/>
        </w:rPr>
        <w:t>紧紧围绕新时代首都发展大局谋划和推进朝阳民政事业，立足首都对外开放重要门户和国际交往中心功能核心承载区定位，聚焦提升“五区”功能与</w:t>
      </w:r>
      <w:r>
        <w:rPr>
          <w:rFonts w:hint="eastAsia" w:eastAsia="仿宋_GB2312" w:cs="仿宋_GB2312"/>
          <w:highlight w:val="none"/>
          <w:lang w:val="en-US" w:eastAsia="zh-CN"/>
        </w:rPr>
        <w:t>建好</w:t>
      </w:r>
      <w:r>
        <w:rPr>
          <w:rFonts w:hint="eastAsia" w:ascii="Times New Roman" w:hAnsi="Times New Roman" w:eastAsia="仿宋_GB2312" w:cs="仿宋_GB2312"/>
          <w:highlight w:val="none"/>
          <w:lang w:val="en-US" w:eastAsia="zh-CN"/>
        </w:rPr>
        <w:t>“五宜”朝阳，率先探索创新、努力走在前列，努力建设与首善标准相适应、具有朝阳特色的服务体系、保障标准、治理机制，为首都民政在全国发挥引领示范作用贡献朝阳经验。</w:t>
      </w:r>
    </w:p>
    <w:p w14:paraId="4833BB4E">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b/>
          <w:bCs/>
          <w:highlight w:val="none"/>
          <w:lang w:val="en-US" w:eastAsia="zh-CN"/>
        </w:rPr>
        <w:t>坚持尽力而为量力而行。</w:t>
      </w:r>
      <w:r>
        <w:rPr>
          <w:rFonts w:hint="eastAsia" w:ascii="Times New Roman" w:hAnsi="Times New Roman" w:eastAsia="仿宋_GB2312" w:cs="仿宋_GB2312"/>
          <w:highlight w:val="none"/>
          <w:lang w:val="en-US" w:eastAsia="zh-CN"/>
        </w:rPr>
        <w:t>牢牢把握民政工作职能定位，以普惠性民生建设为发展方向、基础性民生建设为主要内容、兜底性民生建设为基本职责，既积极作为、主动保障，又实事求是、把握节奏，精准确定服务对象、科学制定保障标准、有序拓展保障内容，统筹用好财政资金和政策资源，筑牢兜底保障底线。厘清政府、市场和社会责任边界，坚持多元共治、凝聚合力，在守牢底线基础上推动福利保障由补缺型向适度普惠型拓展，更好发挥民政部门保民生、防风险、促发展的职能作用，以更可持续、更高效的制度与服务供给融入现代化建设大局。</w:t>
      </w:r>
    </w:p>
    <w:p w14:paraId="35FA3F4F">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b/>
          <w:bCs/>
          <w:highlight w:val="none"/>
          <w:lang w:val="en-US" w:eastAsia="zh-CN"/>
        </w:rPr>
        <w:t>坚持统筹发展和安全。</w:t>
      </w:r>
      <w:r>
        <w:rPr>
          <w:rFonts w:hint="eastAsia" w:ascii="Times New Roman" w:hAnsi="Times New Roman" w:eastAsia="仿宋_GB2312" w:cs="仿宋_GB2312"/>
          <w:highlight w:val="none"/>
          <w:lang w:val="en-US" w:eastAsia="zh-CN"/>
        </w:rPr>
        <w:t>深入贯彻总体国家安全观，坚持在发展中固安全、在安全中谋发展，把安全意识贯穿政策制定、工作部署、任务落实的全过程各领域</w:t>
      </w:r>
      <w:r>
        <w:rPr>
          <w:rFonts w:hint="eastAsia" w:eastAsia="仿宋_GB2312" w:cs="仿宋_GB2312"/>
          <w:highlight w:val="none"/>
          <w:lang w:val="en-US" w:eastAsia="zh-CN"/>
        </w:rPr>
        <w:t>。</w:t>
      </w:r>
      <w:r>
        <w:rPr>
          <w:rFonts w:hint="eastAsia" w:ascii="Times New Roman" w:hAnsi="Times New Roman" w:eastAsia="仿宋_GB2312" w:cs="仿宋_GB2312"/>
          <w:highlight w:val="none"/>
          <w:lang w:val="en-US" w:eastAsia="zh-CN"/>
        </w:rPr>
        <w:t>始终保持如履薄冰的态度，健全民政领域风险识别、监测预警、隐患排查整治和应急处置闭环机制，着力堵漏洞、补短板、强弱项，织密扎牢兜底保障安全网</w:t>
      </w:r>
      <w:r>
        <w:rPr>
          <w:rFonts w:hint="eastAsia" w:eastAsia="仿宋_GB2312" w:cs="仿宋_GB2312"/>
          <w:highlight w:val="none"/>
          <w:lang w:val="en-US" w:eastAsia="zh-CN"/>
        </w:rPr>
        <w:t>。</w:t>
      </w:r>
      <w:r>
        <w:rPr>
          <w:rFonts w:hint="eastAsia" w:ascii="Times New Roman" w:hAnsi="Times New Roman" w:eastAsia="仿宋_GB2312" w:cs="仿宋_GB2312"/>
          <w:highlight w:val="none"/>
          <w:lang w:val="en-US" w:eastAsia="zh-CN"/>
        </w:rPr>
        <w:t>压紧压实各领域各环节安全管理责任，强化部门协同和基层联动，提升突发事件快速响应与处置能力，有效防范化解各类安全风险，以高水平安全保障民政事业高质量发展。</w:t>
      </w:r>
    </w:p>
    <w:p w14:paraId="0FC1CF6E">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楷体_GB2312" w:cs="楷体_GB2312"/>
          <w:highlight w:val="none"/>
        </w:rPr>
      </w:pPr>
      <w:bookmarkStart w:id="46" w:name="_Toc1561"/>
      <w:bookmarkStart w:id="47" w:name="_Toc3889"/>
      <w:r>
        <w:rPr>
          <w:rFonts w:hint="eastAsia" w:ascii="Times New Roman" w:hAnsi="Times New Roman" w:eastAsia="楷体_GB2312" w:cs="楷体_GB2312"/>
          <w:highlight w:val="none"/>
          <w:lang w:val="en-US" w:eastAsia="zh-CN"/>
        </w:rPr>
        <w:t>三、发展目标</w:t>
      </w:r>
      <w:bookmarkEnd w:id="46"/>
      <w:bookmarkEnd w:id="47"/>
      <w:bookmarkStart w:id="48" w:name="_Toc4439"/>
      <w:bookmarkStart w:id="49" w:name="_Toc32105"/>
      <w:bookmarkStart w:id="50" w:name="_Toc13662"/>
      <w:bookmarkStart w:id="51" w:name="_Toc436399732"/>
      <w:bookmarkStart w:id="52" w:name="_Toc5358"/>
      <w:bookmarkStart w:id="53" w:name="_Toc728"/>
      <w:bookmarkStart w:id="54" w:name="_Toc435203223"/>
      <w:bookmarkStart w:id="55" w:name="_Toc11288"/>
      <w:bookmarkStart w:id="56" w:name="_Toc439083874"/>
      <w:bookmarkStart w:id="57" w:name="_Toc20461"/>
      <w:bookmarkStart w:id="58" w:name="_Toc271"/>
      <w:bookmarkStart w:id="59" w:name="_Toc27121"/>
      <w:bookmarkStart w:id="60" w:name="_Toc445132785"/>
    </w:p>
    <w:p w14:paraId="4D0D6345">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sz w:val="32"/>
          <w:highlight w:val="none"/>
          <w:lang w:eastAsia="zh-CN"/>
        </w:rPr>
      </w:pPr>
      <w:r>
        <w:rPr>
          <w:rFonts w:hint="eastAsia" w:ascii="Times New Roman" w:hAnsi="Times New Roman" w:eastAsia="仿宋_GB2312" w:cs="仿宋_GB2312"/>
          <w:sz w:val="32"/>
          <w:highlight w:val="none"/>
          <w:lang w:val="en-US" w:eastAsia="zh-CN"/>
        </w:rPr>
        <w:t>到2030年，朝阳民政事业现代化建设取得显著进展，普惠性、基础性、兜底性民生建设均衡推进，政策制度、服务保障、监督管理、社会参与体系健全完善，老龄养老、社会救助、社会福利、社会事务、社会治理提质增效，有为政府、有效市场、有情社会、有爱家庭协同联动，基本建成与北京作为大国首都功能定位相适应、与朝阳区建设具有国际影响力的中国式现代化强区目标相匹配的朝阳民政工作格局。</w:t>
      </w:r>
    </w:p>
    <w:p w14:paraId="4EC4C2F3">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b/>
          <w:bCs/>
          <w:highlight w:val="none"/>
          <w:lang w:val="en-US" w:eastAsia="zh-CN"/>
        </w:rPr>
        <w:t>更加突出养老服务效能，彰显朝阳特色养老新优势。</w:t>
      </w:r>
      <w:r>
        <w:rPr>
          <w:rFonts w:hint="eastAsia" w:ascii="Times New Roman" w:hAnsi="Times New Roman" w:eastAsia="仿宋_GB2312" w:cs="仿宋_GB2312"/>
          <w:highlight w:val="none"/>
          <w:lang w:val="en-US" w:eastAsia="zh-CN"/>
        </w:rPr>
        <w:t>到“十五五”期末，全社会积极应对人口老龄化的思想共识全面形成，积极老龄化、健康老龄化、幸福老龄化理念深入人心，共建共享、全民参与的老龄工作体系更加健全完善；三级养老服务网络更加夯实有效，居家、社区、机构以及医疗等养老服务供给更加优化提升，朝阳区特色鲜明、高效智慧、放心安心的养老服务更加体系化、系统化，全方位、全覆盖的区域整体养老工作格局全面形成；养老市场主体不断扩大，人才、科技、监管等要素支撑能力全面提升，养老事业与养老产业更加协调发展；老年人权益得到全方位保障，老年人社会参与活力充分迸发，精神文化生活更加丰富多元，老年友好型社会建设走在全市前列。全体老年人共享改革发展成果、乐享幸福美满晚年的目标全面彰显。</w:t>
      </w:r>
    </w:p>
    <w:p w14:paraId="5FCA4511">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highlight w:val="none"/>
        </w:rPr>
      </w:pPr>
      <w:r>
        <w:rPr>
          <w:rFonts w:hint="eastAsia" w:ascii="Times New Roman" w:hAnsi="Times New Roman" w:eastAsia="仿宋_GB2312" w:cs="仿宋_GB2312"/>
          <w:b/>
          <w:bCs/>
          <w:highlight w:val="none"/>
          <w:lang w:val="en-US" w:eastAsia="zh-CN"/>
        </w:rPr>
        <w:t>更加突出民生保障精度，织密分层分类救助新防线。</w:t>
      </w:r>
      <w:r>
        <w:rPr>
          <w:rFonts w:hint="eastAsia" w:ascii="Times New Roman" w:hAnsi="Times New Roman" w:eastAsia="仿宋_GB2312" w:cs="仿宋_GB2312"/>
          <w:highlight w:val="none"/>
          <w:lang w:val="en-US" w:eastAsia="zh-CN"/>
        </w:rPr>
        <w:t>做好分层分类社会救助工作，推动社会救助从“保基本”向“精准化、多层次、全覆盖”升级。聚焦相对贫困与支出型贫困，全面认定低保边缘及刚性支出困难家庭。强化“大数据+铁脚板”动态监测，加强与就业、医教等政策协同，拓展服务类救助。夯实基层规范化管理，建设自有产权救助管理站，确保护好民生底线。</w:t>
      </w:r>
    </w:p>
    <w:p w14:paraId="77A604C0">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b/>
          <w:bCs/>
          <w:highlight w:val="none"/>
          <w:lang w:val="en-US" w:eastAsia="zh-CN"/>
        </w:rPr>
        <w:t>更加突出普惠福利温度，增进特殊群体关爱新福祉。</w:t>
      </w:r>
      <w:r>
        <w:rPr>
          <w:rFonts w:hint="eastAsia" w:ascii="Times New Roman" w:hAnsi="Times New Roman" w:eastAsia="仿宋_GB2312" w:cs="仿宋_GB2312"/>
          <w:highlight w:val="none"/>
          <w:lang w:val="en-US" w:eastAsia="zh-CN"/>
        </w:rPr>
        <w:t>全面覆盖的儿童福利保障工作格局初步构建，区属儿童福利机构服务保障能力进一步提升。残疾人“两项补贴”规范有序开展，区级精神卫生福利机构建设取得进展，精神障碍社区康复服务水平显著提升。</w:t>
      </w:r>
    </w:p>
    <w:p w14:paraId="48CDF810">
      <w:pPr>
        <w:keepNext w:val="0"/>
        <w:keepLines w:val="0"/>
        <w:pageBreakBefore w:val="0"/>
        <w:widowControl w:val="0"/>
        <w:shd w:val="clear"/>
        <w:kinsoku/>
        <w:wordWrap/>
        <w:overflowPunct/>
        <w:topLinePunct w:val="0"/>
        <w:autoSpaceDE/>
        <w:autoSpaceDN/>
        <w:bidi w:val="0"/>
        <w:adjustRightInd/>
        <w:snapToGrid/>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b/>
          <w:bCs/>
          <w:highlight w:val="none"/>
          <w:lang w:val="en-US" w:eastAsia="zh-CN"/>
        </w:rPr>
        <w:t>更加突出社会服务质效，树立便民利民服务新标杆。</w:t>
      </w:r>
      <w:r>
        <w:rPr>
          <w:rFonts w:hint="eastAsia" w:ascii="Times New Roman" w:hAnsi="Times New Roman" w:eastAsia="仿宋_GB2312" w:cs="仿宋_GB2312"/>
          <w:highlight w:val="none"/>
          <w:lang w:val="en-US" w:eastAsia="zh-CN"/>
        </w:rPr>
        <w:t>基本社会服务体系的普惠性、公平性和可及性更加突出。民政力量配备、设施建设、资金投入、信息化建设等显著改善，婚姻、殡葬等专项社会服务供给更加专业规范、便民利民、优质高效，群众差异化诉求得到充分响应，民政管理服务标准化建设有效推动。</w:t>
      </w:r>
    </w:p>
    <w:p w14:paraId="3200C718">
      <w:pPr>
        <w:keepNext w:val="0"/>
        <w:keepLines w:val="0"/>
        <w:pageBreakBefore w:val="0"/>
        <w:widowControl w:val="0"/>
        <w:shd w:val="clear"/>
        <w:tabs>
          <w:tab w:val="left" w:pos="1569"/>
        </w:tabs>
        <w:kinsoku/>
        <w:wordWrap/>
        <w:overflowPunct/>
        <w:topLinePunct w:val="0"/>
        <w:autoSpaceDE/>
        <w:autoSpaceDN/>
        <w:bidi w:val="0"/>
        <w:adjustRightInd/>
        <w:snapToGrid/>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b/>
          <w:bCs/>
          <w:highlight w:val="none"/>
          <w:lang w:val="en-US" w:eastAsia="zh-CN"/>
        </w:rPr>
        <w:t>更加突出社会治理合力，激发向上向善社会新活力。</w:t>
      </w:r>
      <w:r>
        <w:rPr>
          <w:rFonts w:hint="eastAsia" w:ascii="Times New Roman" w:hAnsi="Times New Roman" w:eastAsia="仿宋_GB2312" w:cs="仿宋_GB2312"/>
          <w:highlight w:val="none"/>
          <w:lang w:val="en-US" w:eastAsia="zh-CN"/>
        </w:rPr>
        <w:t>社会组织登记管理更加规范，综合监管体系更加健全，社会组织结构布局更加符合首都城市功能定位和城市治理需要，作用发挥更加高效。专业慈善组织充分发挥效力，慈善互助基金规模进一步扩大，慈善救助一体化建设效力进一步凸显，全民慈善氛围更加浓厚。行政区划管理工作更加适应朝阳区城乡一体化进程，为区域发展创造良好机制和环境。</w:t>
      </w:r>
    </w:p>
    <w:bookmarkEnd w:id="48"/>
    <w:bookmarkEnd w:id="49"/>
    <w:bookmarkEnd w:id="50"/>
    <w:bookmarkEnd w:id="51"/>
    <w:bookmarkEnd w:id="52"/>
    <w:bookmarkEnd w:id="53"/>
    <w:bookmarkEnd w:id="54"/>
    <w:bookmarkEnd w:id="55"/>
    <w:bookmarkEnd w:id="56"/>
    <w:bookmarkEnd w:id="57"/>
    <w:bookmarkEnd w:id="58"/>
    <w:bookmarkEnd w:id="59"/>
    <w:bookmarkEnd w:id="60"/>
    <w:p w14:paraId="2479438D">
      <w:pPr>
        <w:keepNext w:val="0"/>
        <w:keepLines w:val="0"/>
        <w:pageBreakBefore w:val="0"/>
        <w:widowControl w:val="0"/>
        <w:shd w:val="clear"/>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Times New Roman" w:hAnsi="Times New Roman" w:eastAsia="黑体" w:cs="黑体"/>
          <w:color w:val="auto"/>
          <w:sz w:val="32"/>
          <w:szCs w:val="32"/>
          <w:highlight w:val="none"/>
        </w:rPr>
      </w:pPr>
      <w:bookmarkStart w:id="61" w:name="_Toc32460"/>
      <w:bookmarkStart w:id="62" w:name="_Toc8850"/>
      <w:r>
        <w:rPr>
          <w:rFonts w:hint="eastAsia" w:ascii="Times New Roman" w:hAnsi="Times New Roman" w:eastAsia="黑体" w:cs="黑体"/>
          <w:color w:val="auto"/>
          <w:sz w:val="32"/>
          <w:szCs w:val="32"/>
          <w:highlight w:val="none"/>
          <w:lang w:eastAsia="zh-CN"/>
        </w:rPr>
        <w:t>“</w:t>
      </w:r>
      <w:r>
        <w:rPr>
          <w:rFonts w:hint="eastAsia" w:ascii="Times New Roman" w:hAnsi="Times New Roman" w:eastAsia="黑体" w:cs="黑体"/>
          <w:color w:val="auto"/>
          <w:sz w:val="32"/>
          <w:szCs w:val="32"/>
          <w:highlight w:val="none"/>
        </w:rPr>
        <w:t>十</w:t>
      </w:r>
      <w:r>
        <w:rPr>
          <w:rFonts w:hint="eastAsia" w:ascii="Times New Roman" w:hAnsi="Times New Roman" w:eastAsia="黑体" w:cs="黑体"/>
          <w:color w:val="auto"/>
          <w:sz w:val="32"/>
          <w:szCs w:val="32"/>
          <w:highlight w:val="none"/>
          <w:lang w:eastAsia="zh-CN"/>
        </w:rPr>
        <w:t>五</w:t>
      </w:r>
      <w:r>
        <w:rPr>
          <w:rFonts w:hint="eastAsia" w:ascii="Times New Roman" w:hAnsi="Times New Roman" w:eastAsia="黑体" w:cs="黑体"/>
          <w:color w:val="auto"/>
          <w:sz w:val="32"/>
          <w:szCs w:val="32"/>
          <w:highlight w:val="none"/>
        </w:rPr>
        <w:t>五</w:t>
      </w:r>
      <w:r>
        <w:rPr>
          <w:rFonts w:hint="eastAsia" w:ascii="Times New Roman" w:hAnsi="Times New Roman" w:eastAsia="黑体" w:cs="黑体"/>
          <w:color w:val="auto"/>
          <w:sz w:val="32"/>
          <w:szCs w:val="32"/>
          <w:highlight w:val="none"/>
          <w:lang w:eastAsia="zh-CN"/>
        </w:rPr>
        <w:t>”</w:t>
      </w:r>
      <w:r>
        <w:rPr>
          <w:rFonts w:hint="eastAsia" w:ascii="Times New Roman" w:hAnsi="Times New Roman" w:eastAsia="黑体" w:cs="黑体"/>
          <w:color w:val="auto"/>
          <w:sz w:val="32"/>
          <w:szCs w:val="32"/>
          <w:highlight w:val="none"/>
        </w:rPr>
        <w:t>时期朝阳区</w:t>
      </w:r>
      <w:r>
        <w:rPr>
          <w:rFonts w:hint="eastAsia" w:ascii="Times New Roman" w:hAnsi="Times New Roman" w:eastAsia="黑体" w:cs="黑体"/>
          <w:color w:val="auto"/>
          <w:sz w:val="32"/>
          <w:szCs w:val="32"/>
          <w:highlight w:val="none"/>
          <w:lang w:eastAsia="zh-CN"/>
        </w:rPr>
        <w:t>民政</w:t>
      </w:r>
      <w:r>
        <w:rPr>
          <w:rFonts w:hint="eastAsia" w:ascii="Times New Roman" w:hAnsi="Times New Roman" w:eastAsia="黑体" w:cs="黑体"/>
          <w:color w:val="auto"/>
          <w:sz w:val="32"/>
          <w:szCs w:val="32"/>
          <w:highlight w:val="none"/>
        </w:rPr>
        <w:t>事业发展主要指标</w:t>
      </w:r>
    </w:p>
    <w:tbl>
      <w:tblPr>
        <w:tblStyle w:val="23"/>
        <w:tblpPr w:leftFromText="181" w:rightFromText="181" w:vertAnchor="text" w:horzAnchor="page" w:tblpX="1557" w:tblpY="235"/>
        <w:tblOverlap w:val="never"/>
        <w:tblW w:w="90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44"/>
        <w:gridCol w:w="600"/>
        <w:gridCol w:w="5046"/>
        <w:gridCol w:w="997"/>
        <w:gridCol w:w="1178"/>
      </w:tblGrid>
      <w:tr w14:paraId="14FA4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5" w:hRule="atLeast"/>
          <w:jc w:val="center"/>
        </w:trPr>
        <w:tc>
          <w:tcPr>
            <w:tcW w:w="1244" w:type="dxa"/>
            <w:shd w:val="clear" w:color="auto" w:fill="auto"/>
            <w:tcMar>
              <w:top w:w="15" w:type="dxa"/>
              <w:left w:w="15" w:type="dxa"/>
              <w:right w:w="15" w:type="dxa"/>
            </w:tcMar>
            <w:vAlign w:val="center"/>
          </w:tcPr>
          <w:p w14:paraId="0DBDFB36">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eastAsia" w:ascii="Times New Roman" w:hAnsi="Times New Roman" w:eastAsia="黑体" w:cs="黑体"/>
                <w:color w:val="auto"/>
                <w:kern w:val="0"/>
                <w:sz w:val="28"/>
                <w:szCs w:val="28"/>
                <w:highlight w:val="none"/>
                <w:lang w:val="en-US" w:eastAsia="zh-CN"/>
              </w:rPr>
            </w:pPr>
            <w:r>
              <w:rPr>
                <w:rFonts w:hint="eastAsia" w:ascii="Times New Roman" w:hAnsi="Times New Roman" w:eastAsia="黑体" w:cs="黑体"/>
                <w:color w:val="auto"/>
                <w:kern w:val="0"/>
                <w:sz w:val="28"/>
                <w:szCs w:val="28"/>
                <w:highlight w:val="none"/>
                <w:lang w:val="en-US" w:eastAsia="zh-CN"/>
              </w:rPr>
              <w:t>领域</w:t>
            </w:r>
          </w:p>
        </w:tc>
        <w:tc>
          <w:tcPr>
            <w:tcW w:w="600" w:type="dxa"/>
            <w:shd w:val="clear" w:color="auto" w:fill="auto"/>
            <w:tcMar>
              <w:top w:w="15" w:type="dxa"/>
              <w:left w:w="15" w:type="dxa"/>
              <w:right w:w="15" w:type="dxa"/>
            </w:tcMar>
            <w:vAlign w:val="center"/>
          </w:tcPr>
          <w:p w14:paraId="71D10DD9">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eastAsia" w:ascii="Times New Roman" w:hAnsi="Times New Roman" w:eastAsia="黑体" w:cs="黑体"/>
                <w:color w:val="auto"/>
                <w:sz w:val="28"/>
                <w:szCs w:val="28"/>
                <w:highlight w:val="none"/>
              </w:rPr>
            </w:pPr>
            <w:r>
              <w:rPr>
                <w:rFonts w:hint="eastAsia" w:ascii="Times New Roman" w:hAnsi="Times New Roman" w:eastAsia="黑体" w:cs="黑体"/>
                <w:color w:val="auto"/>
                <w:kern w:val="0"/>
                <w:sz w:val="28"/>
                <w:szCs w:val="28"/>
                <w:highlight w:val="none"/>
              </w:rPr>
              <w:t>序号</w:t>
            </w:r>
          </w:p>
        </w:tc>
        <w:tc>
          <w:tcPr>
            <w:tcW w:w="5046" w:type="dxa"/>
            <w:shd w:val="clear" w:color="auto" w:fill="auto"/>
            <w:tcMar>
              <w:top w:w="15" w:type="dxa"/>
              <w:left w:w="15" w:type="dxa"/>
              <w:right w:w="15" w:type="dxa"/>
            </w:tcMar>
            <w:vAlign w:val="center"/>
          </w:tcPr>
          <w:p w14:paraId="42368F63">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eastAsia" w:ascii="Times New Roman" w:hAnsi="Times New Roman" w:eastAsia="黑体" w:cs="黑体"/>
                <w:color w:val="auto"/>
                <w:sz w:val="28"/>
                <w:szCs w:val="28"/>
                <w:highlight w:val="none"/>
              </w:rPr>
            </w:pPr>
            <w:r>
              <w:rPr>
                <w:rFonts w:hint="eastAsia" w:ascii="Times New Roman" w:hAnsi="Times New Roman" w:eastAsia="黑体" w:cs="黑体"/>
                <w:color w:val="auto"/>
                <w:kern w:val="0"/>
                <w:sz w:val="28"/>
                <w:szCs w:val="28"/>
                <w:highlight w:val="none"/>
              </w:rPr>
              <w:t>指标</w:t>
            </w:r>
          </w:p>
        </w:tc>
        <w:tc>
          <w:tcPr>
            <w:tcW w:w="997" w:type="dxa"/>
            <w:shd w:val="clear" w:color="auto" w:fill="auto"/>
            <w:tcMar>
              <w:top w:w="15" w:type="dxa"/>
              <w:left w:w="15" w:type="dxa"/>
              <w:right w:w="15" w:type="dxa"/>
            </w:tcMar>
            <w:vAlign w:val="center"/>
          </w:tcPr>
          <w:p w14:paraId="43F4D05B">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default" w:ascii="Times New Roman" w:hAnsi="Times New Roman" w:eastAsia="黑体" w:cs="黑体"/>
                <w:color w:val="auto"/>
                <w:kern w:val="0"/>
                <w:sz w:val="28"/>
                <w:szCs w:val="28"/>
                <w:highlight w:val="none"/>
                <w:lang w:val="en-US" w:eastAsia="zh-CN" w:bidi="ar-SA"/>
              </w:rPr>
            </w:pPr>
            <w:r>
              <w:rPr>
                <w:rFonts w:hint="eastAsia" w:ascii="Times New Roman" w:hAnsi="Times New Roman" w:eastAsia="黑体" w:cs="黑体"/>
                <w:color w:val="auto"/>
                <w:kern w:val="0"/>
                <w:sz w:val="28"/>
                <w:szCs w:val="28"/>
                <w:highlight w:val="none"/>
                <w:lang w:val="en-US" w:eastAsia="zh-CN" w:bidi="ar-SA"/>
              </w:rPr>
              <w:t>属性</w:t>
            </w:r>
          </w:p>
        </w:tc>
        <w:tc>
          <w:tcPr>
            <w:tcW w:w="1178" w:type="dxa"/>
            <w:vAlign w:val="center"/>
          </w:tcPr>
          <w:p w14:paraId="05A5B0A0">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default" w:ascii="Times New Roman" w:hAnsi="Times New Roman" w:eastAsia="黑体" w:cs="黑体"/>
                <w:color w:val="auto"/>
                <w:kern w:val="0"/>
                <w:sz w:val="28"/>
                <w:szCs w:val="28"/>
                <w:highlight w:val="none"/>
                <w:lang w:val="en-US" w:eastAsia="zh-CN"/>
              </w:rPr>
            </w:pPr>
            <w:r>
              <w:rPr>
                <w:rFonts w:hint="eastAsia" w:ascii="Times New Roman" w:hAnsi="Times New Roman" w:eastAsia="黑体" w:cs="黑体"/>
                <w:color w:val="auto"/>
                <w:kern w:val="0"/>
                <w:sz w:val="28"/>
                <w:szCs w:val="28"/>
                <w:highlight w:val="none"/>
                <w:lang w:val="en-US" w:eastAsia="zh-CN"/>
              </w:rPr>
              <w:t>2030年</w:t>
            </w:r>
          </w:p>
        </w:tc>
      </w:tr>
      <w:tr w14:paraId="621F1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3" w:hRule="atLeast"/>
          <w:jc w:val="center"/>
        </w:trPr>
        <w:tc>
          <w:tcPr>
            <w:tcW w:w="1244" w:type="dxa"/>
            <w:vMerge w:val="restart"/>
            <w:shd w:val="clear" w:color="auto" w:fill="auto"/>
            <w:tcMar>
              <w:top w:w="15" w:type="dxa"/>
              <w:left w:w="15" w:type="dxa"/>
              <w:right w:w="15" w:type="dxa"/>
            </w:tcMar>
            <w:vAlign w:val="center"/>
          </w:tcPr>
          <w:p w14:paraId="4A803374">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eastAsia" w:ascii="仿宋_GB2312" w:hAnsi="仿宋_GB2312" w:eastAsia="仿宋_GB2312" w:cs="仿宋_GB2312"/>
                <w:color w:val="auto"/>
                <w:kern w:val="0"/>
                <w:sz w:val="28"/>
                <w:szCs w:val="28"/>
                <w:highlight w:val="none"/>
                <w:lang w:val="en-US" w:eastAsia="zh-CN"/>
              </w:rPr>
            </w:pPr>
          </w:p>
          <w:p w14:paraId="3778312B">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eastAsia" w:ascii="仿宋_GB2312" w:hAnsi="仿宋_GB2312" w:eastAsia="仿宋_GB2312" w:cs="仿宋_GB2312"/>
                <w:color w:val="auto"/>
                <w:kern w:val="0"/>
                <w:sz w:val="28"/>
                <w:szCs w:val="28"/>
                <w:highlight w:val="none"/>
                <w:lang w:val="en-US" w:eastAsia="zh-CN"/>
              </w:rPr>
            </w:pPr>
          </w:p>
          <w:p w14:paraId="57B4D3B9">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老龄和养老服务</w:t>
            </w:r>
          </w:p>
        </w:tc>
        <w:tc>
          <w:tcPr>
            <w:tcW w:w="600" w:type="dxa"/>
            <w:shd w:val="clear" w:color="auto" w:fill="auto"/>
            <w:tcMar>
              <w:top w:w="15" w:type="dxa"/>
              <w:left w:w="15" w:type="dxa"/>
              <w:right w:w="15" w:type="dxa"/>
            </w:tcMar>
            <w:vAlign w:val="center"/>
          </w:tcPr>
          <w:p w14:paraId="66259D10">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default" w:ascii="Times New Roman" w:hAnsi="Times New Roman" w:eastAsia="方正仿宋_GB2312" w:cs="Times New Roman"/>
                <w:color w:val="auto"/>
                <w:kern w:val="0"/>
                <w:sz w:val="28"/>
                <w:szCs w:val="28"/>
                <w:highlight w:val="none"/>
                <w:lang w:val="en-US" w:eastAsia="zh-CN"/>
              </w:rPr>
            </w:pPr>
            <w:r>
              <w:rPr>
                <w:rFonts w:hint="eastAsia" w:ascii="Times New Roman" w:hAnsi="Times New Roman" w:cs="Times New Roman"/>
                <w:color w:val="auto"/>
                <w:kern w:val="0"/>
                <w:sz w:val="28"/>
                <w:szCs w:val="28"/>
                <w:highlight w:val="none"/>
                <w:lang w:val="en-US" w:eastAsia="zh-CN"/>
              </w:rPr>
              <w:t>1</w:t>
            </w:r>
          </w:p>
        </w:tc>
        <w:tc>
          <w:tcPr>
            <w:tcW w:w="5046" w:type="dxa"/>
            <w:shd w:val="clear" w:color="auto" w:fill="auto"/>
            <w:tcMar>
              <w:top w:w="15" w:type="dxa"/>
              <w:left w:w="15" w:type="dxa"/>
              <w:right w:w="15" w:type="dxa"/>
            </w:tcMar>
            <w:vAlign w:val="top"/>
          </w:tcPr>
          <w:p w14:paraId="1A49601D">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每千名常住人口拥有养老床位数（张）</w:t>
            </w:r>
          </w:p>
        </w:tc>
        <w:tc>
          <w:tcPr>
            <w:tcW w:w="997" w:type="dxa"/>
            <w:shd w:val="clear" w:color="auto" w:fill="auto"/>
            <w:tcMar>
              <w:top w:w="15" w:type="dxa"/>
              <w:left w:w="15" w:type="dxa"/>
              <w:right w:w="15" w:type="dxa"/>
            </w:tcMar>
            <w:vAlign w:val="top"/>
          </w:tcPr>
          <w:p w14:paraId="363DBE36">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约束性</w:t>
            </w:r>
          </w:p>
        </w:tc>
        <w:tc>
          <w:tcPr>
            <w:tcW w:w="1178" w:type="dxa"/>
            <w:vAlign w:val="top"/>
          </w:tcPr>
          <w:p w14:paraId="75073D81">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default" w:ascii="Times New Roman" w:hAnsi="Times New Roman" w:eastAsia="方正仿宋_GB2312"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＞8.25</w:t>
            </w:r>
          </w:p>
        </w:tc>
      </w:tr>
      <w:tr w14:paraId="1D846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3" w:hRule="atLeast"/>
          <w:jc w:val="center"/>
        </w:trPr>
        <w:tc>
          <w:tcPr>
            <w:tcW w:w="1244" w:type="dxa"/>
            <w:vMerge w:val="continue"/>
            <w:shd w:val="clear" w:color="auto" w:fill="auto"/>
            <w:tcMar>
              <w:top w:w="15" w:type="dxa"/>
              <w:left w:w="15" w:type="dxa"/>
              <w:right w:w="15" w:type="dxa"/>
            </w:tcMar>
            <w:vAlign w:val="center"/>
          </w:tcPr>
          <w:p w14:paraId="64FC7D9C">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eastAsia" w:ascii="仿宋_GB2312" w:hAnsi="仿宋_GB2312" w:eastAsia="仿宋_GB2312" w:cs="仿宋_GB2312"/>
                <w:color w:val="auto"/>
                <w:kern w:val="0"/>
                <w:sz w:val="28"/>
                <w:szCs w:val="28"/>
                <w:highlight w:val="none"/>
                <w:lang w:val="en-US" w:eastAsia="zh-CN"/>
              </w:rPr>
            </w:pPr>
          </w:p>
        </w:tc>
        <w:tc>
          <w:tcPr>
            <w:tcW w:w="600" w:type="dxa"/>
            <w:shd w:val="clear" w:color="auto" w:fill="auto"/>
            <w:tcMar>
              <w:top w:w="15" w:type="dxa"/>
              <w:left w:w="15" w:type="dxa"/>
              <w:right w:w="15" w:type="dxa"/>
            </w:tcMar>
            <w:vAlign w:val="center"/>
          </w:tcPr>
          <w:p w14:paraId="170A60EB">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default" w:ascii="Times New Roman" w:hAnsi="Times New Roman" w:eastAsia="方正仿宋_GB2312" w:cs="Times New Roman"/>
                <w:color w:val="auto"/>
                <w:sz w:val="28"/>
                <w:szCs w:val="28"/>
                <w:highlight w:val="none"/>
                <w:lang w:eastAsia="zh-CN"/>
              </w:rPr>
            </w:pPr>
            <w:r>
              <w:rPr>
                <w:rFonts w:hint="eastAsia" w:ascii="Times New Roman" w:hAnsi="Times New Roman" w:cs="Times New Roman"/>
                <w:color w:val="auto"/>
                <w:kern w:val="0"/>
                <w:sz w:val="28"/>
                <w:szCs w:val="28"/>
                <w:highlight w:val="none"/>
                <w:lang w:val="en-US" w:eastAsia="zh-CN"/>
              </w:rPr>
              <w:t>2</w:t>
            </w:r>
          </w:p>
        </w:tc>
        <w:tc>
          <w:tcPr>
            <w:tcW w:w="5046" w:type="dxa"/>
            <w:shd w:val="clear" w:color="auto" w:fill="auto"/>
            <w:tcMar>
              <w:top w:w="15" w:type="dxa"/>
              <w:left w:w="15" w:type="dxa"/>
              <w:right w:w="15" w:type="dxa"/>
            </w:tcMar>
            <w:vAlign w:val="top"/>
          </w:tcPr>
          <w:p w14:paraId="1E2D8359">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万名老年人拥有护理员数（人）</w:t>
            </w:r>
          </w:p>
        </w:tc>
        <w:tc>
          <w:tcPr>
            <w:tcW w:w="997" w:type="dxa"/>
            <w:shd w:val="clear" w:color="auto" w:fill="auto"/>
            <w:tcMar>
              <w:top w:w="15" w:type="dxa"/>
              <w:left w:w="15" w:type="dxa"/>
              <w:right w:w="15" w:type="dxa"/>
            </w:tcMar>
            <w:vAlign w:val="top"/>
          </w:tcPr>
          <w:p w14:paraId="3DC1EB9C">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lang w:val="en-US" w:eastAsia="zh-CN"/>
              </w:rPr>
              <w:t>预期性</w:t>
            </w:r>
          </w:p>
        </w:tc>
        <w:tc>
          <w:tcPr>
            <w:tcW w:w="1178" w:type="dxa"/>
            <w:vAlign w:val="top"/>
          </w:tcPr>
          <w:p w14:paraId="59F9759A">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default" w:ascii="Times New Roman" w:hAnsi="Times New Roman" w:eastAsia="方正仿宋_GB2312"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100</w:t>
            </w:r>
          </w:p>
        </w:tc>
      </w:tr>
      <w:tr w14:paraId="23B55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7" w:hRule="atLeast"/>
          <w:jc w:val="center"/>
        </w:trPr>
        <w:tc>
          <w:tcPr>
            <w:tcW w:w="1244" w:type="dxa"/>
            <w:vMerge w:val="continue"/>
            <w:shd w:val="clear" w:color="auto" w:fill="auto"/>
            <w:tcMar>
              <w:top w:w="15" w:type="dxa"/>
              <w:left w:w="15" w:type="dxa"/>
              <w:right w:w="15" w:type="dxa"/>
            </w:tcMar>
            <w:vAlign w:val="center"/>
          </w:tcPr>
          <w:p w14:paraId="6611E78C">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eastAsia" w:ascii="仿宋_GB2312" w:hAnsi="仿宋_GB2312" w:eastAsia="仿宋_GB2312" w:cs="仿宋_GB2312"/>
                <w:color w:val="auto"/>
                <w:kern w:val="0"/>
                <w:sz w:val="28"/>
                <w:szCs w:val="28"/>
                <w:highlight w:val="none"/>
                <w:lang w:val="en-US" w:eastAsia="zh-CN"/>
              </w:rPr>
            </w:pPr>
          </w:p>
        </w:tc>
        <w:tc>
          <w:tcPr>
            <w:tcW w:w="600" w:type="dxa"/>
            <w:shd w:val="clear" w:color="auto" w:fill="auto"/>
            <w:tcMar>
              <w:top w:w="15" w:type="dxa"/>
              <w:left w:w="15" w:type="dxa"/>
              <w:right w:w="15" w:type="dxa"/>
            </w:tcMar>
            <w:vAlign w:val="center"/>
          </w:tcPr>
          <w:p w14:paraId="130FE6EF">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default" w:ascii="Times New Roman" w:hAnsi="Times New Roman" w:eastAsia="方正仿宋_GB2312" w:cs="Times New Roman"/>
                <w:color w:val="auto"/>
                <w:kern w:val="0"/>
                <w:sz w:val="28"/>
                <w:szCs w:val="28"/>
                <w:highlight w:val="none"/>
                <w:lang w:val="en-US" w:eastAsia="zh-CN"/>
              </w:rPr>
            </w:pPr>
            <w:r>
              <w:rPr>
                <w:rFonts w:hint="eastAsia" w:ascii="Times New Roman" w:hAnsi="Times New Roman" w:cs="Times New Roman"/>
                <w:color w:val="auto"/>
                <w:kern w:val="0"/>
                <w:sz w:val="28"/>
                <w:szCs w:val="28"/>
                <w:highlight w:val="none"/>
                <w:lang w:val="en-US" w:eastAsia="zh-CN"/>
              </w:rPr>
              <w:t>3</w:t>
            </w:r>
          </w:p>
        </w:tc>
        <w:tc>
          <w:tcPr>
            <w:tcW w:w="5046" w:type="dxa"/>
            <w:shd w:val="clear" w:color="auto" w:fill="auto"/>
            <w:tcMar>
              <w:top w:w="15" w:type="dxa"/>
              <w:left w:w="15" w:type="dxa"/>
              <w:right w:w="15" w:type="dxa"/>
            </w:tcMar>
            <w:vAlign w:val="top"/>
          </w:tcPr>
          <w:p w14:paraId="740D6114">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eastAsia" w:ascii="Times New Roman" w:hAnsi="Times New Roman" w:eastAsia="仿宋_GB2312" w:cs="仿宋_GB2312"/>
                <w:color w:val="auto"/>
                <w:sz w:val="28"/>
                <w:szCs w:val="28"/>
                <w:highlight w:val="none"/>
                <w:lang w:eastAsia="zh-CN"/>
              </w:rPr>
            </w:pPr>
            <w:r>
              <w:rPr>
                <w:rFonts w:hint="eastAsia" w:ascii="Times New Roman" w:hAnsi="Times New Roman" w:eastAsia="仿宋_GB2312" w:cs="仿宋_GB2312"/>
                <w:color w:val="auto"/>
                <w:sz w:val="28"/>
                <w:szCs w:val="28"/>
                <w:highlight w:val="none"/>
                <w:lang w:val="en-US" w:eastAsia="zh-CN"/>
              </w:rPr>
              <w:t>养老机构护理型床位占比（%）</w:t>
            </w:r>
          </w:p>
        </w:tc>
        <w:tc>
          <w:tcPr>
            <w:tcW w:w="997" w:type="dxa"/>
            <w:shd w:val="clear" w:color="auto" w:fill="auto"/>
            <w:tcMar>
              <w:top w:w="15" w:type="dxa"/>
              <w:left w:w="15" w:type="dxa"/>
              <w:right w:w="15" w:type="dxa"/>
            </w:tcMar>
            <w:vAlign w:val="top"/>
          </w:tcPr>
          <w:p w14:paraId="38723EA4">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lang w:val="en-US" w:eastAsia="zh-CN"/>
              </w:rPr>
              <w:t>预期性</w:t>
            </w:r>
          </w:p>
        </w:tc>
        <w:tc>
          <w:tcPr>
            <w:tcW w:w="1178" w:type="dxa"/>
            <w:vAlign w:val="top"/>
          </w:tcPr>
          <w:p w14:paraId="6657341B">
            <w:pPr>
              <w:keepNext w:val="0"/>
              <w:keepLines w:val="0"/>
              <w:pageBreakBefore w:val="0"/>
              <w:widowControl/>
              <w:shd w:val="clear"/>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方正仿宋_GB2312"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73</w:t>
            </w:r>
            <w:r>
              <w:rPr>
                <w:rFonts w:hint="eastAsia" w:cs="Times New Roman"/>
                <w:color w:val="auto"/>
                <w:sz w:val="24"/>
                <w:szCs w:val="24"/>
                <w:highlight w:val="none"/>
                <w:shd w:val="clear"/>
                <w:lang w:val="en-US" w:eastAsia="zh-CN"/>
              </w:rPr>
              <w:t>（力争达到75）</w:t>
            </w:r>
          </w:p>
        </w:tc>
      </w:tr>
      <w:tr w14:paraId="65568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2" w:hRule="atLeast"/>
          <w:jc w:val="center"/>
        </w:trPr>
        <w:tc>
          <w:tcPr>
            <w:tcW w:w="1244" w:type="dxa"/>
            <w:vMerge w:val="continue"/>
            <w:shd w:val="clear" w:color="auto" w:fill="auto"/>
            <w:tcMar>
              <w:top w:w="15" w:type="dxa"/>
              <w:left w:w="15" w:type="dxa"/>
              <w:right w:w="15" w:type="dxa"/>
            </w:tcMar>
            <w:vAlign w:val="center"/>
          </w:tcPr>
          <w:p w14:paraId="79C2FED2">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eastAsia" w:ascii="仿宋_GB2312" w:hAnsi="仿宋_GB2312" w:eastAsia="仿宋_GB2312" w:cs="仿宋_GB2312"/>
                <w:color w:val="auto"/>
                <w:kern w:val="0"/>
                <w:sz w:val="28"/>
                <w:szCs w:val="28"/>
                <w:highlight w:val="none"/>
                <w:lang w:val="en-US" w:eastAsia="zh-CN"/>
              </w:rPr>
            </w:pPr>
          </w:p>
        </w:tc>
        <w:tc>
          <w:tcPr>
            <w:tcW w:w="600" w:type="dxa"/>
            <w:shd w:val="clear" w:color="auto" w:fill="auto"/>
            <w:tcMar>
              <w:top w:w="15" w:type="dxa"/>
              <w:left w:w="15" w:type="dxa"/>
              <w:right w:w="15" w:type="dxa"/>
            </w:tcMar>
            <w:vAlign w:val="center"/>
          </w:tcPr>
          <w:p w14:paraId="72CE461B">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default" w:ascii="Times New Roman" w:hAnsi="Times New Roman" w:eastAsia="方正仿宋_GB2312" w:cs="Times New Roman"/>
                <w:color w:val="auto"/>
                <w:kern w:val="0"/>
                <w:sz w:val="28"/>
                <w:szCs w:val="28"/>
                <w:highlight w:val="none"/>
                <w:lang w:val="en-US" w:eastAsia="zh-CN"/>
              </w:rPr>
            </w:pPr>
            <w:r>
              <w:rPr>
                <w:rFonts w:hint="eastAsia" w:ascii="Times New Roman" w:hAnsi="Times New Roman" w:cs="Times New Roman"/>
                <w:color w:val="auto"/>
                <w:kern w:val="0"/>
                <w:sz w:val="28"/>
                <w:szCs w:val="28"/>
                <w:highlight w:val="none"/>
                <w:lang w:val="en-US" w:eastAsia="zh-CN"/>
              </w:rPr>
              <w:t>4</w:t>
            </w:r>
          </w:p>
        </w:tc>
        <w:tc>
          <w:tcPr>
            <w:tcW w:w="5046" w:type="dxa"/>
            <w:shd w:val="clear" w:color="auto" w:fill="auto"/>
            <w:tcMar>
              <w:top w:w="15" w:type="dxa"/>
              <w:left w:w="15" w:type="dxa"/>
              <w:right w:w="15" w:type="dxa"/>
            </w:tcMar>
            <w:vAlign w:val="top"/>
          </w:tcPr>
          <w:p w14:paraId="60854C8A">
            <w:pPr>
              <w:keepNext w:val="0"/>
              <w:keepLines w:val="0"/>
              <w:pageBreakBefore w:val="0"/>
              <w:widowControl/>
              <w:shd w:val="clea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100张床位以上且具备相应服务能力的养老机构失智老年人照护专区（单元）设置率（%）</w:t>
            </w:r>
          </w:p>
        </w:tc>
        <w:tc>
          <w:tcPr>
            <w:tcW w:w="997" w:type="dxa"/>
            <w:shd w:val="clear" w:color="auto" w:fill="auto"/>
            <w:tcMar>
              <w:top w:w="15" w:type="dxa"/>
              <w:left w:w="15" w:type="dxa"/>
              <w:right w:w="15" w:type="dxa"/>
            </w:tcMar>
            <w:vAlign w:val="top"/>
          </w:tcPr>
          <w:p w14:paraId="648F4332">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eastAsia" w:ascii="Times New Roman" w:hAnsi="Times New Roman" w:eastAsia="仿宋_GB2312" w:cs="仿宋_GB2312"/>
                <w:color w:val="auto"/>
                <w:sz w:val="28"/>
                <w:szCs w:val="28"/>
                <w:highlight w:val="none"/>
                <w:lang w:val="en-US" w:eastAsia="zh-CN"/>
              </w:rPr>
            </w:pPr>
          </w:p>
          <w:p w14:paraId="56C3A7BF">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预期性</w:t>
            </w:r>
          </w:p>
        </w:tc>
        <w:tc>
          <w:tcPr>
            <w:tcW w:w="1178" w:type="dxa"/>
            <w:vAlign w:val="top"/>
          </w:tcPr>
          <w:p w14:paraId="0E5BD26D">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default" w:ascii="Times New Roman" w:hAnsi="Times New Roman" w:cs="Times New Roman"/>
                <w:color w:val="auto"/>
                <w:sz w:val="28"/>
                <w:szCs w:val="28"/>
                <w:highlight w:val="none"/>
                <w:lang w:val="en-US" w:eastAsia="zh-CN"/>
              </w:rPr>
            </w:pPr>
          </w:p>
          <w:p w14:paraId="0C0D01CA">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default"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≥50</w:t>
            </w:r>
          </w:p>
        </w:tc>
      </w:tr>
      <w:tr w14:paraId="2508A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9" w:hRule="atLeast"/>
          <w:jc w:val="center"/>
        </w:trPr>
        <w:tc>
          <w:tcPr>
            <w:tcW w:w="1244" w:type="dxa"/>
            <w:vMerge w:val="continue"/>
            <w:shd w:val="clear" w:color="auto" w:fill="auto"/>
            <w:tcMar>
              <w:top w:w="15" w:type="dxa"/>
              <w:left w:w="15" w:type="dxa"/>
              <w:right w:w="15" w:type="dxa"/>
            </w:tcMar>
            <w:vAlign w:val="center"/>
          </w:tcPr>
          <w:p w14:paraId="691544F0">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eastAsia" w:ascii="仿宋_GB2312" w:hAnsi="仿宋_GB2312" w:eastAsia="仿宋_GB2312" w:cs="仿宋_GB2312"/>
                <w:color w:val="auto"/>
                <w:kern w:val="0"/>
                <w:sz w:val="28"/>
                <w:szCs w:val="28"/>
                <w:highlight w:val="none"/>
                <w:lang w:val="en-US" w:eastAsia="zh-CN"/>
              </w:rPr>
            </w:pPr>
          </w:p>
        </w:tc>
        <w:tc>
          <w:tcPr>
            <w:tcW w:w="600" w:type="dxa"/>
            <w:shd w:val="clear" w:color="auto" w:fill="auto"/>
            <w:tcMar>
              <w:top w:w="15" w:type="dxa"/>
              <w:left w:w="15" w:type="dxa"/>
              <w:right w:w="15" w:type="dxa"/>
            </w:tcMar>
            <w:vAlign w:val="center"/>
          </w:tcPr>
          <w:p w14:paraId="3A6E9950">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default" w:ascii="Times New Roman" w:hAnsi="Times New Roman" w:eastAsia="方正仿宋_GB2312" w:cs="Times New Roman"/>
                <w:color w:val="auto"/>
                <w:kern w:val="0"/>
                <w:sz w:val="28"/>
                <w:szCs w:val="28"/>
                <w:highlight w:val="none"/>
                <w:lang w:val="en-US" w:eastAsia="zh-CN"/>
              </w:rPr>
            </w:pPr>
            <w:r>
              <w:rPr>
                <w:rFonts w:hint="eastAsia" w:ascii="Times New Roman" w:hAnsi="Times New Roman" w:cs="Times New Roman"/>
                <w:color w:val="auto"/>
                <w:kern w:val="0"/>
                <w:sz w:val="28"/>
                <w:szCs w:val="28"/>
                <w:highlight w:val="none"/>
                <w:lang w:val="en-US" w:eastAsia="zh-CN"/>
              </w:rPr>
              <w:t>5</w:t>
            </w:r>
          </w:p>
        </w:tc>
        <w:tc>
          <w:tcPr>
            <w:tcW w:w="5046" w:type="dxa"/>
            <w:shd w:val="clear" w:color="auto" w:fill="auto"/>
            <w:tcMar>
              <w:top w:w="15" w:type="dxa"/>
              <w:left w:w="15" w:type="dxa"/>
              <w:right w:w="15" w:type="dxa"/>
            </w:tcMar>
            <w:vAlign w:val="top"/>
          </w:tcPr>
          <w:p w14:paraId="27AF3918">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街乡区域养老服务中心</w:t>
            </w:r>
            <w:r>
              <w:rPr>
                <w:rFonts w:hint="eastAsia" w:eastAsia="仿宋_GB2312" w:cs="仿宋_GB2312"/>
                <w:color w:val="auto"/>
                <w:sz w:val="28"/>
                <w:szCs w:val="28"/>
                <w:highlight w:val="none"/>
                <w:lang w:val="en-US" w:eastAsia="zh-CN"/>
              </w:rPr>
              <w:t>服务</w:t>
            </w:r>
            <w:r>
              <w:rPr>
                <w:rFonts w:hint="eastAsia" w:ascii="Times New Roman" w:hAnsi="Times New Roman" w:eastAsia="仿宋_GB2312" w:cs="仿宋_GB2312"/>
                <w:color w:val="auto"/>
                <w:sz w:val="28"/>
                <w:szCs w:val="28"/>
                <w:highlight w:val="none"/>
                <w:lang w:val="en-US" w:eastAsia="zh-CN"/>
              </w:rPr>
              <w:t>覆盖率（%）</w:t>
            </w:r>
          </w:p>
        </w:tc>
        <w:tc>
          <w:tcPr>
            <w:tcW w:w="997" w:type="dxa"/>
            <w:shd w:val="clear" w:color="auto" w:fill="auto"/>
            <w:tcMar>
              <w:top w:w="15" w:type="dxa"/>
              <w:left w:w="15" w:type="dxa"/>
              <w:right w:w="15" w:type="dxa"/>
            </w:tcMar>
            <w:vAlign w:val="top"/>
          </w:tcPr>
          <w:p w14:paraId="0CC38E4B">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预期性</w:t>
            </w:r>
          </w:p>
        </w:tc>
        <w:tc>
          <w:tcPr>
            <w:tcW w:w="1178" w:type="dxa"/>
            <w:vAlign w:val="top"/>
          </w:tcPr>
          <w:p w14:paraId="0A29F67F">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default" w:ascii="Times New Roman" w:hAnsi="Times New Roman" w:cs="Times New Roman"/>
                <w:color w:val="auto"/>
                <w:sz w:val="28"/>
                <w:szCs w:val="28"/>
                <w:highlight w:val="none"/>
                <w:lang w:val="en-US" w:eastAsia="zh-CN"/>
              </w:rPr>
            </w:pPr>
            <w:r>
              <w:rPr>
                <w:rFonts w:hint="eastAsia" w:cs="Times New Roman"/>
                <w:color w:val="auto"/>
                <w:sz w:val="28"/>
                <w:szCs w:val="28"/>
                <w:highlight w:val="none"/>
                <w:lang w:val="en-US" w:eastAsia="zh-CN"/>
              </w:rPr>
              <w:t>80</w:t>
            </w:r>
          </w:p>
        </w:tc>
      </w:tr>
      <w:tr w14:paraId="4ADD1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7" w:hRule="atLeast"/>
          <w:jc w:val="center"/>
        </w:trPr>
        <w:tc>
          <w:tcPr>
            <w:tcW w:w="1244" w:type="dxa"/>
            <w:shd w:val="clear" w:color="auto" w:fill="auto"/>
            <w:tcMar>
              <w:top w:w="15" w:type="dxa"/>
              <w:left w:w="15" w:type="dxa"/>
              <w:right w:w="15" w:type="dxa"/>
            </w:tcMar>
            <w:vAlign w:val="center"/>
          </w:tcPr>
          <w:p w14:paraId="0D1B631C">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社会救助</w:t>
            </w:r>
          </w:p>
        </w:tc>
        <w:tc>
          <w:tcPr>
            <w:tcW w:w="600" w:type="dxa"/>
            <w:shd w:val="clear" w:color="auto" w:fill="auto"/>
            <w:tcMar>
              <w:top w:w="15" w:type="dxa"/>
              <w:left w:w="15" w:type="dxa"/>
              <w:right w:w="15" w:type="dxa"/>
            </w:tcMar>
            <w:vAlign w:val="center"/>
          </w:tcPr>
          <w:p w14:paraId="4FA11C79">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default" w:ascii="Times New Roman" w:hAnsi="Times New Roman" w:eastAsia="方正仿宋_GB2312" w:cs="Times New Roman"/>
                <w:color w:val="auto"/>
                <w:kern w:val="0"/>
                <w:sz w:val="28"/>
                <w:szCs w:val="28"/>
                <w:highlight w:val="none"/>
                <w:lang w:val="en-US" w:eastAsia="zh-CN"/>
              </w:rPr>
            </w:pPr>
            <w:r>
              <w:rPr>
                <w:rFonts w:hint="eastAsia" w:ascii="Times New Roman" w:hAnsi="Times New Roman" w:cs="Times New Roman"/>
                <w:color w:val="auto"/>
                <w:kern w:val="0"/>
                <w:sz w:val="28"/>
                <w:szCs w:val="28"/>
                <w:highlight w:val="none"/>
                <w:lang w:val="en-US" w:eastAsia="zh-CN"/>
              </w:rPr>
              <w:t>6</w:t>
            </w:r>
          </w:p>
        </w:tc>
        <w:tc>
          <w:tcPr>
            <w:tcW w:w="5046" w:type="dxa"/>
            <w:shd w:val="clear" w:color="auto" w:fill="auto"/>
            <w:tcMar>
              <w:top w:w="15" w:type="dxa"/>
              <w:left w:w="15" w:type="dxa"/>
              <w:right w:w="15" w:type="dxa"/>
            </w:tcMar>
            <w:vAlign w:val="top"/>
          </w:tcPr>
          <w:p w14:paraId="0665ABB5">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低保标准占人均消费支出量化区间（%）</w:t>
            </w:r>
          </w:p>
        </w:tc>
        <w:tc>
          <w:tcPr>
            <w:tcW w:w="997" w:type="dxa"/>
            <w:shd w:val="clear" w:color="auto" w:fill="auto"/>
            <w:tcMar>
              <w:top w:w="15" w:type="dxa"/>
              <w:left w:w="15" w:type="dxa"/>
              <w:right w:w="15" w:type="dxa"/>
            </w:tcMar>
            <w:vAlign w:val="top"/>
          </w:tcPr>
          <w:p w14:paraId="0C433070">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预期性</w:t>
            </w:r>
          </w:p>
        </w:tc>
        <w:tc>
          <w:tcPr>
            <w:tcW w:w="1178" w:type="dxa"/>
            <w:vAlign w:val="top"/>
          </w:tcPr>
          <w:p w14:paraId="16ECB53D">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default"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30-38</w:t>
            </w:r>
          </w:p>
        </w:tc>
      </w:tr>
      <w:tr w14:paraId="039ED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5" w:hRule="atLeast"/>
          <w:jc w:val="center"/>
        </w:trPr>
        <w:tc>
          <w:tcPr>
            <w:tcW w:w="1244" w:type="dxa"/>
            <w:vMerge w:val="restart"/>
            <w:shd w:val="clear" w:color="auto" w:fill="auto"/>
            <w:tcMar>
              <w:top w:w="15" w:type="dxa"/>
              <w:left w:w="15" w:type="dxa"/>
              <w:right w:w="15" w:type="dxa"/>
            </w:tcMar>
            <w:vAlign w:val="center"/>
          </w:tcPr>
          <w:p w14:paraId="2C5AF905">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社会福利</w:t>
            </w:r>
          </w:p>
        </w:tc>
        <w:tc>
          <w:tcPr>
            <w:tcW w:w="600" w:type="dxa"/>
            <w:shd w:val="clear" w:color="auto" w:fill="auto"/>
            <w:tcMar>
              <w:top w:w="15" w:type="dxa"/>
              <w:left w:w="15" w:type="dxa"/>
              <w:right w:w="15" w:type="dxa"/>
            </w:tcMar>
            <w:vAlign w:val="center"/>
          </w:tcPr>
          <w:p w14:paraId="36F9BCC3">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default" w:ascii="Times New Roman" w:hAnsi="Times New Roman" w:eastAsia="方正仿宋_GB2312" w:cs="Times New Roman"/>
                <w:color w:val="auto"/>
                <w:kern w:val="0"/>
                <w:sz w:val="28"/>
                <w:szCs w:val="28"/>
                <w:highlight w:val="none"/>
                <w:lang w:val="en-US" w:eastAsia="zh-CN"/>
              </w:rPr>
            </w:pPr>
            <w:r>
              <w:rPr>
                <w:rFonts w:hint="eastAsia" w:ascii="Times New Roman" w:hAnsi="Times New Roman" w:cs="Times New Roman"/>
                <w:color w:val="auto"/>
                <w:kern w:val="0"/>
                <w:sz w:val="28"/>
                <w:szCs w:val="28"/>
                <w:highlight w:val="none"/>
                <w:lang w:val="en-US" w:eastAsia="zh-CN"/>
              </w:rPr>
              <w:t>7</w:t>
            </w:r>
          </w:p>
        </w:tc>
        <w:tc>
          <w:tcPr>
            <w:tcW w:w="5046" w:type="dxa"/>
            <w:shd w:val="clear" w:color="auto" w:fill="auto"/>
            <w:tcMar>
              <w:top w:w="15" w:type="dxa"/>
              <w:left w:w="15" w:type="dxa"/>
              <w:right w:w="15" w:type="dxa"/>
            </w:tcMar>
            <w:vAlign w:val="top"/>
          </w:tcPr>
          <w:p w14:paraId="1D3DE6F7">
            <w:pPr>
              <w:keepNext w:val="0"/>
              <w:keepLines w:val="0"/>
              <w:pageBreakBefore w:val="0"/>
              <w:widowControl/>
              <w:shd w:val="clear"/>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全区开展精神障碍社区康复服务的街道（乡）覆盖率（%）</w:t>
            </w:r>
          </w:p>
        </w:tc>
        <w:tc>
          <w:tcPr>
            <w:tcW w:w="997" w:type="dxa"/>
            <w:shd w:val="clear" w:color="auto" w:fill="auto"/>
            <w:tcMar>
              <w:top w:w="15" w:type="dxa"/>
              <w:left w:w="15" w:type="dxa"/>
              <w:right w:w="15" w:type="dxa"/>
            </w:tcMar>
            <w:vAlign w:val="top"/>
          </w:tcPr>
          <w:p w14:paraId="2D92B714">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预期性</w:t>
            </w:r>
          </w:p>
        </w:tc>
        <w:tc>
          <w:tcPr>
            <w:tcW w:w="1178" w:type="dxa"/>
            <w:vAlign w:val="top"/>
          </w:tcPr>
          <w:p w14:paraId="157A96E0">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default" w:ascii="Times New Roman" w:hAnsi="Times New Roman" w:eastAsia="方正仿宋_GB2312"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100</w:t>
            </w:r>
          </w:p>
        </w:tc>
      </w:tr>
      <w:tr w14:paraId="6E00C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3" w:hRule="atLeast"/>
          <w:jc w:val="center"/>
        </w:trPr>
        <w:tc>
          <w:tcPr>
            <w:tcW w:w="1244" w:type="dxa"/>
            <w:vMerge w:val="continue"/>
            <w:shd w:val="clear" w:color="auto" w:fill="auto"/>
            <w:tcMar>
              <w:top w:w="15" w:type="dxa"/>
              <w:left w:w="15" w:type="dxa"/>
              <w:right w:w="15" w:type="dxa"/>
            </w:tcMar>
            <w:vAlign w:val="center"/>
          </w:tcPr>
          <w:p w14:paraId="0E5AA0CE">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eastAsia" w:ascii="仿宋_GB2312" w:hAnsi="仿宋_GB2312" w:eastAsia="仿宋_GB2312" w:cs="仿宋_GB2312"/>
                <w:color w:val="auto"/>
                <w:kern w:val="0"/>
                <w:sz w:val="28"/>
                <w:szCs w:val="28"/>
                <w:highlight w:val="none"/>
                <w:lang w:val="en-US" w:eastAsia="zh-CN"/>
              </w:rPr>
            </w:pPr>
          </w:p>
        </w:tc>
        <w:tc>
          <w:tcPr>
            <w:tcW w:w="600" w:type="dxa"/>
            <w:shd w:val="clear" w:color="auto" w:fill="auto"/>
            <w:tcMar>
              <w:top w:w="15" w:type="dxa"/>
              <w:left w:w="15" w:type="dxa"/>
              <w:right w:w="15" w:type="dxa"/>
            </w:tcMar>
            <w:vAlign w:val="center"/>
          </w:tcPr>
          <w:p w14:paraId="335DD991">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default" w:ascii="Times New Roman" w:hAnsi="Times New Roman" w:eastAsia="方正仿宋_GB2312" w:cs="Times New Roman"/>
                <w:color w:val="auto"/>
                <w:kern w:val="0"/>
                <w:sz w:val="28"/>
                <w:szCs w:val="28"/>
                <w:highlight w:val="none"/>
                <w:lang w:val="en-US" w:eastAsia="zh-CN"/>
              </w:rPr>
            </w:pPr>
            <w:r>
              <w:rPr>
                <w:rFonts w:hint="eastAsia" w:ascii="Times New Roman" w:hAnsi="Times New Roman" w:cs="Times New Roman"/>
                <w:color w:val="auto"/>
                <w:kern w:val="0"/>
                <w:sz w:val="28"/>
                <w:szCs w:val="28"/>
                <w:highlight w:val="none"/>
                <w:lang w:val="en-US" w:eastAsia="zh-CN"/>
              </w:rPr>
              <w:t>8</w:t>
            </w:r>
          </w:p>
        </w:tc>
        <w:tc>
          <w:tcPr>
            <w:tcW w:w="5046" w:type="dxa"/>
            <w:shd w:val="clear" w:color="auto" w:fill="auto"/>
            <w:tcMar>
              <w:top w:w="15" w:type="dxa"/>
              <w:left w:w="15" w:type="dxa"/>
              <w:right w:w="15" w:type="dxa"/>
            </w:tcMar>
            <w:vAlign w:val="top"/>
          </w:tcPr>
          <w:p w14:paraId="2E38908E">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区级康复辅助器具服务中心（个）</w:t>
            </w:r>
          </w:p>
        </w:tc>
        <w:tc>
          <w:tcPr>
            <w:tcW w:w="997" w:type="dxa"/>
            <w:shd w:val="clear" w:color="auto" w:fill="auto"/>
            <w:tcMar>
              <w:top w:w="15" w:type="dxa"/>
              <w:left w:w="15" w:type="dxa"/>
              <w:right w:w="15" w:type="dxa"/>
            </w:tcMar>
            <w:vAlign w:val="top"/>
          </w:tcPr>
          <w:p w14:paraId="7E9BAAB5">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预期性</w:t>
            </w:r>
          </w:p>
        </w:tc>
        <w:tc>
          <w:tcPr>
            <w:tcW w:w="1178" w:type="dxa"/>
            <w:vAlign w:val="top"/>
          </w:tcPr>
          <w:p w14:paraId="6EC6536F">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default"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1</w:t>
            </w:r>
          </w:p>
        </w:tc>
      </w:tr>
      <w:tr w14:paraId="33F61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3" w:hRule="atLeast"/>
          <w:jc w:val="center"/>
        </w:trPr>
        <w:tc>
          <w:tcPr>
            <w:tcW w:w="1244" w:type="dxa"/>
            <w:vMerge w:val="restart"/>
            <w:shd w:val="clear" w:color="auto" w:fill="auto"/>
            <w:tcMar>
              <w:top w:w="15" w:type="dxa"/>
              <w:left w:w="15" w:type="dxa"/>
              <w:right w:w="15" w:type="dxa"/>
            </w:tcMar>
            <w:vAlign w:val="center"/>
          </w:tcPr>
          <w:p w14:paraId="5A2AC9E9">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社会事务</w:t>
            </w:r>
          </w:p>
        </w:tc>
        <w:tc>
          <w:tcPr>
            <w:tcW w:w="600" w:type="dxa"/>
            <w:shd w:val="clear" w:color="auto" w:fill="auto"/>
            <w:tcMar>
              <w:top w:w="15" w:type="dxa"/>
              <w:left w:w="15" w:type="dxa"/>
              <w:right w:w="15" w:type="dxa"/>
            </w:tcMar>
            <w:vAlign w:val="center"/>
          </w:tcPr>
          <w:p w14:paraId="72A7F4EF">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default" w:ascii="Times New Roman" w:hAnsi="Times New Roman" w:eastAsia="方正仿宋_GB2312" w:cs="Times New Roman"/>
                <w:color w:val="auto"/>
                <w:kern w:val="0"/>
                <w:sz w:val="28"/>
                <w:szCs w:val="28"/>
                <w:highlight w:val="none"/>
                <w:lang w:val="en-US" w:eastAsia="zh-CN"/>
              </w:rPr>
            </w:pPr>
            <w:r>
              <w:rPr>
                <w:rFonts w:hint="eastAsia" w:ascii="Times New Roman" w:hAnsi="Times New Roman" w:cs="Times New Roman"/>
                <w:color w:val="auto"/>
                <w:kern w:val="0"/>
                <w:sz w:val="28"/>
                <w:szCs w:val="28"/>
                <w:highlight w:val="none"/>
                <w:lang w:val="en-US" w:eastAsia="zh-CN"/>
              </w:rPr>
              <w:t>9</w:t>
            </w:r>
          </w:p>
        </w:tc>
        <w:tc>
          <w:tcPr>
            <w:tcW w:w="5046" w:type="dxa"/>
            <w:shd w:val="clear" w:color="auto" w:fill="auto"/>
            <w:tcMar>
              <w:top w:w="15" w:type="dxa"/>
              <w:left w:w="15" w:type="dxa"/>
              <w:right w:w="15" w:type="dxa"/>
            </w:tcMar>
            <w:vAlign w:val="top"/>
          </w:tcPr>
          <w:p w14:paraId="09528C6D">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节地生态安葬率（%）</w:t>
            </w:r>
          </w:p>
        </w:tc>
        <w:tc>
          <w:tcPr>
            <w:tcW w:w="997" w:type="dxa"/>
            <w:shd w:val="clear" w:color="auto" w:fill="auto"/>
            <w:tcMar>
              <w:top w:w="15" w:type="dxa"/>
              <w:left w:w="15" w:type="dxa"/>
              <w:right w:w="15" w:type="dxa"/>
            </w:tcMar>
            <w:vAlign w:val="top"/>
          </w:tcPr>
          <w:p w14:paraId="289CACA7">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预期性</w:t>
            </w:r>
          </w:p>
        </w:tc>
        <w:tc>
          <w:tcPr>
            <w:tcW w:w="1178" w:type="dxa"/>
            <w:vAlign w:val="top"/>
          </w:tcPr>
          <w:p w14:paraId="3D9AA663">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default" w:ascii="Times New Roman" w:hAnsi="Times New Roman" w:cs="Times New Roman"/>
                <w:color w:val="auto"/>
                <w:sz w:val="28"/>
                <w:szCs w:val="28"/>
                <w:highlight w:val="none"/>
                <w:lang w:val="en-US" w:eastAsia="zh-CN"/>
              </w:rPr>
            </w:pPr>
            <w:r>
              <w:rPr>
                <w:rFonts w:hint="eastAsia" w:cs="Times New Roman"/>
                <w:color w:val="auto"/>
                <w:sz w:val="28"/>
                <w:szCs w:val="28"/>
                <w:highlight w:val="none"/>
                <w:lang w:val="en-US" w:eastAsia="zh-CN"/>
              </w:rPr>
              <w:t>95</w:t>
            </w:r>
          </w:p>
        </w:tc>
      </w:tr>
      <w:tr w14:paraId="50EED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3" w:hRule="atLeast"/>
          <w:jc w:val="center"/>
        </w:trPr>
        <w:tc>
          <w:tcPr>
            <w:tcW w:w="1244" w:type="dxa"/>
            <w:vMerge w:val="continue"/>
            <w:shd w:val="clear" w:color="auto" w:fill="auto"/>
            <w:tcMar>
              <w:top w:w="15" w:type="dxa"/>
              <w:left w:w="15" w:type="dxa"/>
              <w:right w:w="15" w:type="dxa"/>
            </w:tcMar>
            <w:vAlign w:val="center"/>
          </w:tcPr>
          <w:p w14:paraId="1A1EA505">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default" w:ascii="Times New Roman" w:hAnsi="Times New Roman" w:eastAsia="方正仿宋_GB2312" w:cs="Times New Roman"/>
                <w:color w:val="auto"/>
                <w:kern w:val="0"/>
                <w:sz w:val="28"/>
                <w:szCs w:val="28"/>
                <w:highlight w:val="none"/>
                <w:lang w:val="en-US" w:eastAsia="zh-CN"/>
              </w:rPr>
            </w:pPr>
          </w:p>
        </w:tc>
        <w:tc>
          <w:tcPr>
            <w:tcW w:w="600" w:type="dxa"/>
            <w:shd w:val="clear" w:color="auto" w:fill="auto"/>
            <w:tcMar>
              <w:top w:w="15" w:type="dxa"/>
              <w:left w:w="15" w:type="dxa"/>
              <w:right w:w="15" w:type="dxa"/>
            </w:tcMar>
            <w:vAlign w:val="center"/>
          </w:tcPr>
          <w:p w14:paraId="480189B9">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default" w:ascii="Times New Roman" w:hAnsi="Times New Roman" w:eastAsia="方正仿宋_GB2312" w:cs="Times New Roman"/>
                <w:color w:val="auto"/>
                <w:kern w:val="0"/>
                <w:sz w:val="28"/>
                <w:szCs w:val="28"/>
                <w:highlight w:val="none"/>
                <w:lang w:val="en-US" w:eastAsia="zh-CN"/>
              </w:rPr>
            </w:pPr>
            <w:r>
              <w:rPr>
                <w:rFonts w:hint="eastAsia" w:ascii="Times New Roman" w:hAnsi="Times New Roman" w:cs="Times New Roman"/>
                <w:color w:val="auto"/>
                <w:kern w:val="0"/>
                <w:sz w:val="28"/>
                <w:szCs w:val="28"/>
                <w:highlight w:val="none"/>
                <w:lang w:val="en-US" w:eastAsia="zh-CN"/>
              </w:rPr>
              <w:t>10</w:t>
            </w:r>
          </w:p>
        </w:tc>
        <w:tc>
          <w:tcPr>
            <w:tcW w:w="5046" w:type="dxa"/>
            <w:shd w:val="clear" w:color="auto" w:fill="auto"/>
            <w:tcMar>
              <w:top w:w="15" w:type="dxa"/>
              <w:left w:w="15" w:type="dxa"/>
              <w:right w:w="15" w:type="dxa"/>
            </w:tcMar>
            <w:vAlign w:val="top"/>
          </w:tcPr>
          <w:p w14:paraId="349652E9">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公益性安葬服务覆盖率（%）</w:t>
            </w:r>
          </w:p>
        </w:tc>
        <w:tc>
          <w:tcPr>
            <w:tcW w:w="997" w:type="dxa"/>
            <w:shd w:val="clear" w:color="auto" w:fill="auto"/>
            <w:tcMar>
              <w:top w:w="15" w:type="dxa"/>
              <w:left w:w="15" w:type="dxa"/>
              <w:right w:w="15" w:type="dxa"/>
            </w:tcMar>
            <w:vAlign w:val="top"/>
          </w:tcPr>
          <w:p w14:paraId="2698F041">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约束性</w:t>
            </w:r>
          </w:p>
        </w:tc>
        <w:tc>
          <w:tcPr>
            <w:tcW w:w="1178" w:type="dxa"/>
            <w:vAlign w:val="top"/>
          </w:tcPr>
          <w:p w14:paraId="13DEC339">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default"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100</w:t>
            </w:r>
          </w:p>
        </w:tc>
      </w:tr>
      <w:tr w14:paraId="529B5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3" w:hRule="atLeast"/>
          <w:jc w:val="center"/>
        </w:trPr>
        <w:tc>
          <w:tcPr>
            <w:tcW w:w="1244" w:type="dxa"/>
            <w:vMerge w:val="restart"/>
            <w:shd w:val="clear" w:color="auto" w:fill="auto"/>
            <w:tcMar>
              <w:top w:w="15" w:type="dxa"/>
              <w:left w:w="15" w:type="dxa"/>
              <w:right w:w="15" w:type="dxa"/>
            </w:tcMar>
            <w:vAlign w:val="center"/>
          </w:tcPr>
          <w:p w14:paraId="124A1072">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eastAsia" w:ascii="Times New Roman" w:hAnsi="Times New Roman" w:eastAsia="仿宋_GB2312" w:cs="仿宋_GB2312"/>
                <w:color w:val="auto"/>
                <w:kern w:val="0"/>
                <w:sz w:val="28"/>
                <w:szCs w:val="28"/>
                <w:highlight w:val="none"/>
                <w:lang w:val="en-US" w:eastAsia="zh-CN"/>
              </w:rPr>
            </w:pPr>
            <w:r>
              <w:rPr>
                <w:rFonts w:hint="eastAsia" w:ascii="Times New Roman" w:hAnsi="Times New Roman" w:eastAsia="仿宋_GB2312" w:cs="仿宋_GB2312"/>
                <w:color w:val="auto"/>
                <w:kern w:val="0"/>
                <w:sz w:val="28"/>
                <w:szCs w:val="28"/>
                <w:highlight w:val="none"/>
                <w:lang w:val="en-US" w:eastAsia="zh-CN"/>
              </w:rPr>
              <w:t>社会治理</w:t>
            </w:r>
          </w:p>
        </w:tc>
        <w:tc>
          <w:tcPr>
            <w:tcW w:w="600" w:type="dxa"/>
            <w:shd w:val="clear" w:color="auto" w:fill="auto"/>
            <w:tcMar>
              <w:top w:w="15" w:type="dxa"/>
              <w:left w:w="15" w:type="dxa"/>
              <w:right w:w="15" w:type="dxa"/>
            </w:tcMar>
            <w:vAlign w:val="center"/>
          </w:tcPr>
          <w:p w14:paraId="199C555A">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eastAsia" w:ascii="Times New Roman" w:hAnsi="Times New Roman" w:eastAsia="仿宋_GB2312" w:cs="仿宋_GB2312"/>
                <w:color w:val="auto"/>
                <w:kern w:val="0"/>
                <w:sz w:val="28"/>
                <w:szCs w:val="28"/>
                <w:highlight w:val="none"/>
                <w:lang w:val="en-US" w:eastAsia="zh-CN"/>
              </w:rPr>
            </w:pPr>
            <w:r>
              <w:rPr>
                <w:rFonts w:hint="eastAsia" w:ascii="Times New Roman" w:hAnsi="Times New Roman" w:eastAsia="仿宋_GB2312" w:cs="仿宋_GB2312"/>
                <w:color w:val="auto"/>
                <w:kern w:val="0"/>
                <w:sz w:val="28"/>
                <w:szCs w:val="28"/>
                <w:highlight w:val="none"/>
                <w:lang w:val="en-US" w:eastAsia="zh-CN"/>
              </w:rPr>
              <w:t>11</w:t>
            </w:r>
          </w:p>
        </w:tc>
        <w:tc>
          <w:tcPr>
            <w:tcW w:w="5046" w:type="dxa"/>
            <w:shd w:val="clear" w:color="auto" w:fill="auto"/>
            <w:tcMar>
              <w:top w:w="15" w:type="dxa"/>
              <w:left w:w="15" w:type="dxa"/>
              <w:right w:w="15" w:type="dxa"/>
            </w:tcMar>
            <w:vAlign w:val="top"/>
          </w:tcPr>
          <w:p w14:paraId="06DF5E1E">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信用优良的社会组织占比（%）</w:t>
            </w:r>
          </w:p>
        </w:tc>
        <w:tc>
          <w:tcPr>
            <w:tcW w:w="997" w:type="dxa"/>
            <w:shd w:val="clear" w:color="auto" w:fill="auto"/>
            <w:tcMar>
              <w:top w:w="15" w:type="dxa"/>
              <w:left w:w="15" w:type="dxa"/>
              <w:right w:w="15" w:type="dxa"/>
            </w:tcMar>
            <w:vAlign w:val="center"/>
          </w:tcPr>
          <w:p w14:paraId="410BAEB9">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预期性</w:t>
            </w:r>
          </w:p>
        </w:tc>
        <w:tc>
          <w:tcPr>
            <w:tcW w:w="1178" w:type="dxa"/>
            <w:vAlign w:val="top"/>
          </w:tcPr>
          <w:p w14:paraId="477A1F05">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50</w:t>
            </w:r>
          </w:p>
        </w:tc>
      </w:tr>
      <w:tr w14:paraId="4F865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2" w:hRule="atLeast"/>
          <w:jc w:val="center"/>
        </w:trPr>
        <w:tc>
          <w:tcPr>
            <w:tcW w:w="1244" w:type="dxa"/>
            <w:vMerge w:val="continue"/>
            <w:shd w:val="clear" w:color="auto" w:fill="auto"/>
            <w:tcMar>
              <w:top w:w="15" w:type="dxa"/>
              <w:left w:w="15" w:type="dxa"/>
              <w:right w:w="15" w:type="dxa"/>
            </w:tcMar>
            <w:vAlign w:val="center"/>
          </w:tcPr>
          <w:p w14:paraId="79A91B6B">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eastAsia" w:ascii="Times New Roman" w:hAnsi="Times New Roman" w:cs="Times New Roman"/>
                <w:color w:val="auto"/>
                <w:kern w:val="0"/>
                <w:sz w:val="28"/>
                <w:szCs w:val="28"/>
                <w:highlight w:val="none"/>
                <w:lang w:val="en-US" w:eastAsia="zh-CN"/>
              </w:rPr>
            </w:pPr>
          </w:p>
        </w:tc>
        <w:tc>
          <w:tcPr>
            <w:tcW w:w="600" w:type="dxa"/>
            <w:shd w:val="clear" w:color="auto" w:fill="auto"/>
            <w:tcMar>
              <w:top w:w="15" w:type="dxa"/>
              <w:left w:w="15" w:type="dxa"/>
              <w:right w:w="15" w:type="dxa"/>
            </w:tcMar>
            <w:vAlign w:val="center"/>
          </w:tcPr>
          <w:p w14:paraId="6F3AF33A">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center"/>
              <w:rPr>
                <w:rFonts w:hint="default" w:ascii="Times New Roman" w:hAnsi="Times New Roman" w:cs="Times New Roman"/>
                <w:color w:val="auto"/>
                <w:kern w:val="0"/>
                <w:sz w:val="28"/>
                <w:szCs w:val="28"/>
                <w:highlight w:val="none"/>
                <w:lang w:val="en-US" w:eastAsia="zh-CN"/>
              </w:rPr>
            </w:pPr>
            <w:r>
              <w:rPr>
                <w:rFonts w:hint="eastAsia" w:ascii="Times New Roman" w:hAnsi="Times New Roman" w:cs="Times New Roman"/>
                <w:color w:val="auto"/>
                <w:kern w:val="0"/>
                <w:sz w:val="28"/>
                <w:szCs w:val="28"/>
                <w:highlight w:val="none"/>
                <w:lang w:val="en-US" w:eastAsia="zh-CN"/>
              </w:rPr>
              <w:t>12</w:t>
            </w:r>
          </w:p>
        </w:tc>
        <w:tc>
          <w:tcPr>
            <w:tcW w:w="5046" w:type="dxa"/>
            <w:shd w:val="clear" w:color="auto" w:fill="auto"/>
            <w:tcMar>
              <w:top w:w="15" w:type="dxa"/>
              <w:left w:w="15" w:type="dxa"/>
              <w:right w:w="15" w:type="dxa"/>
            </w:tcMar>
            <w:vAlign w:val="top"/>
          </w:tcPr>
          <w:p w14:paraId="70B8AAA7">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街乡慈善工作站覆盖率（%）</w:t>
            </w:r>
          </w:p>
        </w:tc>
        <w:tc>
          <w:tcPr>
            <w:tcW w:w="997" w:type="dxa"/>
            <w:shd w:val="clear" w:color="auto" w:fill="auto"/>
            <w:tcMar>
              <w:top w:w="15" w:type="dxa"/>
              <w:left w:w="15" w:type="dxa"/>
              <w:right w:w="15" w:type="dxa"/>
            </w:tcMar>
            <w:vAlign w:val="center"/>
          </w:tcPr>
          <w:p w14:paraId="51C39088">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预期性</w:t>
            </w:r>
          </w:p>
        </w:tc>
        <w:tc>
          <w:tcPr>
            <w:tcW w:w="1178" w:type="dxa"/>
            <w:vAlign w:val="top"/>
          </w:tcPr>
          <w:p w14:paraId="5E8229D7">
            <w:pPr>
              <w:keepNext w:val="0"/>
              <w:keepLines w:val="0"/>
              <w:pageBreakBefore w:val="0"/>
              <w:widowControl/>
              <w:shd w:val="clear"/>
              <w:kinsoku/>
              <w:wordWrap/>
              <w:overflowPunct/>
              <w:topLinePunct w:val="0"/>
              <w:autoSpaceDE/>
              <w:autoSpaceDN/>
              <w:bidi w:val="0"/>
              <w:adjustRightInd/>
              <w:snapToGrid/>
              <w:spacing w:line="500" w:lineRule="exact"/>
              <w:ind w:right="0" w:rightChars="0" w:firstLine="0" w:firstLineChars="0"/>
              <w:jc w:val="center"/>
              <w:textAlignment w:val="auto"/>
              <w:rPr>
                <w:rFonts w:hint="default"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100</w:t>
            </w:r>
          </w:p>
        </w:tc>
      </w:tr>
    </w:tbl>
    <w:p w14:paraId="5FDDC9AE">
      <w:pPr>
        <w:keepNext w:val="0"/>
        <w:keepLines w:val="0"/>
        <w:pageBreakBefore w:val="0"/>
        <w:widowControl w:val="0"/>
        <w:shd w:val="clear"/>
        <w:kinsoku/>
        <w:wordWrap/>
        <w:overflowPunct/>
        <w:topLinePunct w:val="0"/>
        <w:autoSpaceDE/>
        <w:autoSpaceDN/>
        <w:bidi w:val="0"/>
        <w:adjustRightInd/>
        <w:snapToGrid/>
        <w:spacing w:before="581" w:beforeLines="100" w:after="581" w:afterLines="100"/>
        <w:ind w:left="0" w:leftChars="0" w:firstLine="0" w:firstLineChars="0"/>
        <w:jc w:val="center"/>
        <w:textAlignment w:val="auto"/>
        <w:rPr>
          <w:rFonts w:hint="eastAsia" w:ascii="Times New Roman" w:hAnsi="Times New Roman" w:eastAsia="方正小标宋简体" w:cs="Times New Roman"/>
          <w:kern w:val="44"/>
          <w:sz w:val="36"/>
          <w:szCs w:val="36"/>
          <w:highlight w:val="none"/>
          <w:lang w:val="en-US" w:eastAsia="zh-CN" w:bidi="ar-SA"/>
        </w:rPr>
      </w:pPr>
      <w:r>
        <w:rPr>
          <w:rFonts w:hint="eastAsia" w:ascii="Times New Roman" w:hAnsi="Times New Roman" w:eastAsia="方正小标宋简体" w:cs="Times New Roman"/>
          <w:kern w:val="44"/>
          <w:sz w:val="36"/>
          <w:szCs w:val="36"/>
          <w:highlight w:val="none"/>
          <w:lang w:val="en-US" w:eastAsia="zh-CN" w:bidi="ar-SA"/>
        </w:rPr>
        <w:t>第二</w:t>
      </w:r>
      <w:bookmarkEnd w:id="61"/>
      <w:r>
        <w:rPr>
          <w:rFonts w:hint="eastAsia" w:ascii="Times New Roman" w:hAnsi="Times New Roman" w:eastAsia="方正小标宋简体" w:cs="Times New Roman"/>
          <w:kern w:val="44"/>
          <w:sz w:val="36"/>
          <w:szCs w:val="36"/>
          <w:highlight w:val="none"/>
          <w:lang w:val="en-US" w:eastAsia="zh-CN" w:bidi="ar-SA"/>
        </w:rPr>
        <w:t>篇 构建积极应对人口老龄化新体系</w:t>
      </w:r>
      <w:bookmarkEnd w:id="62"/>
    </w:p>
    <w:p w14:paraId="00C3D46F">
      <w:pPr>
        <w:shd w:val="clear"/>
        <w:bidi w:val="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lang w:val="en-US" w:eastAsia="zh-CN"/>
        </w:rPr>
        <w:t>深入实施积极应对人口老龄化国家战略，全面落实首都养老服务改革部署。准确把握大国首都中心城区人口老龄化发展规律与提质增效“窗口期”特征，坚持“党委领导、政府主导、社会参与、全民行动”，将积极老龄观、健康老龄化理念全面融入区域经济社会发展全局。</w:t>
      </w:r>
      <w:r>
        <w:rPr>
          <w:rFonts w:hint="eastAsia" w:eastAsia="仿宋_GB2312" w:cs="仿宋_GB2312"/>
          <w:highlight w:val="none"/>
          <w:lang w:val="en-US" w:eastAsia="zh-CN"/>
        </w:rPr>
        <w:t>强化“老老人”服务保障，</w:t>
      </w:r>
      <w:r>
        <w:rPr>
          <w:rFonts w:hint="eastAsia" w:ascii="Times New Roman" w:hAnsi="Times New Roman" w:eastAsia="仿宋_GB2312" w:cs="仿宋_GB2312"/>
          <w:highlight w:val="none"/>
          <w:lang w:val="en-US" w:eastAsia="zh-CN"/>
        </w:rPr>
        <w:t>统筹推进老龄事业与养老产业协同发展，加快构建与朝阳区功能定位相匹配的高质量老龄社会治理体系，系统强化老年群体生活保障、社会参与和权益维护，奋力打造积极应对人口老龄化的“朝阳样板”。</w:t>
      </w:r>
    </w:p>
    <w:p w14:paraId="613EFBCC">
      <w:pPr>
        <w:keepNext w:val="0"/>
        <w:keepLines w:val="0"/>
        <w:pageBreakBefore w:val="0"/>
        <w:widowControl w:val="0"/>
        <w:shd w:val="clear"/>
        <w:kinsoku/>
        <w:wordWrap/>
        <w:overflowPunct/>
        <w:topLinePunct w:val="0"/>
        <w:autoSpaceDE/>
        <w:autoSpaceDN/>
        <w:bidi w:val="0"/>
        <w:adjustRightInd/>
        <w:snapToGrid/>
        <w:spacing w:before="292" w:beforeLines="50" w:after="292" w:afterLines="50"/>
        <w:ind w:left="0" w:leftChars="0" w:firstLine="0" w:firstLineChars="0"/>
        <w:jc w:val="center"/>
        <w:textAlignment w:val="auto"/>
        <w:rPr>
          <w:rFonts w:hint="eastAsia" w:ascii="Times New Roman" w:hAnsi="Times New Roman" w:eastAsia="黑体" w:cs="黑体"/>
          <w:highlight w:val="none"/>
          <w:lang w:val="en-US" w:eastAsia="zh-CN"/>
        </w:rPr>
      </w:pPr>
      <w:bookmarkStart w:id="63" w:name="_Toc24163"/>
      <w:r>
        <w:rPr>
          <w:rFonts w:hint="eastAsia" w:ascii="Times New Roman" w:hAnsi="Times New Roman" w:eastAsia="黑体" w:cs="黑体"/>
          <w:highlight w:val="none"/>
          <w:lang w:val="en-US" w:eastAsia="zh-CN"/>
        </w:rPr>
        <w:t>第一章 推动老龄事业高质量综合发展</w:t>
      </w:r>
      <w:bookmarkEnd w:id="63"/>
    </w:p>
    <w:p w14:paraId="1CD54E34">
      <w:pPr>
        <w:shd w:val="clear"/>
        <w:bidi w:val="0"/>
        <w:rPr>
          <w:rFonts w:hint="eastAsia" w:ascii="Times New Roman" w:hAnsi="Times New Roman" w:eastAsia="楷体_GB2312" w:cs="楷体_GB2312"/>
          <w:highlight w:val="none"/>
          <w:lang w:val="en-US" w:eastAsia="zh-CN"/>
        </w:rPr>
      </w:pPr>
      <w:bookmarkStart w:id="64" w:name="_Toc21825"/>
      <w:r>
        <w:rPr>
          <w:rFonts w:hint="eastAsia" w:ascii="Times New Roman" w:hAnsi="Times New Roman" w:eastAsia="楷体_GB2312" w:cs="楷体_GB2312"/>
          <w:highlight w:val="none"/>
          <w:lang w:val="en-US" w:eastAsia="zh-CN"/>
        </w:rPr>
        <w:t>一、健全老龄工作统筹协调机制</w:t>
      </w:r>
      <w:bookmarkEnd w:id="64"/>
    </w:p>
    <w:p w14:paraId="245F6B7C">
      <w:pPr>
        <w:shd w:val="clear"/>
        <w:bidi w:val="0"/>
        <w:rPr>
          <w:rFonts w:hint="eastAsia" w:eastAsia="仿宋_GB2312" w:cs="仿宋_GB2312"/>
          <w:highlight w:val="none"/>
        </w:rPr>
      </w:pPr>
      <w:bookmarkStart w:id="65" w:name="_Toc3367"/>
      <w:bookmarkStart w:id="66" w:name="_Toc22716"/>
      <w:r>
        <w:rPr>
          <w:rFonts w:hint="eastAsia" w:eastAsia="仿宋_GB2312" w:cs="仿宋_GB2312"/>
          <w:highlight w:val="none"/>
        </w:rPr>
        <w:t>构建协同高效的老龄工作体系。</w:t>
      </w:r>
      <w:bookmarkEnd w:id="65"/>
      <w:bookmarkStart w:id="67" w:name="_Toc32166"/>
      <w:r>
        <w:rPr>
          <w:rFonts w:hint="eastAsia" w:eastAsia="仿宋_GB2312" w:cs="仿宋_GB2312"/>
          <w:highlight w:val="none"/>
        </w:rPr>
        <w:t>优化朝阳区老龄工作联席会议制度，</w:t>
      </w:r>
      <w:bookmarkEnd w:id="67"/>
      <w:r>
        <w:rPr>
          <w:rFonts w:hint="eastAsia" w:eastAsia="仿宋_GB2312" w:cs="仿宋_GB2312"/>
          <w:highlight w:val="none"/>
        </w:rPr>
        <w:t>健全政府主导、部门联动、社会协同</w:t>
      </w:r>
      <w:r>
        <w:rPr>
          <w:rFonts w:hint="eastAsia" w:eastAsia="仿宋_GB2312" w:cs="仿宋_GB2312"/>
          <w:color w:val="000000" w:themeColor="text1"/>
          <w:highlight w:val="none"/>
          <w14:textFill>
            <w14:solidFill>
              <w14:schemeClr w14:val="tx1"/>
            </w14:solidFill>
          </w14:textFill>
        </w:rPr>
        <w:t>、市场参与的老龄工作格局。</w:t>
      </w:r>
      <w:r>
        <w:rPr>
          <w:rFonts w:hint="eastAsia" w:eastAsia="仿宋_GB2312" w:cs="仿宋_GB2312"/>
          <w:highlight w:val="none"/>
        </w:rPr>
        <w:t>在完善老有所依的社会保障体系、老有所养的养老服务体系、老有所医的健康支撑体系、老有所学的老年教育体系、老有所乐的精神文化体系、老有所为的社会参与体系、老有所安的权益保障体系和共建老年友好社会上形成合力。加强基层老龄工作力量，确保基层老龄工作有人抓、老年人事情有人管、老年人困难有人帮。夯实人口老龄化基础工作，开展老年人口形势分析及养老服务数据统计调查工作。加强基层老龄工作的指导、培训及督导，切实形成横向联动，纵向到底的老龄工作管理新格局。</w:t>
      </w:r>
    </w:p>
    <w:p w14:paraId="1026A40E">
      <w:pPr>
        <w:shd w:val="clear"/>
        <w:bidi w:val="0"/>
        <w:rPr>
          <w:rFonts w:hint="eastAsia" w:ascii="Times New Roman" w:hAnsi="Times New Roman" w:eastAsia="楷体_GB2312" w:cs="楷体_GB2312"/>
          <w:highlight w:val="none"/>
          <w:lang w:val="en-US" w:eastAsia="zh-CN"/>
        </w:rPr>
      </w:pPr>
      <w:r>
        <w:rPr>
          <w:rFonts w:hint="eastAsia" w:ascii="Times New Roman" w:hAnsi="Times New Roman" w:eastAsia="楷体_GB2312" w:cs="楷体_GB2312"/>
          <w:highlight w:val="none"/>
          <w:lang w:val="en-US" w:eastAsia="zh-CN"/>
        </w:rPr>
        <w:t>二、凝聚应对人口老龄化社会共识</w:t>
      </w:r>
    </w:p>
    <w:p w14:paraId="51A18758">
      <w:pPr>
        <w:shd w:val="clear"/>
        <w:bidi w:val="0"/>
        <w:rPr>
          <w:rFonts w:hint="eastAsia" w:ascii="Times New Roman" w:hAnsi="Times New Roman" w:eastAsia="仿宋_GB2312" w:cs="仿宋_GB2312"/>
          <w:highlight w:val="none"/>
        </w:rPr>
      </w:pPr>
      <w:bookmarkStart w:id="68" w:name="_Toc23174"/>
      <w:r>
        <w:rPr>
          <w:rFonts w:hint="eastAsia" w:ascii="Times New Roman" w:hAnsi="Times New Roman" w:eastAsia="仿宋_GB2312" w:cs="仿宋_GB2312"/>
          <w:highlight w:val="none"/>
        </w:rPr>
        <w:t>深入贯彻落实积极应对人口老龄化国家战略，把积极老龄观、健康老龄化理念融入经济社会发展全过程。将人口老龄化国情市情区情教育纳入各级党政干部培训课程和党委（党组）理论学习中心组学习内容，增强领导干部积极应对人口老龄化的责任意识和履职能力。树立“老龄工作是全社会共同责任”理念，推动各部门、各行业在政策制定、工作开展中主动融入涉老思维，将老龄化因素贯穿城市规划、公共服务、产业发展等各环节。广泛开展积极老龄观教育，引导全社会正确看待老龄社会，引导老年人树立全生命周期养老理念，增强自尊、自强、自爱意识。推动新时代中华孝亲敬老文化传承创新，持续开展区“孝顺之星”评选、“敬老月”主题活动，发挥全国“敬老文明号”、“敬老爱</w:t>
      </w:r>
      <w:r>
        <w:rPr>
          <w:rFonts w:hint="eastAsia" w:eastAsia="仿宋_GB2312" w:cs="仿宋_GB2312"/>
          <w:highlight w:val="none"/>
          <w:lang w:eastAsia="zh-CN"/>
        </w:rPr>
        <w:t>老</w:t>
      </w:r>
      <w:r>
        <w:rPr>
          <w:rFonts w:hint="eastAsia" w:ascii="Times New Roman" w:hAnsi="Times New Roman" w:eastAsia="仿宋_GB2312" w:cs="仿宋_GB2312"/>
          <w:highlight w:val="none"/>
        </w:rPr>
        <w:t>模范人物”等先进典型示范作用，进一步营造敬老爱老孝老社会氛围。</w:t>
      </w:r>
    </w:p>
    <w:p w14:paraId="125ED02F">
      <w:pPr>
        <w:shd w:val="clear"/>
        <w:bidi w:val="0"/>
        <w:rPr>
          <w:rFonts w:hint="eastAsia" w:ascii="Times New Roman" w:hAnsi="Times New Roman" w:eastAsia="楷体_GB2312" w:cs="楷体_GB2312"/>
          <w:highlight w:val="none"/>
          <w:lang w:val="en-US" w:eastAsia="zh-CN"/>
        </w:rPr>
      </w:pPr>
      <w:r>
        <w:rPr>
          <w:rFonts w:hint="eastAsia" w:ascii="Times New Roman" w:hAnsi="Times New Roman" w:eastAsia="楷体_GB2312" w:cs="楷体_GB2312"/>
          <w:highlight w:val="none"/>
          <w:lang w:val="en-US" w:eastAsia="zh-CN"/>
        </w:rPr>
        <w:t>三、推进老年友好型社会建设</w:t>
      </w:r>
      <w:bookmarkEnd w:id="66"/>
      <w:bookmarkEnd w:id="68"/>
    </w:p>
    <w:p w14:paraId="09DCA8B5">
      <w:pPr>
        <w:shd w:val="clear"/>
        <w:bidi w:val="0"/>
        <w:rPr>
          <w:rFonts w:hint="eastAsia" w:ascii="Times New Roman" w:hAnsi="Times New Roman" w:eastAsia="仿宋_GB2312" w:cs="仿宋_GB2312"/>
          <w:highlight w:val="none"/>
          <w:lang w:val="en-US" w:eastAsia="zh-CN"/>
        </w:rPr>
      </w:pPr>
      <w:bookmarkStart w:id="69" w:name="_Toc727"/>
      <w:r>
        <w:rPr>
          <w:rFonts w:hint="eastAsia" w:eastAsia="仿宋_GB2312" w:cs="仿宋_GB2312"/>
          <w:highlight w:val="none"/>
        </w:rPr>
        <w:t>深入推进老年友好型社区建设，依托区新时代文明实践中心（所、站）和新闻媒介等开展老年友好理念宣传，积极构建兼顾老年人生活需求、情感需求与发展需求的社会环境。将无障碍设施和适老化改造等为老服务项目统筹纳入城市更新范围，实施居家适老化改造“焕新行动”，推动适老宜居环境建设。</w:t>
      </w:r>
      <w:r>
        <w:rPr>
          <w:rFonts w:hint="eastAsia" w:ascii="Times New Roman" w:hAnsi="Times New Roman" w:eastAsia="仿宋_GB2312" w:cs="仿宋_GB2312"/>
          <w:highlight w:val="none"/>
          <w:lang w:val="en-US" w:eastAsia="zh-CN"/>
        </w:rPr>
        <w:t>落实老年人优待政策，扩大老年教育、文化、体育服务资源供给，提升公共服务适老助老水平。持续开展“智慧助老”行动，助力老年人跨越“数字鸿沟”。鼓励支持健康活力老年人参与志愿服务，推广“以老助老”模式，推动新时代“银龄行动”和“京彩时光”志愿服务提质拓面。强化老年人权益保障，健全完善维权机制，通过公益讲座、法律咨询、以案说法等，开展形式多样的老年人权益保护宣传活动，提升老年人自我保护意识和维权能力；加强涉老矛盾纠纷的防范、处置，切实维护老年人合法权益。</w:t>
      </w:r>
    </w:p>
    <w:bookmarkEnd w:id="69"/>
    <w:p w14:paraId="78EE4978">
      <w:pPr>
        <w:keepNext w:val="0"/>
        <w:keepLines w:val="0"/>
        <w:pageBreakBefore w:val="0"/>
        <w:widowControl w:val="0"/>
        <w:shd w:val="clear"/>
        <w:kinsoku/>
        <w:wordWrap/>
        <w:overflowPunct/>
        <w:topLinePunct w:val="0"/>
        <w:autoSpaceDE/>
        <w:autoSpaceDN/>
        <w:bidi w:val="0"/>
        <w:adjustRightInd/>
        <w:snapToGrid/>
        <w:spacing w:before="292" w:beforeLines="50" w:after="292" w:afterLines="50"/>
        <w:ind w:left="0" w:leftChars="0" w:firstLine="0" w:firstLineChars="0"/>
        <w:jc w:val="center"/>
        <w:textAlignment w:val="auto"/>
        <w:rPr>
          <w:rFonts w:hint="eastAsia" w:ascii="Times New Roman" w:hAnsi="Times New Roman" w:eastAsia="黑体" w:cs="黑体"/>
          <w:highlight w:val="none"/>
          <w:lang w:val="en-US" w:eastAsia="zh-CN"/>
        </w:rPr>
      </w:pPr>
      <w:bookmarkStart w:id="70" w:name="_Toc11949"/>
      <w:bookmarkStart w:id="71" w:name="_Toc5487"/>
      <w:r>
        <w:rPr>
          <w:rFonts w:hint="eastAsia" w:ascii="Times New Roman" w:hAnsi="Times New Roman" w:eastAsia="黑体" w:cs="黑体"/>
          <w:highlight w:val="none"/>
          <w:lang w:val="en-US" w:eastAsia="zh-CN"/>
        </w:rPr>
        <w:t>第二章 构建具有</w:t>
      </w:r>
      <w:r>
        <w:rPr>
          <w:rFonts w:hint="eastAsia" w:eastAsia="黑体" w:cs="黑体"/>
          <w:highlight w:val="none"/>
          <w:lang w:val="en-US" w:eastAsia="zh-CN"/>
        </w:rPr>
        <w:t>朝阳</w:t>
      </w:r>
      <w:r>
        <w:rPr>
          <w:rFonts w:hint="eastAsia" w:ascii="Times New Roman" w:hAnsi="Times New Roman" w:eastAsia="黑体" w:cs="黑体"/>
          <w:highlight w:val="none"/>
          <w:lang w:val="en-US" w:eastAsia="zh-CN"/>
        </w:rPr>
        <w:t>特色的养老服务体系</w:t>
      </w:r>
      <w:bookmarkEnd w:id="70"/>
      <w:bookmarkEnd w:id="71"/>
    </w:p>
    <w:p w14:paraId="1FDD1C73">
      <w:pPr>
        <w:shd w:val="clear"/>
        <w:bidi w:val="0"/>
        <w:rPr>
          <w:rFonts w:hint="eastAsia" w:ascii="Times New Roman" w:hAnsi="Times New Roman" w:eastAsia="楷体_GB2312" w:cs="楷体_GB2312"/>
          <w:highlight w:val="none"/>
          <w:lang w:val="en-US" w:eastAsia="zh-CN"/>
        </w:rPr>
      </w:pPr>
      <w:bookmarkStart w:id="72" w:name="_Toc22953"/>
      <w:bookmarkStart w:id="73" w:name="_Toc23543"/>
      <w:r>
        <w:rPr>
          <w:rFonts w:hint="eastAsia" w:ascii="Times New Roman" w:hAnsi="Times New Roman" w:eastAsia="楷体_GB2312" w:cs="楷体_GB2312"/>
          <w:highlight w:val="none"/>
          <w:lang w:val="en-US" w:eastAsia="zh-CN"/>
        </w:rPr>
        <w:t>一、</w:t>
      </w:r>
      <w:bookmarkEnd w:id="72"/>
      <w:bookmarkEnd w:id="73"/>
      <w:r>
        <w:rPr>
          <w:rFonts w:hint="eastAsia" w:ascii="Times New Roman" w:hAnsi="Times New Roman" w:eastAsia="楷体_GB2312" w:cs="楷体_GB2312"/>
          <w:highlight w:val="none"/>
          <w:lang w:val="en-US" w:eastAsia="zh-CN"/>
        </w:rPr>
        <w:t>持续健全养老服务网络</w:t>
      </w:r>
    </w:p>
    <w:p w14:paraId="275627A5">
      <w:pPr>
        <w:shd w:val="clear"/>
        <w:bidi w:val="0"/>
        <w:rPr>
          <w:rFonts w:hint="eastAsia" w:ascii="Times New Roman" w:hAnsi="Times New Roman" w:eastAsia="仿宋_GB2312" w:cs="仿宋_GB2312"/>
          <w:b/>
          <w:bCs/>
          <w:highlight w:val="none"/>
          <w:lang w:val="en-US" w:eastAsia="zh-CN"/>
        </w:rPr>
      </w:pPr>
      <w:bookmarkStart w:id="74" w:name="_Toc11920"/>
      <w:bookmarkStart w:id="75" w:name="_Toc1647"/>
      <w:r>
        <w:rPr>
          <w:rFonts w:hint="eastAsia" w:ascii="Times New Roman" w:hAnsi="Times New Roman" w:eastAsia="仿宋_GB2312" w:cs="仿宋_GB2312"/>
          <w:b/>
          <w:bCs/>
          <w:highlight w:val="none"/>
          <w:lang w:val="en-US" w:eastAsia="zh-CN"/>
        </w:rPr>
        <w:t>（一）完善三级养老服务体系</w:t>
      </w:r>
    </w:p>
    <w:p w14:paraId="0EE33C2B">
      <w:pPr>
        <w:shd w:val="clear"/>
        <w:bidi w:val="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lang w:val="en-US" w:eastAsia="zh-CN"/>
        </w:rPr>
        <w:t>持续完善具有朝阳特色的三级养老服务体系。坚持以区级养老服务指导中心为综合统筹、区域养老服务中心为综合枢纽、社区养老驿站为延伸的功能定位。纵向依托朝阳区“区—街乡—社区（村）”三级网络健全优势，持续推进社区养老驿站“揭榜挂帅”创新试点，畅通体系传导机制；横向聚焦老年人全生命周期需求，精准匹配“退休活力期、平稳衰老期、高能照护期”阶段特征，优化“一刻钟”养老服务圈，推动居家、社区、机构等服务形态有机贯通。夯实网络阵地基础，确保到2030年，街乡区域养老服务中心</w:t>
      </w:r>
      <w:r>
        <w:rPr>
          <w:rFonts w:hint="eastAsia" w:eastAsia="仿宋_GB2312" w:cs="仿宋_GB2312"/>
          <w:highlight w:val="none"/>
          <w:lang w:val="en-US" w:eastAsia="zh-CN"/>
        </w:rPr>
        <w:t>服务</w:t>
      </w:r>
      <w:r>
        <w:rPr>
          <w:rFonts w:hint="eastAsia" w:ascii="Times New Roman" w:hAnsi="Times New Roman" w:eastAsia="仿宋_GB2312" w:cs="仿宋_GB2312"/>
          <w:highlight w:val="none"/>
          <w:lang w:val="en-US" w:eastAsia="zh-CN"/>
        </w:rPr>
        <w:t>覆盖率达到</w:t>
      </w:r>
      <w:r>
        <w:rPr>
          <w:rFonts w:hint="eastAsia" w:eastAsia="仿宋_GB2312" w:cs="仿宋_GB2312"/>
          <w:highlight w:val="none"/>
          <w:lang w:val="en-US" w:eastAsia="zh-CN"/>
        </w:rPr>
        <w:t>80</w:t>
      </w:r>
      <w:r>
        <w:rPr>
          <w:rFonts w:hint="eastAsia" w:ascii="Times New Roman" w:hAnsi="Times New Roman" w:eastAsia="仿宋_GB2312" w:cs="仿宋_GB2312"/>
          <w:highlight w:val="none"/>
          <w:lang w:val="en-US" w:eastAsia="zh-CN"/>
        </w:rPr>
        <w:t>%，</w:t>
      </w:r>
      <w:r>
        <w:rPr>
          <w:rFonts w:hint="eastAsia" w:eastAsia="仿宋_GB2312" w:cs="仿宋_GB2312"/>
          <w:highlight w:val="none"/>
          <w:lang w:val="en-US" w:eastAsia="zh-CN"/>
        </w:rPr>
        <w:t>功能实现43个街乡全覆盖，</w:t>
      </w:r>
      <w:r>
        <w:rPr>
          <w:rFonts w:hint="eastAsia" w:ascii="Times New Roman" w:hAnsi="Times New Roman" w:eastAsia="仿宋_GB2312" w:cs="仿宋_GB2312"/>
          <w:highlight w:val="none"/>
          <w:lang w:val="en-US" w:eastAsia="zh-CN"/>
        </w:rPr>
        <w:t>每千名常住人口拥有养老床位数大于8.25张。深化京津冀养老协同，发挥头部企业优势，推动优质项目向环京周边延伸，构建跨区域养老服务支持网络。</w:t>
      </w:r>
      <w:bookmarkEnd w:id="74"/>
    </w:p>
    <w:p w14:paraId="542D98AB">
      <w:pPr>
        <w:shd w:val="clear"/>
        <w:bidi w:val="0"/>
        <w:rPr>
          <w:rFonts w:hint="eastAsia" w:ascii="Times New Roman" w:hAnsi="Times New Roman" w:eastAsia="仿宋_GB2312" w:cs="仿宋_GB2312"/>
          <w:b/>
          <w:bCs/>
          <w:highlight w:val="none"/>
          <w:lang w:val="en-US" w:eastAsia="zh-CN"/>
        </w:rPr>
      </w:pPr>
      <w:r>
        <w:rPr>
          <w:rFonts w:hint="eastAsia" w:ascii="Times New Roman" w:hAnsi="Times New Roman" w:eastAsia="仿宋_GB2312" w:cs="仿宋_GB2312"/>
          <w:b/>
          <w:bCs/>
          <w:highlight w:val="none"/>
          <w:lang w:val="en-US" w:eastAsia="zh-CN"/>
        </w:rPr>
        <w:t>（二）优化社区设施资源配置</w:t>
      </w:r>
    </w:p>
    <w:p w14:paraId="4C8F3A40">
      <w:pPr>
        <w:shd w:val="clear"/>
        <w:bidi w:val="0"/>
        <w:rPr>
          <w:rFonts w:hint="eastAsia" w:ascii="Times New Roman" w:hAnsi="Times New Roman" w:eastAsia="仿宋_GB2312" w:cs="仿宋_GB2312"/>
          <w:highlight w:val="none"/>
        </w:rPr>
      </w:pPr>
      <w:bookmarkStart w:id="76" w:name="_Toc19812"/>
      <w:r>
        <w:rPr>
          <w:rFonts w:hint="eastAsia" w:ascii="Times New Roman" w:hAnsi="Times New Roman" w:eastAsia="仿宋_GB2312" w:cs="仿宋_GB2312"/>
          <w:highlight w:val="none"/>
        </w:rPr>
        <w:t>统筹优化养老服务设施布局，严格落实新建住宅区配建养老设施“四同步”制度，深入开展老旧小区养老设施补短板行动</w:t>
      </w:r>
      <w:r>
        <w:rPr>
          <w:rFonts w:hint="eastAsia" w:ascii="Times New Roman" w:hAnsi="Times New Roman" w:eastAsia="仿宋_GB2312" w:cs="仿宋_GB2312"/>
          <w:highlight w:val="none"/>
          <w:lang w:eastAsia="zh-CN"/>
        </w:rPr>
        <w:t>，</w:t>
      </w:r>
      <w:r>
        <w:rPr>
          <w:rFonts w:hint="eastAsia" w:eastAsia="仿宋_GB2312"/>
          <w:szCs w:val="32"/>
          <w:highlight w:val="none"/>
        </w:rPr>
        <w:t>发展嵌入式社区养老服务设施，精准配置养老驿站、老年餐桌，</w:t>
      </w:r>
      <w:r>
        <w:rPr>
          <w:rFonts w:hint="eastAsia" w:ascii="Times New Roman" w:hAnsi="Times New Roman" w:eastAsia="仿宋_GB2312" w:cs="仿宋_GB2312"/>
          <w:highlight w:val="none"/>
        </w:rPr>
        <w:t>建立健全43个街乡养老设施资源台账，强化对街乡养老设施优化布局的分类指导，加快补齐街乡养老设施短板，促进区域资源共享。全面清理各类闲置资源，建立健全闲置资源台账，鼓励疏解腾退的用地、用房优先用于养老服务；对老旧小区通过政府回购、租赁补贴、财政扶持等方式，针对性补上养老设施“欠账”，并支持社会力量参与闲置资源盘活。此外，推动养老设施功能多元融合，构建“医养康养结合、文体娱乐兼具、线上线下联动”的综合服务体系，全面推进医养一体服务全覆盖，着力推动养老设施与社区公共服务设施深度融合，实现资源共享共用，建立新建小区养老配套设施使用管理规范，让养老设施真正成为老年人的“幸福家园”。</w:t>
      </w:r>
    </w:p>
    <w:p w14:paraId="7C178B0D">
      <w:pPr>
        <w:shd w:val="clear"/>
        <w:bidi w:val="0"/>
        <w:rPr>
          <w:rFonts w:hint="eastAsia" w:ascii="Times New Roman" w:hAnsi="Times New Roman" w:eastAsia="楷体_GB2312" w:cs="楷体_GB2312"/>
          <w:highlight w:val="none"/>
          <w:lang w:val="en-US" w:eastAsia="zh-CN"/>
        </w:rPr>
      </w:pPr>
      <w:r>
        <w:rPr>
          <w:rFonts w:hint="eastAsia" w:ascii="Times New Roman" w:hAnsi="Times New Roman" w:eastAsia="楷体_GB2312" w:cs="楷体_GB2312"/>
          <w:highlight w:val="none"/>
          <w:lang w:val="en-US" w:eastAsia="zh-CN"/>
        </w:rPr>
        <w:t>二、</w:t>
      </w:r>
      <w:bookmarkEnd w:id="75"/>
      <w:r>
        <w:rPr>
          <w:rFonts w:hint="eastAsia" w:ascii="Times New Roman" w:hAnsi="Times New Roman" w:eastAsia="楷体_GB2312" w:cs="楷体_GB2312"/>
          <w:highlight w:val="none"/>
          <w:lang w:val="en-US" w:eastAsia="zh-CN"/>
        </w:rPr>
        <w:t>优化养老服务供给格局</w:t>
      </w:r>
    </w:p>
    <w:p w14:paraId="0AF2CE0F">
      <w:pPr>
        <w:shd w:val="clear"/>
        <w:bidi w:val="0"/>
        <w:rPr>
          <w:rFonts w:hint="eastAsia" w:ascii="Times New Roman" w:hAnsi="Times New Roman" w:eastAsia="仿宋_GB2312" w:cs="仿宋_GB2312"/>
          <w:b/>
          <w:bCs/>
          <w:highlight w:val="none"/>
          <w:lang w:val="en-US" w:eastAsia="zh-CN"/>
        </w:rPr>
      </w:pPr>
      <w:r>
        <w:rPr>
          <w:rFonts w:hint="eastAsia" w:ascii="Times New Roman" w:hAnsi="Times New Roman" w:eastAsia="仿宋_GB2312" w:cs="仿宋_GB2312"/>
          <w:b/>
          <w:bCs/>
          <w:highlight w:val="none"/>
          <w:lang w:val="en-US" w:eastAsia="zh-CN"/>
        </w:rPr>
        <w:t>（一）巩固居家养老</w:t>
      </w:r>
      <w:bookmarkEnd w:id="76"/>
      <w:r>
        <w:rPr>
          <w:rFonts w:hint="eastAsia" w:ascii="Times New Roman" w:hAnsi="Times New Roman" w:eastAsia="仿宋_GB2312" w:cs="仿宋_GB2312"/>
          <w:b/>
          <w:bCs/>
          <w:highlight w:val="none"/>
          <w:lang w:val="en-US" w:eastAsia="zh-CN"/>
        </w:rPr>
        <w:t>基础作用</w:t>
      </w:r>
    </w:p>
    <w:p w14:paraId="1CC824E3">
      <w:pPr>
        <w:shd w:val="clear"/>
        <w:bidi w:val="0"/>
        <w:rPr>
          <w:rFonts w:hint="eastAsia" w:ascii="Times New Roman" w:hAnsi="Times New Roman" w:eastAsia="仿宋_GB2312" w:cs="仿宋_GB2312"/>
          <w:highlight w:val="none"/>
        </w:rPr>
      </w:pPr>
      <w:r>
        <w:rPr>
          <w:rFonts w:hint="eastAsia" w:ascii="Times New Roman" w:hAnsi="Times New Roman" w:eastAsia="仿宋_GB2312" w:cs="仿宋_GB2312"/>
          <w:highlight w:val="none"/>
        </w:rPr>
        <w:t>以居家失能老年人为重点，积极构建“家庭自主+专业支撑”的居家养老服务体系，持续推进家庭养老床位建设，按需提供全周期长期照护服务；构建“专业机构+家庭床位+上门服务”一体化体系，推动社区和企业联动发力，精准供给“六助”居家上门服务，推动养老机构优质服务向居家场景延伸；同时，开展家庭成员照护技能培训，提升家庭照护自主能力，并同步引入专业服务力量提供精细化服务；深入实施居家适老化改造工程，采取政府补贴等方式引导家庭对住宅及其家具等进行适老化改造，切实推动“有责家庭”承担责任。</w:t>
      </w:r>
    </w:p>
    <w:p w14:paraId="3F513834">
      <w:pPr>
        <w:shd w:val="clear"/>
        <w:bidi w:val="0"/>
        <w:rPr>
          <w:rFonts w:hint="eastAsia" w:ascii="Times New Roman" w:hAnsi="Times New Roman" w:eastAsia="仿宋_GB2312" w:cs="仿宋_GB2312"/>
          <w:b/>
          <w:bCs/>
          <w:highlight w:val="none"/>
          <w:lang w:val="en-US" w:eastAsia="zh-CN"/>
        </w:rPr>
      </w:pPr>
      <w:r>
        <w:rPr>
          <w:rFonts w:hint="eastAsia" w:ascii="Times New Roman" w:hAnsi="Times New Roman" w:eastAsia="仿宋_GB2312" w:cs="仿宋_GB2312"/>
          <w:b/>
          <w:bCs/>
          <w:highlight w:val="none"/>
          <w:lang w:val="en-US" w:eastAsia="zh-CN"/>
        </w:rPr>
        <w:t>（二）强化社区养老依托作用</w:t>
      </w:r>
    </w:p>
    <w:p w14:paraId="7FABEBA4">
      <w:pPr>
        <w:shd w:val="clear"/>
        <w:bidi w:val="0"/>
        <w:rPr>
          <w:rFonts w:hint="eastAsia" w:ascii="Times New Roman" w:hAnsi="Times New Roman" w:eastAsia="仿宋_GB2312" w:cs="仿宋_GB2312"/>
          <w:highlight w:val="none"/>
          <w:lang w:val="en-US" w:eastAsia="zh-CN"/>
        </w:rPr>
      </w:pPr>
      <w:r>
        <w:rPr>
          <w:rFonts w:hint="eastAsia" w:eastAsia="仿宋_GB2312" w:cs="仿宋_GB2312"/>
          <w:highlight w:val="none"/>
        </w:rPr>
        <w:t>充分发挥区域养老服务中心、社区养老驿站辐射带动作用，</w:t>
      </w:r>
      <w:r>
        <w:rPr>
          <w:rFonts w:hint="eastAsia" w:eastAsia="仿宋_GB2312"/>
          <w:szCs w:val="32"/>
          <w:highlight w:val="none"/>
        </w:rPr>
        <w:t>探索提供“养老顾问”服务模式，</w:t>
      </w:r>
      <w:r>
        <w:rPr>
          <w:rFonts w:hint="eastAsia" w:eastAsia="仿宋_GB2312" w:cs="仿宋_GB2312"/>
          <w:highlight w:val="none"/>
        </w:rPr>
        <w:t>大力培育专业化、连锁化、品牌化运营的嵌入式社区养老服务机构，承接社区延伸服务，实现与居家养老服务的无缝衔接。</w:t>
      </w:r>
      <w:r>
        <w:rPr>
          <w:rFonts w:hint="eastAsia" w:eastAsia="仿宋_GB2312"/>
          <w:szCs w:val="32"/>
          <w:highlight w:val="none"/>
        </w:rPr>
        <w:t>优化社区一刻钟养老服务圈，</w:t>
      </w:r>
      <w:r>
        <w:rPr>
          <w:rFonts w:hint="eastAsia" w:eastAsia="仿宋_GB2312" w:cs="仿宋_GB2312"/>
          <w:highlight w:val="none"/>
        </w:rPr>
        <w:t>织密城乡一体养老助餐服务网络，围绕群众差异化服务需求，支持品牌化企业参与养老助餐，构建多层次、多维度、多元助餐服务供给体系，提升助餐服务的可及性与便利性；推行“社区+物业+养老服务”模式，支持物业服务企业开展多种形式的养老服务，为老年人提供精准服务与资源对接；探索“养老+家政”的居家服务模式，把家政服务（保洁、做饭、陪护、助浴等）与养老照护（生活照料、精神慰藉）深度融合，打造一站式居家社区养老服务，解决老人“在家养老、有人关注、有人照护”的核心需求。强化社区（村）“两委”职责，发挥老年协会、社会组织及志愿者作用，为居家和社区老年人提供生活照料、精神慰藉、康复护理等方面的服务。</w:t>
      </w:r>
    </w:p>
    <w:p w14:paraId="2CEF8EA8">
      <w:pPr>
        <w:shd w:val="clear"/>
        <w:bidi w:val="0"/>
        <w:rPr>
          <w:rFonts w:hint="eastAsia" w:ascii="Times New Roman" w:hAnsi="Times New Roman" w:eastAsia="仿宋_GB2312" w:cs="仿宋_GB2312"/>
          <w:b/>
          <w:bCs/>
          <w:highlight w:val="none"/>
          <w:lang w:val="en-US" w:eastAsia="zh-CN"/>
        </w:rPr>
      </w:pPr>
      <w:bookmarkStart w:id="77" w:name="_Toc11522"/>
      <w:r>
        <w:rPr>
          <w:rFonts w:hint="eastAsia" w:ascii="Times New Roman" w:hAnsi="Times New Roman" w:eastAsia="仿宋_GB2312" w:cs="仿宋_GB2312"/>
          <w:b/>
          <w:bCs/>
          <w:highlight w:val="none"/>
          <w:lang w:val="en-US" w:eastAsia="zh-CN"/>
        </w:rPr>
        <w:t>（三）提升机构养老</w:t>
      </w:r>
      <w:bookmarkEnd w:id="77"/>
      <w:r>
        <w:rPr>
          <w:rFonts w:hint="eastAsia" w:ascii="Times New Roman" w:hAnsi="Times New Roman" w:eastAsia="仿宋_GB2312" w:cs="仿宋_GB2312"/>
          <w:b/>
          <w:bCs/>
          <w:highlight w:val="none"/>
          <w:lang w:val="en-US" w:eastAsia="zh-CN"/>
        </w:rPr>
        <w:t>支撑作用</w:t>
      </w:r>
    </w:p>
    <w:p w14:paraId="180C3218">
      <w:pPr>
        <w:shd w:val="clear"/>
        <w:bidi w:val="0"/>
        <w:ind w:firstLine="640" w:firstLineChars="200"/>
        <w:rPr>
          <w:rFonts w:hint="eastAsia" w:ascii="Times New Roman" w:hAnsi="Times New Roman" w:eastAsia="仿宋_GB2312" w:cs="仿宋_GB2312"/>
          <w:b w:val="0"/>
          <w:bCs w:val="0"/>
          <w:highlight w:val="none"/>
        </w:rPr>
      </w:pPr>
      <w:bookmarkStart w:id="78" w:name="_Toc2910"/>
      <w:bookmarkStart w:id="79" w:name="_Toc20862"/>
      <w:r>
        <w:rPr>
          <w:rFonts w:hint="eastAsia" w:ascii="Times New Roman" w:hAnsi="Times New Roman" w:eastAsia="仿宋_GB2312" w:cs="仿宋_GB2312"/>
          <w:highlight w:val="none"/>
        </w:rPr>
        <w:t>深化养老机构分类改革，按照兜底保障、普惠支持、市场运作进行分类改革，推动养老机构规范化运营、差异化发展、高质量提升。聚焦银发经济发展契机，引导社会资本有序参与，大力推广普惠型与高端型养老机构差异化服务模式，立足不同老年群体支付能力和服务需求，明确两类机构服务定位、标准规范和收费区间，构建精准供给、错位发展、协同互补的养老服务供给体系。兜牢底线，</w:t>
      </w:r>
      <w:r>
        <w:rPr>
          <w:rFonts w:hint="eastAsia" w:ascii="Times New Roman" w:hAnsi="Times New Roman" w:eastAsia="仿宋_GB2312" w:cs="仿宋_GB2312"/>
          <w:highlight w:val="none"/>
          <w:lang w:val="en-US" w:eastAsia="zh-CN"/>
        </w:rPr>
        <w:t>强化公办保障基础，</w:t>
      </w:r>
      <w:r>
        <w:rPr>
          <w:rFonts w:hint="eastAsia" w:ascii="Times New Roman" w:hAnsi="Times New Roman" w:eastAsia="仿宋_GB2312" w:cs="仿宋_GB2312"/>
          <w:highlight w:val="none"/>
        </w:rPr>
        <w:t>持续提升公办养老机构兜底保障能力和服务效能，健全公办养老机构运营机制。做大普惠，聚焦老年群体基本养老服务需求，</w:t>
      </w:r>
      <w:r>
        <w:rPr>
          <w:rFonts w:hint="eastAsia" w:ascii="Times New Roman" w:hAnsi="Times New Roman" w:eastAsia="仿宋_GB2312" w:cs="仿宋_GB2312"/>
          <w:highlight w:val="none"/>
          <w:lang w:val="en-US" w:eastAsia="zh-CN"/>
        </w:rPr>
        <w:t>激发社会参与活力，</w:t>
      </w:r>
      <w:r>
        <w:rPr>
          <w:rFonts w:hint="eastAsia" w:ascii="Times New Roman" w:hAnsi="Times New Roman" w:eastAsia="仿宋_GB2312" w:cs="仿宋_GB2312"/>
          <w:highlight w:val="none"/>
        </w:rPr>
        <w:t>通过政策引导、资金扶持、完善补贴等多种方式，推动社会力量参与普惠型养老机构建设运营，提升服务可及性。做优高端，</w:t>
      </w:r>
      <w:r>
        <w:rPr>
          <w:rFonts w:hint="eastAsia" w:ascii="Times New Roman" w:hAnsi="Times New Roman" w:eastAsia="仿宋_GB2312" w:cs="仿宋_GB2312"/>
          <w:highlight w:val="none"/>
          <w:lang w:val="en-US" w:eastAsia="zh-CN"/>
        </w:rPr>
        <w:t>打造高品质养老标杆，突出高品质、个性化发展导向，瞄准高端养老需求群体，</w:t>
      </w:r>
      <w:r>
        <w:rPr>
          <w:rFonts w:hint="eastAsia" w:ascii="Times New Roman" w:hAnsi="Times New Roman" w:eastAsia="仿宋_GB2312" w:cs="仿宋_GB2312"/>
          <w:highlight w:val="none"/>
        </w:rPr>
        <w:t>发挥朝阳国际化优势，支持引入国际知名养老品牌</w:t>
      </w:r>
      <w:r>
        <w:rPr>
          <w:rFonts w:hint="eastAsia" w:ascii="Times New Roman" w:hAnsi="Times New Roman" w:eastAsia="仿宋_GB2312" w:cs="仿宋_GB2312"/>
          <w:highlight w:val="none"/>
          <w:lang w:eastAsia="zh-CN"/>
        </w:rPr>
        <w:t>参与养老机构建设，</w:t>
      </w:r>
      <w:r>
        <w:rPr>
          <w:rFonts w:hint="eastAsia" w:ascii="Times New Roman" w:hAnsi="Times New Roman" w:eastAsia="仿宋_GB2312" w:cs="仿宋_GB2312"/>
          <w:highlight w:val="none"/>
        </w:rPr>
        <w:t>支持完全市场型养老机构参与充分竞争，实行优质优价，以高端服务供给带动整个行业服务水平提升，满足不同群体高端养老需求。</w:t>
      </w:r>
      <w:r>
        <w:rPr>
          <w:rFonts w:hint="eastAsia" w:ascii="Times New Roman" w:hAnsi="Times New Roman" w:eastAsia="仿宋_GB2312" w:cs="Times New Roman"/>
          <w:b w:val="0"/>
          <w:bCs w:val="0"/>
          <w:sz w:val="32"/>
          <w:szCs w:val="32"/>
          <w:highlight w:val="none"/>
          <w:lang w:val="en"/>
        </w:rPr>
        <w:t>探索建设以央企、国企等为主体的医养护一体化中大型养老机构</w:t>
      </w:r>
      <w:r>
        <w:rPr>
          <w:rFonts w:hint="eastAsia" w:eastAsia="仿宋_GB2312" w:cs="Times New Roman"/>
          <w:b w:val="0"/>
          <w:bCs w:val="0"/>
          <w:sz w:val="32"/>
          <w:szCs w:val="32"/>
          <w:highlight w:val="none"/>
          <w:lang w:val="en" w:eastAsia="zh-CN"/>
        </w:rPr>
        <w:t>。</w:t>
      </w:r>
      <w:r>
        <w:rPr>
          <w:rFonts w:hint="eastAsia" w:ascii="Times New Roman" w:hAnsi="Times New Roman" w:eastAsia="仿宋_GB2312" w:cs="仿宋_GB2312"/>
          <w:highlight w:val="none"/>
          <w:lang w:val="en-US" w:eastAsia="zh-CN"/>
        </w:rPr>
        <w:t>提升</w:t>
      </w:r>
      <w:r>
        <w:rPr>
          <w:rFonts w:hint="eastAsia" w:ascii="Times New Roman" w:hAnsi="Times New Roman" w:eastAsia="仿宋_GB2312" w:cs="仿宋_GB2312"/>
          <w:highlight w:val="none"/>
        </w:rPr>
        <w:t>能力，</w:t>
      </w:r>
      <w:r>
        <w:rPr>
          <w:rFonts w:hint="eastAsia" w:ascii="Times New Roman" w:hAnsi="Times New Roman" w:eastAsia="仿宋_GB2312" w:cs="仿宋_GB2312"/>
          <w:highlight w:val="none"/>
          <w:lang w:val="en-US" w:eastAsia="zh-CN"/>
        </w:rPr>
        <w:t>做强专业护理支撑，</w:t>
      </w:r>
      <w:r>
        <w:rPr>
          <w:rFonts w:hint="default" w:ascii="Times New Roman" w:hAnsi="Times New Roman" w:eastAsia="仿宋_GB2312" w:cs="Times New Roman"/>
          <w:color w:val="auto"/>
          <w:sz w:val="32"/>
          <w:szCs w:val="32"/>
          <w:highlight w:val="none"/>
          <w:lang w:eastAsia="zh-CN"/>
        </w:rPr>
        <w:t>打造以特色病种为核心的新型专业化养老机构，在综合养老机构中开设不同特色专区，提高护理型养老床位</w:t>
      </w:r>
      <w:r>
        <w:rPr>
          <w:rFonts w:hint="default" w:ascii="Times New Roman" w:hAnsi="Times New Roman" w:eastAsia="仿宋_GB2312" w:cs="Times New Roman"/>
          <w:sz w:val="32"/>
          <w:szCs w:val="32"/>
          <w:highlight w:val="none"/>
          <w:lang w:eastAsia="zh-CN"/>
        </w:rPr>
        <w:t>比重</w:t>
      </w:r>
      <w:r>
        <w:rPr>
          <w:rFonts w:hint="eastAsia" w:ascii="Times New Roman" w:hAnsi="Times New Roman" w:eastAsia="仿宋_GB2312" w:cs="仿宋_GB2312"/>
          <w:highlight w:val="none"/>
        </w:rPr>
        <w:t>，到2030年全区养老机构护理型床位占比达到73%</w:t>
      </w:r>
      <w:r>
        <w:rPr>
          <w:rFonts w:hint="eastAsia" w:eastAsia="仿宋_GB2312" w:cs="仿宋_GB2312"/>
          <w:highlight w:val="none"/>
          <w:lang w:eastAsia="zh-CN"/>
        </w:rPr>
        <w:t>（力争达到</w:t>
      </w:r>
      <w:r>
        <w:rPr>
          <w:rFonts w:hint="eastAsia" w:eastAsia="仿宋_GB2312" w:cs="仿宋_GB2312"/>
          <w:highlight w:val="none"/>
          <w:lang w:val="en-US" w:eastAsia="zh-CN"/>
        </w:rPr>
        <w:t>75%</w:t>
      </w:r>
      <w:r>
        <w:rPr>
          <w:rFonts w:hint="eastAsia" w:eastAsia="仿宋_GB2312" w:cs="仿宋_GB2312"/>
          <w:highlight w:val="none"/>
          <w:lang w:eastAsia="zh-CN"/>
        </w:rPr>
        <w:t>）</w:t>
      </w:r>
      <w:r>
        <w:rPr>
          <w:rFonts w:hint="eastAsia" w:ascii="Times New Roman" w:hAnsi="Times New Roman" w:eastAsia="仿宋_GB2312" w:cs="仿宋_GB2312"/>
          <w:highlight w:val="none"/>
        </w:rPr>
        <w:t>。探索“老年父母+残疾子女”家庭共同入住养老机构的实施路径，支持有能力的养老机构收住重度残疾人。</w:t>
      </w:r>
    </w:p>
    <w:p w14:paraId="0C5EF497">
      <w:pPr>
        <w:shd w:val="clear"/>
        <w:bidi w:val="0"/>
        <w:rPr>
          <w:rFonts w:hint="eastAsia" w:ascii="Times New Roman" w:hAnsi="Times New Roman" w:eastAsia="仿宋_GB2312" w:cs="仿宋_GB2312"/>
          <w:b/>
          <w:bCs/>
          <w:highlight w:val="none"/>
          <w:lang w:val="en-US" w:eastAsia="zh-CN"/>
        </w:rPr>
      </w:pPr>
      <w:r>
        <w:rPr>
          <w:rFonts w:hint="eastAsia" w:ascii="Times New Roman" w:hAnsi="Times New Roman" w:eastAsia="仿宋_GB2312" w:cs="仿宋_GB2312"/>
          <w:b/>
          <w:bCs/>
          <w:highlight w:val="none"/>
          <w:lang w:val="en-US" w:eastAsia="zh-CN"/>
        </w:rPr>
        <w:t>（四）深化医养康养深度融合发展</w:t>
      </w:r>
      <w:bookmarkEnd w:id="78"/>
      <w:bookmarkEnd w:id="79"/>
      <w:bookmarkStart w:id="80" w:name="_Toc864"/>
      <w:bookmarkStart w:id="81" w:name="_Toc23935"/>
    </w:p>
    <w:p w14:paraId="553B4744">
      <w:pPr>
        <w:shd w:val="clear"/>
        <w:bidi w:val="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lang w:val="en-US" w:eastAsia="zh-CN"/>
        </w:rPr>
        <w:t>畅通医养协同与转介机制。会同相关部门，推动医疗卫生资源与养老服务深度融合，着力破除专业壁垒。全面推行家庭养老床位、家庭病床、机构养老床位、医疗床位、安宁疗护床位“五床联动”机制，畅通特殊群体紧急就医绿色通道。</w:t>
      </w:r>
    </w:p>
    <w:p w14:paraId="09A8AE5B">
      <w:pPr>
        <w:shd w:val="clear"/>
        <w:bidi w:val="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lang w:val="en-US" w:eastAsia="zh-CN"/>
        </w:rPr>
        <w:t>做强专业康复与长期照护支撑。打造“诊疗-康复-养老”服务闭环，聚焦失能失智刚性需求，引导普通床位向护理型转型，确保100张床位以上且具备能力的养老机构失智照护专区设置率不低于50%。稳妥推进长期护理保险落地实施，健全安宁疗护服务网络与标准规范，构建机构、社区、居家相衔接的多层次长期照护体系。</w:t>
      </w:r>
    </w:p>
    <w:p w14:paraId="57952137">
      <w:pPr>
        <w:shd w:val="clear"/>
        <w:bidi w:val="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lang w:val="en-US" w:eastAsia="zh-CN"/>
        </w:rPr>
        <w:t>打造高能级医养康养融合体。推进区级康养融合体试点建设，稳步实现全区医养康养融合体全覆盖。支持医疗、康养机构与创新主体组建融合体，深化京津冀跨区域协同，推动优质医康养项目向环京周边延伸，构筑区域健康养老新高地。</w:t>
      </w:r>
    </w:p>
    <w:p w14:paraId="776164EE">
      <w:pPr>
        <w:shd w:val="clear"/>
        <w:bidi w:val="0"/>
        <w:rPr>
          <w:rFonts w:hint="eastAsia" w:ascii="Times New Roman" w:hAnsi="Times New Roman" w:eastAsia="楷体_GB2312" w:cs="楷体_GB2312"/>
          <w:highlight w:val="none"/>
          <w:lang w:val="en-US" w:eastAsia="zh-CN"/>
        </w:rPr>
      </w:pPr>
      <w:r>
        <w:rPr>
          <w:rFonts w:hint="eastAsia" w:ascii="Times New Roman" w:hAnsi="Times New Roman" w:eastAsia="楷体_GB2312" w:cs="楷体_GB2312"/>
          <w:highlight w:val="none"/>
          <w:lang w:val="en-US" w:eastAsia="zh-CN"/>
        </w:rPr>
        <w:t>三、</w:t>
      </w:r>
      <w:bookmarkEnd w:id="80"/>
      <w:bookmarkEnd w:id="81"/>
      <w:r>
        <w:rPr>
          <w:rFonts w:hint="eastAsia" w:ascii="Times New Roman" w:hAnsi="Times New Roman" w:eastAsia="楷体_GB2312" w:cs="楷体_GB2312"/>
          <w:highlight w:val="none"/>
          <w:lang w:val="en-US" w:eastAsia="zh-CN"/>
        </w:rPr>
        <w:t>强化产业促进与市场培育</w:t>
      </w:r>
    </w:p>
    <w:p w14:paraId="16DFA33C">
      <w:pPr>
        <w:shd w:val="clear"/>
        <w:bidi w:val="0"/>
        <w:rPr>
          <w:rFonts w:hint="eastAsia" w:ascii="Times New Roman" w:hAnsi="Times New Roman" w:eastAsia="仿宋_GB2312" w:cs="仿宋_GB2312"/>
          <w:highlight w:val="none"/>
        </w:rPr>
      </w:pPr>
      <w:r>
        <w:rPr>
          <w:rFonts w:hint="eastAsia" w:ascii="Times New Roman" w:hAnsi="Times New Roman" w:eastAsia="仿宋_GB2312" w:cs="仿宋_GB2312"/>
          <w:highlight w:val="none"/>
        </w:rPr>
        <w:t>立足朝阳区国际化、智能化、多元化发展优势，坚持“事业引领方向、产业提供支撑、双向赋能增效”原则，以科技创新为纽带，以场景应用为载体，以机制创新为保障，加快</w:t>
      </w:r>
      <w:r>
        <w:rPr>
          <w:rFonts w:hint="eastAsia" w:ascii="Times New Roman" w:hAnsi="Times New Roman" w:eastAsia="仿宋_GB2312" w:cs="仿宋_GB2312"/>
          <w:highlight w:val="none"/>
          <w:lang w:val="en-US" w:eastAsia="zh-CN"/>
        </w:rPr>
        <w:t>产业促进与市场培育。</w:t>
      </w:r>
    </w:p>
    <w:p w14:paraId="5D7ACAEE">
      <w:pPr>
        <w:shd w:val="clear"/>
        <w:bidi w:val="0"/>
        <w:rPr>
          <w:rFonts w:hint="eastAsia" w:ascii="Times New Roman" w:hAnsi="Times New Roman" w:eastAsia="仿宋_GB2312" w:cs="仿宋_GB2312"/>
          <w:b/>
          <w:bCs/>
          <w:highlight w:val="none"/>
          <w:lang w:val="en-US" w:eastAsia="zh-CN"/>
        </w:rPr>
      </w:pPr>
      <w:bookmarkStart w:id="82" w:name="_Toc223194589"/>
      <w:bookmarkStart w:id="83" w:name="_Toc223188377"/>
      <w:r>
        <w:rPr>
          <w:rFonts w:hint="eastAsia" w:ascii="Times New Roman" w:hAnsi="Times New Roman" w:eastAsia="仿宋_GB2312" w:cs="仿宋_GB2312"/>
          <w:b/>
          <w:bCs/>
          <w:highlight w:val="none"/>
          <w:lang w:val="en-US" w:eastAsia="zh-CN"/>
        </w:rPr>
        <w:t>（一）加速养老产业优化升级</w:t>
      </w:r>
      <w:bookmarkEnd w:id="82"/>
      <w:bookmarkEnd w:id="83"/>
    </w:p>
    <w:p w14:paraId="7333326A">
      <w:pPr>
        <w:shd w:val="clear"/>
        <w:bidi w:val="0"/>
        <w:rPr>
          <w:rFonts w:hint="eastAsia" w:ascii="Times New Roman" w:hAnsi="Times New Roman" w:eastAsia="仿宋_GB2312" w:cs="仿宋_GB2312"/>
          <w:highlight w:val="none"/>
        </w:rPr>
      </w:pPr>
      <w:r>
        <w:rPr>
          <w:rFonts w:hint="eastAsia" w:ascii="Times New Roman" w:hAnsi="Times New Roman" w:eastAsia="仿宋_GB2312" w:cs="仿宋_GB2312"/>
          <w:highlight w:val="none"/>
        </w:rPr>
        <w:t>壮大银发经济核心业态。贯彻落实《国务院办公厅关于发展银发经济增进老年人福祉的意见》，坚持事业与产业协同，以高品质普惠服务供给培育银发消费新增长点。依托朝阳区国际化资源集聚与数字经济优势，推动银发经济与区域特色产业深度融合。引导市场主体聚焦智慧康养、银发文旅、银发金融、时尚适老等四大消费方向加大投资，打造具有朝阳辨识度的高水平服务型业态。培育银发文旅康养新模式</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整合区域文旅资源，大力发展新型银发旅游业态。拓展适老化消费体验场景</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依托国际消费中心城市主承载区建设，积极引进国内外知名老龄品牌与头部企业。结合“敬老月”等传统节点，常态化开展银发经济促消费活动，全面助力智能、绿色适老产品的普及推广，持续激发银发消费市场活力。</w:t>
      </w:r>
    </w:p>
    <w:p w14:paraId="08845C77">
      <w:pPr>
        <w:shd w:val="clear"/>
        <w:bidi w:val="0"/>
        <w:rPr>
          <w:rFonts w:hint="eastAsia" w:ascii="Times New Roman" w:hAnsi="Times New Roman" w:eastAsia="仿宋_GB2312" w:cs="仿宋_GB2312"/>
          <w:b/>
          <w:bCs/>
          <w:highlight w:val="none"/>
          <w:lang w:val="en-US" w:eastAsia="zh-CN"/>
        </w:rPr>
      </w:pPr>
      <w:bookmarkStart w:id="84" w:name="_Toc223188378"/>
      <w:bookmarkStart w:id="85" w:name="_Toc223194590"/>
      <w:r>
        <w:rPr>
          <w:rFonts w:hint="eastAsia" w:ascii="Times New Roman" w:hAnsi="Times New Roman" w:eastAsia="仿宋_GB2312" w:cs="仿宋_GB2312"/>
          <w:b/>
          <w:bCs/>
          <w:highlight w:val="none"/>
          <w:lang w:val="en-US" w:eastAsia="zh-CN"/>
        </w:rPr>
        <w:t>（二）培育多元协同产业生态</w:t>
      </w:r>
      <w:bookmarkEnd w:id="84"/>
      <w:bookmarkEnd w:id="85"/>
    </w:p>
    <w:p w14:paraId="2A2531BD">
      <w:pPr>
        <w:shd w:val="clear"/>
        <w:bidi w:val="0"/>
        <w:rPr>
          <w:rFonts w:hint="eastAsia" w:ascii="Times New Roman" w:hAnsi="Times New Roman" w:eastAsia="仿宋_GB2312" w:cs="仿宋_GB2312"/>
          <w:highlight w:val="none"/>
        </w:rPr>
      </w:pPr>
      <w:bookmarkStart w:id="86" w:name="_Toc223188379"/>
      <w:bookmarkStart w:id="87" w:name="_Toc223194591"/>
      <w:r>
        <w:rPr>
          <w:rFonts w:hint="eastAsia" w:ascii="Times New Roman" w:hAnsi="Times New Roman" w:eastAsia="仿宋_GB2312" w:cs="仿宋_GB2312"/>
          <w:highlight w:val="none"/>
        </w:rPr>
        <w:t>深化业态跨界协同融合。推动医康养残协同衔接，实施“银发经济+”行动计划，促进老龄产业与健康、文旅、家政等关联产业深度融合。不断丰富多层次、多样化的适老产品与服务供给，全面提升康养服务的可达性与便利度。梯次培育壮大市场主体。发挥国资引领作用，构建梯度培育体系，重点支持创新型企业加大研发投入。联动相关专业园区，构建集研发、孵化、运营、应用于一体的产业生态集群。强化产业发展政策保障</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统筹资金与金融扶持政策，精准支持特色园区、创新平台与优质企业。搭建国际康养产业合作平台，推动行业标准与国际接轨，全力打造具有全球影响力的朝阳康养品牌。</w:t>
      </w:r>
    </w:p>
    <w:p w14:paraId="02EFCBCE">
      <w:pPr>
        <w:shd w:val="clear"/>
        <w:bidi w:val="0"/>
        <w:rPr>
          <w:rFonts w:hint="eastAsia" w:ascii="Times New Roman" w:hAnsi="Times New Roman" w:eastAsia="仿宋_GB2312" w:cs="仿宋_GB2312"/>
          <w:b/>
          <w:bCs/>
          <w:highlight w:val="none"/>
          <w:lang w:val="en-US" w:eastAsia="zh-CN"/>
        </w:rPr>
      </w:pPr>
      <w:r>
        <w:rPr>
          <w:rFonts w:hint="eastAsia" w:ascii="Times New Roman" w:hAnsi="Times New Roman" w:eastAsia="仿宋_GB2312" w:cs="仿宋_GB2312"/>
          <w:b/>
          <w:bCs/>
          <w:highlight w:val="none"/>
          <w:lang w:val="en-US" w:eastAsia="zh-CN"/>
        </w:rPr>
        <w:t>（三）有序发展养老普惠金融</w:t>
      </w:r>
      <w:bookmarkEnd w:id="86"/>
      <w:bookmarkEnd w:id="87"/>
    </w:p>
    <w:p w14:paraId="3B9642E2">
      <w:pPr>
        <w:shd w:val="clear"/>
        <w:bidi w:val="0"/>
        <w:rPr>
          <w:rFonts w:hint="eastAsia" w:ascii="Times New Roman" w:hAnsi="Times New Roman" w:eastAsia="仿宋_GB2312" w:cs="仿宋_GB2312"/>
          <w:highlight w:val="none"/>
        </w:rPr>
      </w:pPr>
      <w:r>
        <w:rPr>
          <w:rFonts w:hint="eastAsia" w:ascii="Times New Roman" w:hAnsi="Times New Roman" w:eastAsia="仿宋_GB2312" w:cs="仿宋_GB2312"/>
          <w:highlight w:val="none"/>
        </w:rPr>
        <w:t>推动金融机构与医疗、文旅、科技企业深度合作，聚焦医养结合、智慧养老等核心领域，开发定制化创新金融产品，满足产业发展与老年人多样化需求。支持商业保险机构开发商业养老保险、老年人健康保险及居家、社区、机构等多样化护理需求产品，引导树立全生命周期保险理念。鼓励金融机构开发适配老年人特点的支付、储蓄、理财、信托、公募基金等养老金融产品。系统开展养老金融知识普及行动，提升老年群体金融认知水平、养老规划意识与理性投资能力，筑牢养老金融安全防线。</w:t>
      </w:r>
    </w:p>
    <w:p w14:paraId="6A66F0E7">
      <w:pPr>
        <w:shd w:val="clear"/>
        <w:bidi w:val="0"/>
        <w:rPr>
          <w:rFonts w:hint="eastAsia" w:ascii="Times New Roman" w:hAnsi="Times New Roman" w:eastAsia="仿宋_GB2312" w:cs="仿宋_GB2312"/>
          <w:b/>
          <w:bCs/>
          <w:highlight w:val="none"/>
          <w:lang w:val="en-US" w:eastAsia="zh-CN"/>
        </w:rPr>
      </w:pPr>
      <w:bookmarkStart w:id="88" w:name="_Toc223194592"/>
      <w:bookmarkStart w:id="89" w:name="_Toc223188380"/>
      <w:r>
        <w:rPr>
          <w:rFonts w:hint="eastAsia" w:ascii="Times New Roman" w:hAnsi="Times New Roman" w:eastAsia="仿宋_GB2312" w:cs="仿宋_GB2312"/>
          <w:b/>
          <w:bCs/>
          <w:highlight w:val="none"/>
          <w:lang w:val="en-US" w:eastAsia="zh-CN"/>
        </w:rPr>
        <w:t>（四）</w:t>
      </w:r>
      <w:bookmarkEnd w:id="88"/>
      <w:bookmarkEnd w:id="89"/>
      <w:bookmarkStart w:id="90" w:name="_Toc223188381"/>
      <w:bookmarkStart w:id="91" w:name="_Toc223194593"/>
      <w:r>
        <w:rPr>
          <w:rFonts w:hint="eastAsia" w:ascii="Times New Roman" w:hAnsi="Times New Roman" w:eastAsia="仿宋_GB2312" w:cs="仿宋_GB2312"/>
          <w:b/>
          <w:bCs/>
          <w:highlight w:val="none"/>
          <w:lang w:val="en-US" w:eastAsia="zh-CN"/>
        </w:rPr>
        <w:t>提升智慧养老服务水平</w:t>
      </w:r>
    </w:p>
    <w:p w14:paraId="37F9ABD9">
      <w:pPr>
        <w:shd w:val="clear"/>
        <w:bidi w:val="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lang w:val="en-US" w:eastAsia="zh-CN"/>
        </w:rPr>
        <w:t>做强三级智慧养老平台，</w:t>
      </w:r>
      <w:r>
        <w:rPr>
          <w:rFonts w:hint="eastAsia" w:ascii="Times New Roman" w:hAnsi="Times New Roman" w:eastAsia="仿宋_GB2312" w:cs="仿宋_GB2312"/>
          <w:highlight w:val="none"/>
          <w:lang w:eastAsia="zh-CN"/>
        </w:rPr>
        <w:t>升级区级平台枢纽功能，整合全域养老数据，推动跨部门数据互通与业务协同，打造政、企、民一体化综合治理枢纽。积极搭建区级养老服务综合平台，建立养老服务供应商体系。优化完善养老服务信息系统，强化街乡平台联动响应，依托街乡区域养老中心，整合辖区服务与智能设备数据，构建“机构+居家”双重监控网络，实现供需精准对接与高效响应。夯实社区平台便捷终端，以社区养老驿站为触点，优化适老化智能终端布局，提升“一键呼”、养老助餐“一码通办”服务效能，精准提供助餐、照护、就医等便捷服务</w:t>
      </w:r>
      <w:r>
        <w:rPr>
          <w:rFonts w:hint="eastAsia" w:eastAsia="仿宋_GB2312" w:cs="仿宋_GB2312"/>
          <w:highlight w:val="none"/>
          <w:lang w:eastAsia="zh-CN"/>
        </w:rPr>
        <w:t>。</w:t>
      </w:r>
    </w:p>
    <w:p w14:paraId="741564A5">
      <w:pPr>
        <w:shd w:val="clear"/>
        <w:bidi w:val="0"/>
        <w:rPr>
          <w:rFonts w:hint="eastAsia" w:ascii="Times New Roman" w:hAnsi="Times New Roman" w:eastAsia="仿宋_GB2312" w:cs="仿宋_GB2312"/>
          <w:highlight w:val="none"/>
          <w:lang w:eastAsia="zh-CN"/>
        </w:rPr>
      </w:pPr>
      <w:r>
        <w:rPr>
          <w:rFonts w:hint="eastAsia" w:ascii="Times New Roman" w:hAnsi="Times New Roman" w:eastAsia="仿宋_GB2312" w:cs="仿宋_GB2312"/>
          <w:highlight w:val="none"/>
          <w:lang w:val="en-US" w:eastAsia="zh-CN"/>
        </w:rPr>
        <w:t>强化养老机构智慧消防系统应用，提高消防物联感知、电气火灾监控预警、智能火眼监测识别、消防隐患智能巡检等方面能力，筑牢消防安全防线。推广智慧养老应用场景，拓宽居家便民智慧场景，构建“主动求助+被动监测”双重应急网络。推广陪伴机器人与适老智能终端，全方位强化居家生活与情感支撑。深化医康养融合智慧应用。推动智能穿戴、康复机器人与照护机器人规模化落地。依托平台集成健康监测数据，实现家院协同与精准照护。积极发挥老龄友好智慧体验中心作用，为养老科技企业提供多元、多样的应用场景和科研基地，争取各种养老新产品、新模式在朝阳首发落地，构建多点位、多层次养老新产品、新服务展示推广网络</w:t>
      </w:r>
      <w:r>
        <w:rPr>
          <w:rFonts w:hint="eastAsia" w:eastAsia="仿宋_GB2312" w:cs="仿宋_GB2312"/>
          <w:highlight w:val="none"/>
          <w:lang w:val="en-US" w:eastAsia="zh-CN"/>
        </w:rPr>
        <w:t>。</w:t>
      </w:r>
      <w:r>
        <w:rPr>
          <w:rFonts w:hint="eastAsia" w:ascii="Times New Roman" w:hAnsi="Times New Roman" w:eastAsia="仿宋_GB2312" w:cs="仿宋_GB2312"/>
          <w:highlight w:val="none"/>
          <w:lang w:val="en-US" w:eastAsia="zh-CN"/>
        </w:rPr>
        <w:t>强化数据要素开发与治理，推动跨部门核心数据规范归集与安全共享。引入大数据分析引擎，精准预判群众需求与资源匹配，推动服务模式从“人找服务”向“服务找人”转变，坚决筑牢数据安全防线。</w:t>
      </w:r>
    </w:p>
    <w:bookmarkEnd w:id="90"/>
    <w:bookmarkEnd w:id="91"/>
    <w:p w14:paraId="04E88A69">
      <w:pPr>
        <w:shd w:val="clear"/>
        <w:bidi w:val="0"/>
        <w:rPr>
          <w:rFonts w:hint="eastAsia" w:ascii="Times New Roman" w:hAnsi="Times New Roman" w:eastAsia="楷体_GB2312" w:cs="楷体_GB2312"/>
          <w:highlight w:val="none"/>
          <w:lang w:val="en-US" w:eastAsia="zh-CN"/>
        </w:rPr>
      </w:pPr>
      <w:r>
        <w:rPr>
          <w:rFonts w:hint="eastAsia" w:ascii="Times New Roman" w:hAnsi="Times New Roman" w:eastAsia="楷体_GB2312" w:cs="楷体_GB2312"/>
          <w:highlight w:val="none"/>
          <w:lang w:val="en-US" w:eastAsia="zh-CN"/>
        </w:rPr>
        <w:t>四、强化养老服务人才与监管支撑</w:t>
      </w:r>
    </w:p>
    <w:p w14:paraId="5AB6D54F">
      <w:pPr>
        <w:shd w:val="clear"/>
        <w:bidi w:val="0"/>
        <w:rPr>
          <w:rFonts w:hint="eastAsia" w:ascii="Times New Roman" w:hAnsi="Times New Roman" w:eastAsia="仿宋_GB2312" w:cs="仿宋_GB2312"/>
          <w:b/>
          <w:bCs/>
          <w:highlight w:val="none"/>
          <w:lang w:val="en-US" w:eastAsia="zh-CN"/>
        </w:rPr>
      </w:pPr>
      <w:bookmarkStart w:id="92" w:name="_Toc223194595"/>
      <w:r>
        <w:rPr>
          <w:rFonts w:hint="eastAsia" w:ascii="Times New Roman" w:hAnsi="Times New Roman" w:eastAsia="仿宋_GB2312" w:cs="仿宋_GB2312"/>
          <w:b/>
          <w:bCs/>
          <w:highlight w:val="none"/>
          <w:lang w:val="en-US" w:eastAsia="zh-CN"/>
        </w:rPr>
        <w:t>（一）完善全链条人才培养机制</w:t>
      </w:r>
      <w:bookmarkEnd w:id="92"/>
    </w:p>
    <w:p w14:paraId="13C9FA86">
      <w:pPr>
        <w:shd w:val="clear"/>
        <w:bidi w:val="0"/>
        <w:rPr>
          <w:rFonts w:hint="eastAsia" w:ascii="Times New Roman" w:hAnsi="Times New Roman" w:eastAsia="仿宋_GB2312" w:cs="仿宋_GB2312"/>
          <w:highlight w:val="none"/>
          <w:lang w:eastAsia="zh-CN"/>
        </w:rPr>
      </w:pPr>
      <w:r>
        <w:rPr>
          <w:rFonts w:hint="eastAsia" w:ascii="Times New Roman" w:hAnsi="Times New Roman" w:eastAsia="仿宋_GB2312" w:cs="仿宋_GB2312"/>
          <w:highlight w:val="none"/>
        </w:rPr>
        <w:t>紧扣养老事业提质与产业升级双重需求，构建“选育用留”全链条人才保障体系，培育适配智慧康养发展的复合型人才队伍，为事业产业融合发展提供坚实人才支撑</w:t>
      </w:r>
      <w:r>
        <w:rPr>
          <w:rFonts w:hint="eastAsia" w:ascii="Times New Roman" w:hAnsi="Times New Roman" w:eastAsia="仿宋_GB2312" w:cs="仿宋_GB2312"/>
          <w:highlight w:val="none"/>
          <w:lang w:eastAsia="zh-CN"/>
        </w:rPr>
        <w:t>。加强职业教育体系，统筹区域教育资源，拓宽养老服务人才培养渠道，优化课程体系，扩大招生规模</w:t>
      </w:r>
      <w:r>
        <w:rPr>
          <w:rFonts w:hint="eastAsia" w:eastAsia="仿宋_GB2312" w:cs="仿宋_GB2312"/>
          <w:highlight w:val="none"/>
          <w:lang w:eastAsia="zh-CN"/>
        </w:rPr>
        <w:t>。加大培训支持力度，</w:t>
      </w:r>
      <w:r>
        <w:rPr>
          <w:rFonts w:hint="eastAsia" w:ascii="Times New Roman" w:hAnsi="Times New Roman" w:eastAsia="仿宋_GB2312" w:cs="仿宋_GB2312"/>
          <w:highlight w:val="none"/>
        </w:rPr>
        <w:t>构建高质量培训供给体系</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完善职业技能等级评价体系，开展养老护理员职业技能等级认定</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推动</w:t>
      </w:r>
      <w:r>
        <w:rPr>
          <w:rFonts w:hint="eastAsia" w:ascii="Times New Roman" w:hAnsi="Times New Roman" w:eastAsia="仿宋_GB2312" w:cs="仿宋_GB2312"/>
          <w:highlight w:val="none"/>
          <w:lang w:eastAsia="zh-CN"/>
        </w:rPr>
        <w:t>护理人员</w:t>
      </w:r>
      <w:r>
        <w:rPr>
          <w:rFonts w:hint="eastAsia" w:ascii="Times New Roman" w:hAnsi="Times New Roman" w:eastAsia="仿宋_GB2312" w:cs="仿宋_GB2312"/>
          <w:highlight w:val="none"/>
        </w:rPr>
        <w:t>专业化、规范化发展</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rPr>
        <w:t>打造专业素养高、服务能力强、结构合理的养老服务人才队伍，为区域养老服务高质量发展提供坚实支撑。组建区域养老人才联盟，深化校企合作，共建产教融合实践、见习及就业基地</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lang w:val="en-US" w:eastAsia="zh-CN"/>
        </w:rPr>
        <w:t>健全人才使用激励机制</w:t>
      </w:r>
      <w:r>
        <w:rPr>
          <w:rFonts w:hint="eastAsia" w:ascii="Times New Roman" w:hAnsi="Times New Roman" w:eastAsia="仿宋_GB2312" w:cs="仿宋_GB2312"/>
          <w:highlight w:val="none"/>
        </w:rPr>
        <w:t>，</w:t>
      </w:r>
      <w:r>
        <w:rPr>
          <w:rFonts w:hint="default" w:ascii="Times New Roman" w:hAnsi="Times New Roman" w:eastAsia="仿宋_GB2312" w:cs="Times New Roman"/>
          <w:sz w:val="32"/>
          <w:szCs w:val="32"/>
          <w:highlight w:val="none"/>
        </w:rPr>
        <w:t>开展最美护理员选树，宣传行业模范典型，提升职业获得感</w:t>
      </w:r>
      <w:r>
        <w:rPr>
          <w:rFonts w:hint="eastAsia" w:ascii="Times New Roman" w:hAnsi="Times New Roman" w:eastAsia="仿宋_GB2312" w:cs="Times New Roman"/>
          <w:sz w:val="32"/>
          <w:szCs w:val="32"/>
          <w:highlight w:val="none"/>
          <w:lang w:eastAsia="zh-CN"/>
        </w:rPr>
        <w:t>和</w:t>
      </w:r>
      <w:r>
        <w:rPr>
          <w:rFonts w:hint="eastAsia" w:ascii="Times New Roman" w:hAnsi="Times New Roman" w:eastAsia="仿宋_GB2312" w:cs="仿宋_GB2312"/>
          <w:highlight w:val="none"/>
        </w:rPr>
        <w:t>社会认可度</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支持参与劳动模范等荣誉称号评选</w:t>
      </w:r>
      <w:r>
        <w:rPr>
          <w:rFonts w:hint="eastAsia" w:ascii="Times New Roman" w:hAnsi="Times New Roman" w:eastAsia="仿宋_GB2312" w:cs="仿宋_GB2312"/>
          <w:highlight w:val="none"/>
        </w:rPr>
        <w:t>。</w:t>
      </w:r>
      <w:r>
        <w:rPr>
          <w:rFonts w:hint="eastAsia" w:ascii="Times New Roman" w:hAnsi="Times New Roman" w:eastAsia="仿宋_GB2312" w:cs="仿宋_GB2312"/>
          <w:highlight w:val="none"/>
          <w:lang w:val="en-US" w:eastAsia="zh-CN"/>
        </w:rPr>
        <w:t>强化人才政策保障，</w:t>
      </w:r>
      <w:r>
        <w:rPr>
          <w:rFonts w:hint="eastAsia" w:ascii="Times New Roman" w:hAnsi="Times New Roman" w:eastAsia="仿宋_GB2312" w:cs="仿宋_GB2312"/>
          <w:highlight w:val="none"/>
        </w:rPr>
        <w:t>将</w:t>
      </w:r>
      <w:r>
        <w:rPr>
          <w:rFonts w:hint="eastAsia" w:ascii="Times New Roman" w:hAnsi="Times New Roman" w:eastAsia="仿宋_GB2312" w:cs="仿宋_GB2312"/>
          <w:highlight w:val="none"/>
          <w:lang w:eastAsia="zh-CN"/>
        </w:rPr>
        <w:t>养老</w:t>
      </w:r>
      <w:r>
        <w:rPr>
          <w:rFonts w:hint="eastAsia" w:ascii="Times New Roman" w:hAnsi="Times New Roman" w:eastAsia="仿宋_GB2312" w:cs="仿宋_GB2312"/>
          <w:highlight w:val="none"/>
        </w:rPr>
        <w:t>从业人员纳入新就业群体服务范畴，在人才房、公租房等住房供给上给予政策倾斜</w:t>
      </w:r>
      <w:r>
        <w:rPr>
          <w:rFonts w:hint="eastAsia" w:ascii="Times New Roman" w:hAnsi="Times New Roman" w:eastAsia="仿宋_GB2312" w:cs="仿宋_GB2312"/>
          <w:highlight w:val="none"/>
          <w:lang w:eastAsia="zh-CN"/>
        </w:rPr>
        <w:t>。</w:t>
      </w:r>
    </w:p>
    <w:p w14:paraId="3A543BD3">
      <w:pPr>
        <w:shd w:val="clear"/>
        <w:bidi w:val="0"/>
        <w:rPr>
          <w:rFonts w:hint="eastAsia" w:ascii="Times New Roman" w:hAnsi="Times New Roman" w:eastAsia="仿宋_GB2312" w:cs="仿宋_GB2312"/>
          <w:b/>
          <w:bCs/>
          <w:highlight w:val="none"/>
          <w:lang w:val="en-US" w:eastAsia="zh-CN"/>
        </w:rPr>
      </w:pPr>
      <w:r>
        <w:rPr>
          <w:rFonts w:hint="eastAsia" w:ascii="Times New Roman" w:hAnsi="Times New Roman" w:eastAsia="仿宋_GB2312" w:cs="仿宋_GB2312"/>
          <w:b/>
          <w:bCs/>
          <w:highlight w:val="none"/>
          <w:lang w:val="en-US" w:eastAsia="zh-CN"/>
        </w:rPr>
        <w:t>（二）促进养老服务规范发展</w:t>
      </w:r>
    </w:p>
    <w:p w14:paraId="2FE1A7B2">
      <w:pPr>
        <w:shd w:val="clear"/>
        <w:bidi w:val="0"/>
        <w:rPr>
          <w:rFonts w:hint="eastAsia" w:ascii="Times New Roman" w:hAnsi="Times New Roman" w:eastAsia="仿宋_GB2312" w:cs="仿宋_GB2312"/>
          <w:highlight w:val="none"/>
        </w:rPr>
      </w:pPr>
      <w:r>
        <w:rPr>
          <w:rFonts w:hint="eastAsia" w:ascii="Times New Roman" w:hAnsi="Times New Roman" w:eastAsia="仿宋_GB2312" w:cs="仿宋_GB2312"/>
          <w:highlight w:val="none"/>
        </w:rPr>
        <w:t>秉持“规范促提升、标杆带全域”核心导向，立足朝阳区养老服务行业发展实际，紧扣运营管理、质量评价、综合监管、标准化建设四大关键维度，以健全标准化体系为支撑、强化标杆引领为抓手、筑牢安全底线为根本，推动辖区养老服务向标准化、优质化、规范化纵深迈进，全力打造全市养老服务规范发展示范样板。</w:t>
      </w:r>
    </w:p>
    <w:p w14:paraId="5337C0C7">
      <w:pPr>
        <w:shd w:val="clear"/>
        <w:bidi w:val="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lang w:val="en-US" w:eastAsia="zh-CN"/>
        </w:rPr>
        <w:t>构建四位一体综合监管格局。健全“政府监管、机构自治、行业自律、社会监督”体系与跨部门协同联动机制，压实各方责任。推行养老机构精细化管理，深化行业信用体系建设，全面实施“风险＋信用”分级分类评价监管</w:t>
      </w:r>
      <w:r>
        <w:rPr>
          <w:rFonts w:hint="eastAsia" w:eastAsia="仿宋_GB2312" w:cs="仿宋_GB2312"/>
          <w:highlight w:val="none"/>
          <w:lang w:val="en-US" w:eastAsia="zh-CN"/>
        </w:rPr>
        <w:t>，</w:t>
      </w:r>
      <w:r>
        <w:rPr>
          <w:rFonts w:hint="eastAsia" w:ascii="Times New Roman" w:hAnsi="Times New Roman" w:eastAsia="仿宋_GB2312" w:cs="仿宋_GB2312"/>
          <w:highlight w:val="none"/>
          <w:lang w:val="en-US" w:eastAsia="zh-CN"/>
        </w:rPr>
        <w:t>对建筑消防设施不符合要求的养老福利机构要进行改造升级，提高设防标准。推动服务标准刚性落地执行。全面推动</w:t>
      </w:r>
      <w:r>
        <w:rPr>
          <w:rFonts w:hint="eastAsia" w:ascii="Times New Roman" w:hAnsi="Times New Roman" w:eastAsia="仿宋_GB2312" w:cs="仿宋_GB2312"/>
          <w:sz w:val="32"/>
          <w:szCs w:val="32"/>
          <w:highlight w:val="none"/>
          <w:lang w:val="en-US" w:eastAsia="zh-CN"/>
        </w:rPr>
        <w:t>《关于进一步加强养老机构安全管理的意见》</w:t>
      </w:r>
      <w:r>
        <w:rPr>
          <w:rFonts w:hint="eastAsia" w:ascii="Times New Roman" w:hAnsi="Times New Roman" w:eastAsia="仿宋_GB2312" w:cs="仿宋_GB2312"/>
          <w:highlight w:val="none"/>
          <w:lang w:val="en-US" w:eastAsia="zh-CN"/>
        </w:rPr>
        <w:t>《养老机构服务安全基本规范》及《养老机构服务质量基本规范》等国家与行业文件、标准落地生根，夯实区域养老服务高质量发展的规范化基础。创新监管效能与筑牢安全防线。推行非现场巡查、“双随机”抽查与第三方专业安检相结合的创新监管模式</w:t>
      </w:r>
      <w:r>
        <w:rPr>
          <w:rFonts w:hint="eastAsia" w:ascii="仿宋_GB2312" w:hAnsi="仿宋_GB2312" w:eastAsia="仿宋_GB2312" w:cs="仿宋_GB2312"/>
          <w:color w:val="auto"/>
          <w:spacing w:val="-11"/>
          <w:sz w:val="32"/>
          <w:szCs w:val="32"/>
          <w:highlight w:val="none"/>
          <w:lang w:eastAsia="zh-CN"/>
        </w:rPr>
        <w:t>，</w:t>
      </w:r>
      <w:r>
        <w:rPr>
          <w:rFonts w:hint="eastAsia" w:ascii="Times New Roman" w:hAnsi="Times New Roman" w:eastAsia="仿宋_GB2312" w:cs="仿宋_GB2312"/>
          <w:highlight w:val="none"/>
          <w:lang w:val="en-US" w:eastAsia="zh-CN"/>
        </w:rPr>
        <w:t>加强养老福利机构消防应急预案体系建设，实行消防安全标准化管理，加强</w:t>
      </w:r>
      <w:r>
        <w:rPr>
          <w:rFonts w:hint="eastAsia" w:eastAsia="仿宋_GB2312" w:cs="仿宋_GB2312"/>
          <w:highlight w:val="none"/>
          <w:lang w:val="en-US" w:eastAsia="zh-CN"/>
        </w:rPr>
        <w:t>日常</w:t>
      </w:r>
      <w:r>
        <w:rPr>
          <w:rFonts w:hint="eastAsia" w:ascii="Times New Roman" w:hAnsi="Times New Roman" w:eastAsia="仿宋_GB2312" w:cs="仿宋_GB2312"/>
          <w:highlight w:val="none"/>
          <w:lang w:val="en-US" w:eastAsia="zh-CN"/>
        </w:rPr>
        <w:t>宣传培训和应急疏散演练，实行基层消防站点和民政系统养老福利机构火灾预防和应急救援结对子。按照市级要求探索筹建区级养老机构消防安全中心，全面提升机构安全防控与应急响应能力。</w:t>
      </w:r>
    </w:p>
    <w:p w14:paraId="1B956871">
      <w:pPr>
        <w:keepNext w:val="0"/>
        <w:keepLines w:val="0"/>
        <w:pageBreakBefore w:val="0"/>
        <w:widowControl w:val="0"/>
        <w:shd w:val="clear"/>
        <w:tabs>
          <w:tab w:val="left" w:pos="493"/>
        </w:tabs>
        <w:kinsoku/>
        <w:wordWrap/>
        <w:overflowPunct/>
        <w:topLinePunct w:val="0"/>
        <w:autoSpaceDE/>
        <w:autoSpaceDN/>
        <w:bidi w:val="0"/>
        <w:adjustRightInd/>
        <w:snapToGrid/>
        <w:spacing w:before="581" w:beforeLines="100" w:after="581" w:afterLines="100"/>
        <w:ind w:left="0" w:leftChars="0" w:firstLine="0" w:firstLineChars="0"/>
        <w:jc w:val="center"/>
        <w:textAlignment w:val="auto"/>
        <w:rPr>
          <w:rFonts w:hint="eastAsia" w:ascii="Times New Roman" w:hAnsi="Times New Roman" w:eastAsia="黑体" w:cs="黑体"/>
          <w:highlight w:val="none"/>
          <w:lang w:val="en-US" w:eastAsia="zh-CN"/>
        </w:rPr>
      </w:pPr>
      <w:bookmarkStart w:id="93" w:name="_Toc31810"/>
      <w:r>
        <w:rPr>
          <w:rFonts w:hint="eastAsia" w:ascii="Times New Roman" w:hAnsi="Times New Roman" w:eastAsia="黑体" w:cs="黑体"/>
          <w:highlight w:val="none"/>
          <w:lang w:val="en-US" w:eastAsia="zh-CN"/>
        </w:rPr>
        <w:t>第三篇 打造精准高效社会救助新格局</w:t>
      </w:r>
    </w:p>
    <w:p w14:paraId="0BB6F2BE">
      <w:pPr>
        <w:shd w:val="clear"/>
        <w:tabs>
          <w:tab w:val="left" w:pos="1884"/>
        </w:tabs>
        <w:bidi w:val="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lang w:val="en-US" w:eastAsia="zh-CN"/>
        </w:rPr>
        <w:t>坚持尽力而为、量力而行、用力得当，健全政府主导、社会参与的救助体系，主动适应消除绝对贫困之后，服务保障相对贫困群体和临时遇困人员的任务特点，以建立覆盖全面、分层分类、综合高效的社会救助体系为重点，突出托底线、救急难、可持续的朝阳特色，充分发挥民政部门在促进朝阳共同富裕中的兜底保障作用。</w:t>
      </w:r>
    </w:p>
    <w:p w14:paraId="2BEF4CA6">
      <w:pPr>
        <w:keepNext w:val="0"/>
        <w:keepLines w:val="0"/>
        <w:pageBreakBefore w:val="0"/>
        <w:widowControl w:val="0"/>
        <w:shd w:val="clear"/>
        <w:kinsoku/>
        <w:wordWrap/>
        <w:overflowPunct/>
        <w:topLinePunct w:val="0"/>
        <w:autoSpaceDE/>
        <w:autoSpaceDN/>
        <w:bidi w:val="0"/>
        <w:adjustRightInd/>
        <w:snapToGrid/>
        <w:spacing w:before="292" w:beforeLines="50" w:after="292" w:afterLines="50"/>
        <w:ind w:left="0" w:leftChars="0" w:firstLine="0" w:firstLineChars="0"/>
        <w:jc w:val="center"/>
        <w:textAlignment w:val="auto"/>
        <w:rPr>
          <w:rFonts w:hint="eastAsia" w:ascii="Times New Roman" w:hAnsi="Times New Roman" w:eastAsia="黑体" w:cs="黑体"/>
          <w:highlight w:val="none"/>
          <w:lang w:val="en-US" w:eastAsia="zh-CN"/>
        </w:rPr>
      </w:pPr>
      <w:bookmarkStart w:id="94" w:name="_Toc30896"/>
      <w:bookmarkStart w:id="95" w:name="_Toc19779"/>
      <w:r>
        <w:rPr>
          <w:rFonts w:hint="eastAsia" w:ascii="Times New Roman" w:hAnsi="Times New Roman" w:eastAsia="黑体" w:cs="黑体"/>
          <w:highlight w:val="none"/>
          <w:lang w:val="en-US" w:eastAsia="zh-CN"/>
        </w:rPr>
        <w:t>第一章 完善分层分类社会救助体系</w:t>
      </w:r>
      <w:bookmarkEnd w:id="94"/>
      <w:bookmarkEnd w:id="95"/>
    </w:p>
    <w:p w14:paraId="2C985EF5">
      <w:pPr>
        <w:shd w:val="clear"/>
        <w:bidi w:val="0"/>
        <w:rPr>
          <w:rFonts w:hint="eastAsia" w:ascii="Times New Roman" w:hAnsi="Times New Roman" w:eastAsia="楷体_GB2312" w:cs="楷体_GB2312"/>
          <w:highlight w:val="none"/>
          <w:lang w:val="en-US" w:eastAsia="zh-CN"/>
        </w:rPr>
      </w:pPr>
      <w:bookmarkStart w:id="96" w:name="_Toc9061"/>
      <w:bookmarkStart w:id="97" w:name="_Toc28850"/>
      <w:r>
        <w:rPr>
          <w:rFonts w:hint="eastAsia" w:ascii="Times New Roman" w:hAnsi="Times New Roman" w:eastAsia="楷体_GB2312" w:cs="楷体_GB2312"/>
          <w:highlight w:val="none"/>
          <w:lang w:val="en-US" w:eastAsia="zh-CN"/>
        </w:rPr>
        <w:t>一、健全</w:t>
      </w:r>
      <w:bookmarkEnd w:id="96"/>
      <w:bookmarkEnd w:id="97"/>
      <w:r>
        <w:rPr>
          <w:rFonts w:hint="eastAsia" w:ascii="Times New Roman" w:hAnsi="Times New Roman" w:eastAsia="楷体_GB2312" w:cs="楷体_GB2312"/>
          <w:highlight w:val="none"/>
          <w:lang w:val="en-US" w:eastAsia="zh-CN"/>
        </w:rPr>
        <w:t>社会救助政策落实机制</w:t>
      </w:r>
    </w:p>
    <w:p w14:paraId="7637C450">
      <w:pPr>
        <w:shd w:val="clear"/>
        <w:bidi w:val="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lang w:val="en-US" w:eastAsia="zh-CN"/>
        </w:rPr>
        <w:t>统筹落实北京市关于加强低收入人口动态监测做好分层分类社会救助、刚性支出困难家庭救助等工作的要求，强化基本生活救助与各类专项救助、临时救助政策措施的统筹衔接。严格执行社会救助标准动态调整机制，规范落实救助标准，使救助政策覆盖面保持在合理区间，低保标准占人均消费支出区间保持在30-38%。深化专项救助，高效落实教育、医疗、住房、就业等专项救助政策，推动专项救助向刚性支出困难家庭等拓展，让困难群众共享朝阳发展成果。完善急难社会救助机制，取消户籍地、居住地申请限制，对遭遇突发性、紧迫性、临时性基本生活困难的群众实施“</w:t>
      </w:r>
      <w:r>
        <w:rPr>
          <w:rFonts w:hint="eastAsia" w:eastAsia="仿宋_GB2312" w:cs="仿宋_GB2312"/>
          <w:highlight w:val="none"/>
          <w:lang w:val="en-US" w:eastAsia="zh-CN"/>
        </w:rPr>
        <w:t>小额快救</w:t>
      </w:r>
      <w:r>
        <w:rPr>
          <w:rFonts w:hint="eastAsia" w:ascii="Times New Roman" w:hAnsi="Times New Roman" w:eastAsia="仿宋_GB2312" w:cs="仿宋_GB2312"/>
          <w:highlight w:val="none"/>
          <w:lang w:val="en-US" w:eastAsia="zh-CN"/>
        </w:rPr>
        <w:t>”，解决群众“燃眉之急”。</w:t>
      </w:r>
    </w:p>
    <w:p w14:paraId="468F34E0">
      <w:pPr>
        <w:shd w:val="clear"/>
        <w:bidi w:val="0"/>
        <w:rPr>
          <w:rFonts w:hint="eastAsia" w:ascii="Times New Roman" w:hAnsi="Times New Roman" w:eastAsia="楷体_GB2312" w:cs="楷体_GB2312"/>
          <w:highlight w:val="none"/>
          <w:lang w:val="en-US" w:eastAsia="zh-CN"/>
        </w:rPr>
      </w:pPr>
      <w:bookmarkStart w:id="98" w:name="_Toc475"/>
      <w:bookmarkStart w:id="99" w:name="_Toc6780"/>
      <w:r>
        <w:rPr>
          <w:rFonts w:hint="eastAsia" w:ascii="Times New Roman" w:hAnsi="Times New Roman" w:eastAsia="楷体_GB2312" w:cs="楷体_GB2312"/>
          <w:highlight w:val="none"/>
          <w:lang w:val="en-US" w:eastAsia="zh-CN"/>
        </w:rPr>
        <w:t>二、提升社会救助精准服务效能</w:t>
      </w:r>
      <w:bookmarkEnd w:id="98"/>
      <w:bookmarkEnd w:id="99"/>
    </w:p>
    <w:p w14:paraId="62A3800A">
      <w:pPr>
        <w:shd w:val="clear"/>
        <w:bidi w:val="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lang w:val="en-US" w:eastAsia="zh-CN"/>
        </w:rPr>
        <w:t>依托市级困难群体救助帮扶综合信息平台，提升救助帮扶精准性。用好社会救助联席会制度，加强与税务、人社、住建、房管等部门数据共享，实现跨部门信息比对与快速预警。发挥“大数据比对＋铁脚板摸排”机制作用，实现困难群众主动识别、精准画像、分类救助，推动社会救助从“人找政策”向“政策找人”转变。完善社会救助“一件事”集成办理，构建“一口申请、一网通办”的协同联办模式，提升救助服务可及性和便捷性。</w:t>
      </w:r>
    </w:p>
    <w:p w14:paraId="2B224A07">
      <w:pPr>
        <w:shd w:val="clear"/>
        <w:bidi w:val="0"/>
        <w:rPr>
          <w:rFonts w:hint="eastAsia" w:ascii="Times New Roman" w:hAnsi="Times New Roman" w:eastAsia="楷体_GB2312" w:cs="楷体_GB2312"/>
          <w:highlight w:val="none"/>
          <w:lang w:val="en-US" w:eastAsia="zh-CN"/>
        </w:rPr>
      </w:pPr>
      <w:bookmarkStart w:id="100" w:name="_Toc13271"/>
      <w:bookmarkStart w:id="101" w:name="_Toc6813"/>
      <w:r>
        <w:rPr>
          <w:rFonts w:hint="eastAsia" w:ascii="Times New Roman" w:hAnsi="Times New Roman" w:eastAsia="楷体_GB2312" w:cs="楷体_GB2312"/>
          <w:highlight w:val="none"/>
          <w:lang w:val="en-US" w:eastAsia="zh-CN"/>
        </w:rPr>
        <w:t>三、创新服务类社会救助</w:t>
      </w:r>
      <w:bookmarkEnd w:id="100"/>
      <w:bookmarkEnd w:id="101"/>
    </w:p>
    <w:p w14:paraId="1A94BCCA">
      <w:pPr>
        <w:shd w:val="clear"/>
        <w:bidi w:val="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lang w:val="en-US" w:eastAsia="zh-CN"/>
        </w:rPr>
        <w:t>坚持政府主导、专业支撑、多元参与的总体思路，深化服务类救助。落实服务类社会救助有关指导意见，结合朝阳区实际规范服务对象、服务内容、服务主体、服务方式、评估评价等。大力开展资源链接、社会融入等服务，整合就业帮扶、心理干预能力提升等已有资源，形成“物质+服务”综合救助模式。加强与人社等相关部门深度联动，引导推动法定劳动年龄段内有劳动能力的救助对象就业，推动“输血型”救助向“造血型”救助转变，强化激励、稳定就业，落实就业奖励、救助渐退等激励引导措施，引导救助对象积极就业、长期就业，依靠劳动创造美好生活。深化“慈善+救助”工作模式，探索“救助吹哨，慈善报到”长效机制，推动慈善事业与社会救助进一步深度融合发展，加强救助需求发现、慈善资源链接、救助供需对接，为困难群众提供多样化、个性化救助帮扶。</w:t>
      </w:r>
    </w:p>
    <w:p w14:paraId="3D2EF564">
      <w:pPr>
        <w:shd w:val="clear"/>
        <w:bidi w:val="0"/>
        <w:rPr>
          <w:rFonts w:hint="eastAsia" w:ascii="Times New Roman" w:hAnsi="Times New Roman" w:eastAsia="楷体_GB2312" w:cs="楷体_GB2312"/>
          <w:highlight w:val="none"/>
          <w:lang w:val="en-US" w:eastAsia="zh-CN"/>
        </w:rPr>
      </w:pPr>
      <w:bookmarkStart w:id="102" w:name="_Toc18666"/>
      <w:bookmarkStart w:id="103" w:name="_Toc9722"/>
      <w:r>
        <w:rPr>
          <w:rFonts w:hint="eastAsia" w:ascii="Times New Roman" w:hAnsi="Times New Roman" w:eastAsia="楷体_GB2312" w:cs="楷体_GB2312"/>
          <w:highlight w:val="none"/>
          <w:lang w:val="en-US" w:eastAsia="zh-CN"/>
        </w:rPr>
        <w:t>四、</w:t>
      </w:r>
      <w:bookmarkEnd w:id="102"/>
      <w:bookmarkEnd w:id="103"/>
      <w:r>
        <w:rPr>
          <w:rFonts w:hint="eastAsia" w:ascii="Times New Roman" w:hAnsi="Times New Roman" w:eastAsia="楷体_GB2312" w:cs="楷体_GB2312"/>
          <w:highlight w:val="none"/>
          <w:lang w:val="en-US" w:eastAsia="zh-CN"/>
        </w:rPr>
        <w:t>夯实社会救助规范管理基础</w:t>
      </w:r>
    </w:p>
    <w:p w14:paraId="667B49EA">
      <w:pPr>
        <w:shd w:val="clear"/>
        <w:bidi w:val="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lang w:val="en-US" w:eastAsia="zh-CN"/>
        </w:rPr>
        <w:t>聚焦群众关切，依托“弱有所扶”工作体系、社会救助工作联席会议机制，持续巩固社会救助综合治理成果，推动相关工作落实。强化资金监管，</w:t>
      </w:r>
      <w:r>
        <w:rPr>
          <w:rFonts w:hint="eastAsia" w:ascii="Times New Roman" w:hAnsi="Times New Roman" w:eastAsia="仿宋_GB2312" w:cs="仿宋_GB2312"/>
          <w:highlight w:val="none"/>
        </w:rPr>
        <w:t>严守资金安全底线，抓好资金使用风险防控，实现精准、高效、温暖、智慧的</w:t>
      </w:r>
      <w:r>
        <w:rPr>
          <w:rFonts w:hint="eastAsia" w:ascii="Times New Roman" w:hAnsi="Times New Roman" w:eastAsia="仿宋_GB2312" w:cs="仿宋_GB2312"/>
          <w:highlight w:val="none"/>
          <w:lang w:eastAsia="zh-CN"/>
        </w:rPr>
        <w:t>合力</w:t>
      </w:r>
      <w:r>
        <w:rPr>
          <w:rFonts w:hint="eastAsia" w:ascii="Times New Roman" w:hAnsi="Times New Roman" w:eastAsia="仿宋_GB2312" w:cs="仿宋_GB2312"/>
          <w:highlight w:val="none"/>
        </w:rPr>
        <w:t>治理,</w:t>
      </w:r>
      <w:r>
        <w:rPr>
          <w:rFonts w:hint="eastAsia" w:ascii="Times New Roman" w:hAnsi="Times New Roman" w:eastAsia="仿宋_GB2312" w:cs="仿宋_GB2312"/>
          <w:highlight w:val="none"/>
          <w:lang w:val="en-US" w:eastAsia="zh-CN"/>
        </w:rPr>
        <w:t>确保救助资金直接发放至困难群众。严格落实近亲属备案、信息公开公示、定期复审管理等措施，加强动态管理，发挥社会监督作用，严防“弄虚作假”“优亲厚友”等问题。聚焦救助对象认定、救助资金发放、社会救助经办等重点环节，提升社会救助综合效益。</w:t>
      </w:r>
    </w:p>
    <w:bookmarkEnd w:id="93"/>
    <w:p w14:paraId="147F742A">
      <w:pPr>
        <w:keepNext w:val="0"/>
        <w:keepLines w:val="0"/>
        <w:pageBreakBefore w:val="0"/>
        <w:widowControl w:val="0"/>
        <w:shd w:val="clear"/>
        <w:kinsoku/>
        <w:wordWrap/>
        <w:overflowPunct/>
        <w:topLinePunct w:val="0"/>
        <w:autoSpaceDE/>
        <w:autoSpaceDN/>
        <w:bidi w:val="0"/>
        <w:adjustRightInd/>
        <w:snapToGrid/>
        <w:spacing w:before="292" w:beforeLines="50" w:after="292" w:afterLines="50"/>
        <w:ind w:left="0" w:leftChars="0" w:firstLine="0" w:firstLineChars="0"/>
        <w:jc w:val="center"/>
        <w:textAlignment w:val="auto"/>
        <w:rPr>
          <w:rFonts w:hint="eastAsia" w:ascii="Times New Roman" w:hAnsi="Times New Roman" w:eastAsia="黑体" w:cs="黑体"/>
          <w:highlight w:val="none"/>
          <w:lang w:val="en-US" w:eastAsia="zh-CN"/>
        </w:rPr>
      </w:pPr>
      <w:bookmarkStart w:id="104" w:name="_Toc31843"/>
      <w:bookmarkStart w:id="105" w:name="_Toc27966"/>
      <w:r>
        <w:rPr>
          <w:rFonts w:hint="eastAsia" w:ascii="Times New Roman" w:hAnsi="Times New Roman" w:eastAsia="黑体" w:cs="黑体"/>
          <w:highlight w:val="none"/>
          <w:lang w:val="en-US" w:eastAsia="zh-CN"/>
        </w:rPr>
        <w:t>第二章 优化流浪乞讨人员救助服务</w:t>
      </w:r>
      <w:bookmarkEnd w:id="104"/>
      <w:bookmarkEnd w:id="105"/>
      <w:bookmarkStart w:id="106" w:name="_Toc1929"/>
    </w:p>
    <w:p w14:paraId="2183B2E2">
      <w:pPr>
        <w:shd w:val="clear"/>
        <w:bidi w:val="0"/>
        <w:rPr>
          <w:rFonts w:hint="eastAsia" w:ascii="Times New Roman" w:hAnsi="Times New Roman" w:eastAsia="楷体_GB2312" w:cs="楷体_GB2312"/>
          <w:highlight w:val="none"/>
          <w:lang w:val="en-US" w:eastAsia="zh-CN"/>
        </w:rPr>
      </w:pPr>
      <w:r>
        <w:rPr>
          <w:rFonts w:hint="eastAsia" w:ascii="Times New Roman" w:hAnsi="Times New Roman" w:eastAsia="楷体_GB2312" w:cs="楷体_GB2312"/>
          <w:highlight w:val="none"/>
          <w:lang w:val="en-US" w:eastAsia="zh-CN"/>
        </w:rPr>
        <w:t>一、推进救助设施现代化建设</w:t>
      </w:r>
      <w:bookmarkEnd w:id="106"/>
      <w:bookmarkStart w:id="107" w:name="_Toc4954"/>
    </w:p>
    <w:p w14:paraId="43A3EAFF">
      <w:pPr>
        <w:shd w:val="clear"/>
        <w:bidi w:val="0"/>
        <w:rPr>
          <w:rFonts w:hint="eastAsia" w:ascii="Times New Roman" w:hAnsi="Times New Roman" w:eastAsia="仿宋_GB2312" w:cs="仿宋_GB2312"/>
          <w:highlight w:val="none"/>
          <w:lang w:val="en-US" w:eastAsia="zh-CN"/>
        </w:rPr>
      </w:pPr>
      <w:bookmarkStart w:id="108" w:name="_Toc5711"/>
      <w:r>
        <w:rPr>
          <w:rFonts w:hint="eastAsia" w:ascii="Times New Roman" w:hAnsi="Times New Roman" w:eastAsia="仿宋_GB2312" w:cs="仿宋_GB2312"/>
          <w:highlight w:val="none"/>
          <w:lang w:val="en-US" w:eastAsia="zh-CN"/>
        </w:rPr>
        <w:t>高标准完成朝阳区救助管理站新站选址及建设改造，</w:t>
      </w:r>
      <w:r>
        <w:rPr>
          <w:rFonts w:hint="default" w:ascii="Times New Roman" w:hAnsi="Times New Roman" w:eastAsia="仿宋_GB2312" w:cs="Times New Roman"/>
          <w:sz w:val="32"/>
          <w:szCs w:val="32"/>
          <w:highlight w:val="none"/>
          <w:u w:val="none"/>
          <w:lang w:val="en-US" w:eastAsia="zh-CN"/>
        </w:rPr>
        <w:t>以</w:t>
      </w:r>
      <w:r>
        <w:rPr>
          <w:rFonts w:hint="default" w:ascii="Times New Roman" w:hAnsi="Times New Roman" w:eastAsia="仿宋_GB2312" w:cs="Times New Roman"/>
          <w:b w:val="0"/>
          <w:bCs/>
          <w:sz w:val="32"/>
          <w:szCs w:val="32"/>
          <w:highlight w:val="none"/>
          <w:u w:val="none"/>
          <w:lang w:val="en-US" w:eastAsia="zh-CN"/>
        </w:rPr>
        <w:t>民政部</w:t>
      </w:r>
      <w:r>
        <w:rPr>
          <w:rFonts w:hint="default" w:ascii="Times New Roman" w:hAnsi="Times New Roman" w:eastAsia="仿宋_GB2312" w:cs="Times New Roman"/>
          <w:b w:val="0"/>
          <w:bCs/>
          <w:color w:val="000000"/>
          <w:sz w:val="32"/>
          <w:szCs w:val="32"/>
          <w:highlight w:val="none"/>
          <w:u w:val="none"/>
        </w:rPr>
        <w:t>《流浪乞讨人员救助管理站建设标准》</w:t>
      </w:r>
      <w:r>
        <w:rPr>
          <w:rFonts w:hint="default" w:ascii="Times New Roman" w:hAnsi="Times New Roman" w:eastAsia="仿宋_GB2312" w:cs="Times New Roman"/>
          <w:b w:val="0"/>
          <w:bCs/>
          <w:color w:val="000000"/>
          <w:sz w:val="32"/>
          <w:szCs w:val="32"/>
          <w:highlight w:val="none"/>
          <w:u w:val="none"/>
          <w:lang w:eastAsia="zh-CN"/>
        </w:rPr>
        <w:t>（</w:t>
      </w:r>
      <w:r>
        <w:rPr>
          <w:rFonts w:hint="default" w:ascii="Times New Roman" w:hAnsi="Times New Roman" w:eastAsia="仿宋_GB2312" w:cs="Times New Roman"/>
          <w:b w:val="0"/>
          <w:bCs/>
          <w:color w:val="000000"/>
          <w:sz w:val="32"/>
          <w:szCs w:val="32"/>
          <w:highlight w:val="none"/>
          <w:u w:val="none"/>
        </w:rPr>
        <w:t>建标171-2015</w:t>
      </w:r>
      <w:r>
        <w:rPr>
          <w:rFonts w:hint="default" w:ascii="Times New Roman" w:hAnsi="Times New Roman" w:eastAsia="仿宋_GB2312" w:cs="Times New Roman"/>
          <w:b w:val="0"/>
          <w:bCs/>
          <w:color w:val="000000"/>
          <w:sz w:val="32"/>
          <w:szCs w:val="32"/>
          <w:highlight w:val="none"/>
          <w:u w:val="none"/>
          <w:lang w:eastAsia="zh-CN"/>
        </w:rPr>
        <w:t>）为依据，</w:t>
      </w:r>
      <w:r>
        <w:rPr>
          <w:rFonts w:hint="default" w:ascii="Times New Roman" w:hAnsi="Times New Roman" w:eastAsia="仿宋_GB2312" w:cs="Times New Roman"/>
          <w:highlight w:val="none"/>
          <w:u w:val="none"/>
          <w:lang w:val="en-US" w:eastAsia="zh-CN"/>
        </w:rPr>
        <w:t>聚力建成集生活照料、医</w:t>
      </w:r>
      <w:r>
        <w:rPr>
          <w:rFonts w:hint="eastAsia" w:ascii="Times New Roman" w:hAnsi="Times New Roman" w:eastAsia="仿宋_GB2312" w:cs="仿宋_GB2312"/>
          <w:highlight w:val="none"/>
          <w:lang w:val="en-US" w:eastAsia="zh-CN"/>
        </w:rPr>
        <w:t>疗救治、康复矫治等于一体的“安全型、环保型、实用型”救助机构。对标全市领先水平，</w:t>
      </w:r>
      <w:r>
        <w:rPr>
          <w:rFonts w:hint="eastAsia" w:eastAsia="仿宋_GB2312" w:cs="仿宋_GB2312"/>
          <w:highlight w:val="none"/>
          <w:lang w:val="en-US" w:eastAsia="zh-CN"/>
        </w:rPr>
        <w:t>以《重大火灾隐患判定规则》为依据，加强</w:t>
      </w:r>
      <w:r>
        <w:rPr>
          <w:rFonts w:hint="eastAsia" w:ascii="Times New Roman" w:hAnsi="Times New Roman" w:eastAsia="仿宋_GB2312" w:cs="仿宋_GB2312"/>
          <w:highlight w:val="none"/>
          <w:lang w:val="en-US" w:eastAsia="zh-CN"/>
        </w:rPr>
        <w:t>软硬件设施</w:t>
      </w:r>
      <w:r>
        <w:rPr>
          <w:rFonts w:hint="eastAsia" w:eastAsia="仿宋_GB2312" w:cs="仿宋_GB2312"/>
          <w:highlight w:val="none"/>
          <w:lang w:val="en-US" w:eastAsia="zh-CN"/>
        </w:rPr>
        <w:t>建设</w:t>
      </w:r>
      <w:r>
        <w:rPr>
          <w:rFonts w:hint="eastAsia" w:ascii="Times New Roman" w:hAnsi="Times New Roman" w:eastAsia="仿宋_GB2312" w:cs="仿宋_GB2312"/>
          <w:highlight w:val="none"/>
          <w:lang w:val="en-US" w:eastAsia="zh-CN"/>
        </w:rPr>
        <w:t>，</w:t>
      </w:r>
      <w:r>
        <w:rPr>
          <w:rFonts w:hint="eastAsia" w:eastAsia="仿宋_GB2312" w:cs="仿宋_GB2312"/>
          <w:highlight w:val="none"/>
          <w:lang w:val="en-US" w:eastAsia="zh-CN"/>
        </w:rPr>
        <w:t>细化工作流程，完善安全生产和消防安全规章制度，健全各类工作应急预案，持续组织开展演练。</w:t>
      </w:r>
      <w:r>
        <w:rPr>
          <w:rFonts w:hint="eastAsia" w:ascii="Times New Roman" w:hAnsi="Times New Roman" w:eastAsia="仿宋_GB2312" w:cs="仿宋_GB2312"/>
          <w:highlight w:val="none"/>
          <w:lang w:val="en-US" w:eastAsia="zh-CN"/>
        </w:rPr>
        <w:t>强化全区救助设施的空间整合与高效利用，夯实流浪乞讨人员基本生存权益的保障基础。</w:t>
      </w:r>
    </w:p>
    <w:p w14:paraId="087EFA3A">
      <w:pPr>
        <w:shd w:val="clear"/>
        <w:bidi w:val="0"/>
        <w:rPr>
          <w:rFonts w:hint="default" w:ascii="Times New Roman" w:hAnsi="Times New Roman" w:eastAsia="楷体_GB2312" w:cs="楷体_GB2312"/>
          <w:highlight w:val="none"/>
          <w:lang w:val="en-US" w:eastAsia="zh-CN"/>
        </w:rPr>
      </w:pPr>
      <w:r>
        <w:rPr>
          <w:rFonts w:hint="eastAsia" w:ascii="Times New Roman" w:hAnsi="Times New Roman" w:eastAsia="楷体_GB2312" w:cs="楷体_GB2312"/>
          <w:highlight w:val="none"/>
          <w:lang w:val="en-US" w:eastAsia="zh-CN"/>
        </w:rPr>
        <w:t>二、</w:t>
      </w:r>
      <w:bookmarkEnd w:id="107"/>
      <w:bookmarkEnd w:id="108"/>
      <w:r>
        <w:rPr>
          <w:rFonts w:hint="eastAsia" w:ascii="Times New Roman" w:hAnsi="Times New Roman" w:eastAsia="楷体_GB2312" w:cs="楷体_GB2312"/>
          <w:highlight w:val="none"/>
          <w:lang w:val="en-US" w:eastAsia="zh-CN"/>
        </w:rPr>
        <w:t>加强和改进救助服务能力</w:t>
      </w:r>
    </w:p>
    <w:p w14:paraId="7804F307">
      <w:pPr>
        <w:numPr>
          <w:ilvl w:val="0"/>
          <w:numId w:val="0"/>
        </w:numPr>
        <w:shd w:val="clear"/>
        <w:ind w:firstLine="640" w:firstLineChars="200"/>
        <w:jc w:val="left"/>
        <w:rPr>
          <w:rFonts w:hint="eastAsia" w:ascii="Times New Roman" w:hAnsi="Times New Roman" w:eastAsia="仿宋_GB2312" w:cs="仿宋_GB2312"/>
          <w:color w:val="auto"/>
          <w:highlight w:val="none"/>
          <w:lang w:val="en-US" w:eastAsia="zh-CN"/>
        </w:rPr>
      </w:pPr>
      <w:r>
        <w:rPr>
          <w:rFonts w:hint="eastAsia" w:ascii="Times New Roman" w:hAnsi="Times New Roman" w:eastAsia="仿宋_GB2312" w:cs="仿宋_GB2312"/>
          <w:b w:val="0"/>
          <w:color w:val="auto"/>
          <w:highlight w:val="none"/>
          <w:lang w:val="en-US" w:eastAsia="zh-CN"/>
        </w:rPr>
        <w:t>充分发挥区救助管理工作联席会议机制作用，鼓励街乡参照区级救助管理工作联席会模式，统筹属地相关部门、科室，建立属地工作机制</w:t>
      </w:r>
      <w:r>
        <w:rPr>
          <w:rFonts w:hint="eastAsia" w:ascii="Times New Roman" w:hAnsi="Times New Roman" w:eastAsia="仿宋_GB2312" w:cs="仿宋_GB2312"/>
          <w:b w:val="0"/>
          <w:bCs w:val="0"/>
          <w:color w:val="auto"/>
          <w:highlight w:val="none"/>
          <w:lang w:val="en-US" w:eastAsia="zh-CN"/>
        </w:rPr>
        <w:t>，强化工作合力</w:t>
      </w:r>
      <w:r>
        <w:rPr>
          <w:rFonts w:hint="eastAsia" w:ascii="Times New Roman" w:hAnsi="Times New Roman" w:eastAsia="仿宋_GB2312" w:cs="仿宋_GB2312"/>
          <w:b w:val="0"/>
          <w:color w:val="auto"/>
          <w:highlight w:val="none"/>
          <w:lang w:val="en-US" w:eastAsia="zh-CN"/>
        </w:rPr>
        <w:t>。</w:t>
      </w:r>
      <w:r>
        <w:rPr>
          <w:rFonts w:hint="eastAsia" w:ascii="Times New Roman" w:hAnsi="Times New Roman" w:eastAsia="仿宋_GB2312" w:cs="仿宋_GB2312"/>
          <w:b w:val="0"/>
          <w:bCs/>
          <w:color w:val="auto"/>
          <w:kern w:val="0"/>
          <w:sz w:val="32"/>
          <w:szCs w:val="32"/>
          <w:highlight w:val="none"/>
          <w:lang w:val="en-US" w:eastAsia="zh-CN" w:bidi="ar"/>
        </w:rPr>
        <w:t>在“寒冬送温暖”、“夏季送清凉”专项救助行动的基础上，增加“春季送健康”、“秋季送平安”专项救助行动，实现集中救助工作常态化。强化重要时点、重大活动期间救助保障。加强救助管理工作联席会成员单位协同联动，为有需求的救助人员提供医疗、就业、法律等方面的援助，完善救助人员保障机制。依托京冀托养合作，做好长期滞留人员救助工作，加强</w:t>
      </w:r>
      <w:r>
        <w:rPr>
          <w:rFonts w:hint="eastAsia" w:ascii="Times New Roman" w:hAnsi="Times New Roman" w:eastAsia="仿宋_GB2312" w:cs="仿宋_GB2312"/>
          <w:color w:val="auto"/>
          <w:sz w:val="32"/>
          <w:szCs w:val="32"/>
          <w:highlight w:val="none"/>
          <w:lang w:val="en-US" w:eastAsia="zh-CN"/>
        </w:rPr>
        <w:t>站外托养和站内照料监督与管理。利用</w:t>
      </w:r>
      <w:r>
        <w:rPr>
          <w:rFonts w:hint="eastAsia" w:ascii="Times New Roman" w:hAnsi="Times New Roman" w:eastAsia="仿宋_GB2312" w:cs="仿宋_GB2312"/>
          <w:b w:val="0"/>
          <w:bCs/>
          <w:color w:val="auto"/>
          <w:kern w:val="0"/>
          <w:sz w:val="32"/>
          <w:szCs w:val="32"/>
          <w:highlight w:val="none"/>
          <w:lang w:val="en-US" w:eastAsia="zh-CN" w:bidi="ar"/>
        </w:rPr>
        <w:t>专业社会力量，加强寻亲工作，促进长期滞留人员返乡回家。</w:t>
      </w:r>
      <w:r>
        <w:rPr>
          <w:rFonts w:hint="eastAsia" w:ascii="Times New Roman" w:hAnsi="Times New Roman" w:eastAsia="仿宋_GB2312" w:cs="仿宋_GB2312"/>
          <w:color w:val="auto"/>
          <w:sz w:val="32"/>
          <w:szCs w:val="32"/>
          <w:highlight w:val="none"/>
          <w:lang w:val="en-US" w:eastAsia="zh-CN"/>
        </w:rPr>
        <w:t>以“6.19”开放日系列活动为契机，做好政策宣传，呼吁志愿者参与救助工作，提升救助服务社会参与度和监督途径。</w:t>
      </w:r>
    </w:p>
    <w:p w14:paraId="58787EE7">
      <w:pPr>
        <w:keepNext w:val="0"/>
        <w:keepLines w:val="0"/>
        <w:pageBreakBefore w:val="0"/>
        <w:widowControl w:val="0"/>
        <w:shd w:val="clear"/>
        <w:kinsoku/>
        <w:wordWrap/>
        <w:overflowPunct/>
        <w:topLinePunct w:val="0"/>
        <w:autoSpaceDE/>
        <w:autoSpaceDN/>
        <w:bidi w:val="0"/>
        <w:adjustRightInd/>
        <w:snapToGrid/>
        <w:spacing w:before="581" w:beforeLines="100" w:after="581" w:afterLines="100"/>
        <w:ind w:left="0" w:leftChars="0" w:firstLine="0" w:firstLineChars="0"/>
        <w:jc w:val="center"/>
        <w:textAlignment w:val="auto"/>
        <w:rPr>
          <w:rFonts w:hint="eastAsia" w:ascii="Times New Roman" w:hAnsi="Times New Roman" w:eastAsia="仿宋_GB2312" w:cs="仿宋_GB2312"/>
          <w:highlight w:val="none"/>
          <w:lang w:val="en-US" w:eastAsia="zh-CN"/>
        </w:rPr>
      </w:pPr>
      <w:bookmarkStart w:id="109" w:name="_Toc10988"/>
      <w:r>
        <w:rPr>
          <w:rFonts w:hint="eastAsia" w:ascii="Times New Roman" w:hAnsi="Times New Roman" w:eastAsia="黑体" w:cs="黑体"/>
          <w:highlight w:val="none"/>
          <w:lang w:val="en-US" w:eastAsia="zh-CN"/>
        </w:rPr>
        <w:t>第四篇 提升重点群体福利保障新水平</w:t>
      </w:r>
      <w:bookmarkEnd w:id="109"/>
    </w:p>
    <w:p w14:paraId="7B29531D">
      <w:pPr>
        <w:shd w:val="clear"/>
        <w:bidi w:val="0"/>
        <w:rPr>
          <w:rFonts w:hint="eastAsia" w:ascii="Times New Roman" w:hAnsi="Times New Roman" w:eastAsia="仿宋_GB2312" w:cs="仿宋_GB2312"/>
          <w:highlight w:val="none"/>
          <w:lang w:val="en-US" w:eastAsia="zh-CN"/>
        </w:rPr>
      </w:pPr>
      <w:bookmarkStart w:id="110" w:name="_Toc17432"/>
      <w:bookmarkStart w:id="111" w:name="_Toc4030"/>
      <w:r>
        <w:rPr>
          <w:rFonts w:hint="eastAsia" w:ascii="Times New Roman" w:hAnsi="Times New Roman" w:eastAsia="仿宋_GB2312" w:cs="仿宋_GB2312"/>
          <w:highlight w:val="none"/>
          <w:lang w:val="en-US" w:eastAsia="zh-CN"/>
        </w:rPr>
        <w:t>坚持保基本、促普惠发展方向，精准落实保障政策，丰富服务供给，提升服务质量，不断增强残疾人、困境儿童等特殊群体的幸福感、获得感和安全感，奋力打造精准温暖、专业高效的朝阳样板，争做全市社会福利事业高质量发展的第一梯队。</w:t>
      </w:r>
      <w:bookmarkEnd w:id="110"/>
    </w:p>
    <w:bookmarkEnd w:id="111"/>
    <w:p w14:paraId="352863B2">
      <w:pPr>
        <w:keepNext w:val="0"/>
        <w:keepLines w:val="0"/>
        <w:pageBreakBefore w:val="0"/>
        <w:widowControl w:val="0"/>
        <w:shd w:val="clear"/>
        <w:kinsoku/>
        <w:wordWrap/>
        <w:overflowPunct/>
        <w:topLinePunct w:val="0"/>
        <w:autoSpaceDE/>
        <w:autoSpaceDN/>
        <w:bidi w:val="0"/>
        <w:adjustRightInd/>
        <w:snapToGrid/>
        <w:spacing w:before="292" w:beforeLines="50" w:after="292" w:afterLines="50"/>
        <w:ind w:left="0" w:leftChars="0" w:firstLine="0" w:firstLineChars="0"/>
        <w:jc w:val="center"/>
        <w:textAlignment w:val="auto"/>
        <w:rPr>
          <w:rFonts w:hint="eastAsia" w:ascii="Times New Roman" w:hAnsi="Times New Roman" w:eastAsia="黑体" w:cs="黑体"/>
          <w:highlight w:val="none"/>
          <w:lang w:val="en-US" w:eastAsia="zh-CN"/>
        </w:rPr>
      </w:pPr>
      <w:bookmarkStart w:id="112" w:name="_Toc8250"/>
      <w:r>
        <w:rPr>
          <w:rFonts w:hint="eastAsia" w:ascii="Times New Roman" w:hAnsi="Times New Roman" w:eastAsia="黑体" w:cs="黑体"/>
          <w:highlight w:val="none"/>
          <w:lang w:val="en-US" w:eastAsia="zh-CN"/>
        </w:rPr>
        <w:t>第一章 健全残疾人福利保障体系</w:t>
      </w:r>
      <w:bookmarkEnd w:id="112"/>
    </w:p>
    <w:p w14:paraId="1762A313">
      <w:pPr>
        <w:shd w:val="clear"/>
        <w:bidi w:val="0"/>
        <w:rPr>
          <w:rFonts w:hint="eastAsia" w:ascii="Times New Roman" w:hAnsi="Times New Roman" w:eastAsia="楷体_GB2312" w:cs="楷体_GB2312"/>
          <w:highlight w:val="none"/>
          <w:lang w:val="en-US" w:eastAsia="zh-CN"/>
        </w:rPr>
      </w:pPr>
      <w:bookmarkStart w:id="113" w:name="_Toc3148"/>
      <w:bookmarkStart w:id="114" w:name="_Toc3134"/>
      <w:r>
        <w:rPr>
          <w:rFonts w:hint="eastAsia" w:ascii="Times New Roman" w:hAnsi="Times New Roman" w:eastAsia="楷体_GB2312" w:cs="楷体_GB2312"/>
          <w:highlight w:val="none"/>
          <w:lang w:val="en-US" w:eastAsia="zh-CN"/>
        </w:rPr>
        <w:t>一、</w:t>
      </w:r>
      <w:bookmarkEnd w:id="113"/>
      <w:r>
        <w:rPr>
          <w:rFonts w:hint="eastAsia" w:ascii="Times New Roman" w:hAnsi="Times New Roman" w:eastAsia="楷体_GB2312" w:cs="楷体_GB2312"/>
          <w:highlight w:val="none"/>
          <w:lang w:val="en-US" w:eastAsia="zh-CN"/>
        </w:rPr>
        <w:t>精准落实残疾人福利保障政策</w:t>
      </w:r>
      <w:bookmarkEnd w:id="114"/>
    </w:p>
    <w:p w14:paraId="2B6C4C95">
      <w:pPr>
        <w:shd w:val="clear"/>
        <w:bidi w:val="0"/>
        <w:rPr>
          <w:rFonts w:hint="eastAsia" w:ascii="Times New Roman" w:hAnsi="Times New Roman" w:eastAsia="仿宋_GB2312" w:cs="仿宋_GB2312"/>
          <w:highlight w:val="none"/>
          <w:lang w:val="en-US" w:eastAsia="zh-CN"/>
        </w:rPr>
      </w:pPr>
      <w:bookmarkStart w:id="115" w:name="_Toc19669"/>
      <w:bookmarkStart w:id="116" w:name="_Toc15175"/>
      <w:r>
        <w:rPr>
          <w:rFonts w:hint="eastAsia" w:ascii="Times New Roman" w:hAnsi="Times New Roman" w:eastAsia="仿宋_GB2312" w:cs="仿宋_GB2312"/>
          <w:highlight w:val="none"/>
          <w:lang w:val="en-US" w:eastAsia="zh-CN"/>
        </w:rPr>
        <w:t>加强困难残疾人生活补贴和重度残疾人护理补贴精准管理</w:t>
      </w:r>
      <w:r>
        <w:rPr>
          <w:rFonts w:hint="eastAsia" w:eastAsia="仿宋_GB2312" w:cs="仿宋_GB2312"/>
          <w:highlight w:val="none"/>
          <w:lang w:val="en-US" w:eastAsia="zh-CN"/>
        </w:rPr>
        <w:t>，</w:t>
      </w:r>
      <w:r>
        <w:rPr>
          <w:rFonts w:hint="eastAsia" w:ascii="Times New Roman" w:hAnsi="Times New Roman" w:eastAsia="仿宋_GB2312" w:cs="仿宋_GB2312"/>
          <w:highlight w:val="none"/>
          <w:lang w:val="en-US" w:eastAsia="zh-CN"/>
        </w:rPr>
        <w:t>做好残疾人“两项补贴”政策与社救、养老、儿童、就业等社会保障政策有机衔接。持续做好残疾人“两项补贴”全程网办、跨省通办和主动服务，逐步提升残疾群众保障水平。落实残疾人“两项补贴”标准动态调整机制，残疾人“两项补贴”覆盖率动态保持100%</w:t>
      </w:r>
      <w:r>
        <w:rPr>
          <w:rFonts w:hint="eastAsia" w:eastAsia="仿宋_GB2312" w:cs="仿宋_GB2312"/>
          <w:highlight w:val="none"/>
          <w:lang w:val="en-US" w:eastAsia="zh-CN"/>
        </w:rPr>
        <w:t>，</w:t>
      </w:r>
      <w:r>
        <w:rPr>
          <w:rFonts w:hint="eastAsia" w:ascii="Times New Roman" w:hAnsi="Times New Roman" w:eastAsia="仿宋_GB2312" w:cs="仿宋_GB2312"/>
          <w:highlight w:val="none"/>
          <w:lang w:val="en-US" w:eastAsia="zh-CN"/>
        </w:rPr>
        <w:t>对符合条件的申请人员应补尽补。落实重度残疾人托养照护服务政策，健全重度残疾人托养照护服务体系，满足残疾人多样化的照护服务需求。建设1处区级康复辅助器具服务中心，打造集展示体验、评估适配、租赁维护、科普宣传以及培训指导等功能于一体的综合性服务平台。</w:t>
      </w:r>
    </w:p>
    <w:p w14:paraId="21EDE8A7">
      <w:pPr>
        <w:shd w:val="clear"/>
        <w:bidi w:val="0"/>
        <w:rPr>
          <w:rFonts w:hint="eastAsia" w:ascii="Times New Roman" w:hAnsi="Times New Roman" w:eastAsia="楷体_GB2312" w:cs="楷体_GB2312"/>
          <w:highlight w:val="none"/>
          <w:lang w:val="en-US" w:eastAsia="zh-CN"/>
        </w:rPr>
      </w:pPr>
      <w:r>
        <w:rPr>
          <w:rFonts w:hint="eastAsia" w:ascii="Times New Roman" w:hAnsi="Times New Roman" w:eastAsia="楷体_GB2312" w:cs="楷体_GB2312"/>
          <w:highlight w:val="none"/>
          <w:lang w:val="en-US" w:eastAsia="zh-CN"/>
        </w:rPr>
        <w:t>二、</w:t>
      </w:r>
      <w:bookmarkEnd w:id="115"/>
      <w:bookmarkEnd w:id="116"/>
      <w:r>
        <w:rPr>
          <w:rFonts w:hint="eastAsia" w:ascii="Times New Roman" w:hAnsi="Times New Roman" w:eastAsia="楷体_GB2312" w:cs="楷体_GB2312"/>
          <w:highlight w:val="none"/>
          <w:lang w:val="en-US" w:eastAsia="zh-CN"/>
        </w:rPr>
        <w:t>大力推进精神障碍社区康复服务</w:t>
      </w:r>
    </w:p>
    <w:p w14:paraId="74AD569D">
      <w:pPr>
        <w:shd w:val="clear"/>
        <w:rPr>
          <w:rFonts w:hint="eastAsia" w:ascii="Times New Roman" w:hAnsi="Times New Roman" w:eastAsia="仿宋_GB2312" w:cs="仿宋_GB2312"/>
          <w:color w:val="auto"/>
          <w:highlight w:val="none"/>
          <w:lang w:val="en-US" w:eastAsia="zh-CN"/>
        </w:rPr>
      </w:pPr>
      <w:bookmarkStart w:id="117" w:name="OLE_LINK3"/>
      <w:bookmarkStart w:id="118" w:name="_Toc26896"/>
      <w:bookmarkStart w:id="119" w:name="_Toc5261"/>
      <w:bookmarkStart w:id="120" w:name="_Toc685"/>
      <w:bookmarkStart w:id="121" w:name="_Toc5443"/>
      <w:bookmarkStart w:id="122" w:name="_Toc5012"/>
      <w:r>
        <w:rPr>
          <w:rFonts w:hint="eastAsia" w:ascii="Times New Roman" w:hAnsi="Times New Roman" w:eastAsia="仿宋_GB2312" w:cs="仿宋_GB2312"/>
          <w:color w:val="auto"/>
          <w:highlight w:val="none"/>
          <w:lang w:val="en-US" w:eastAsia="zh-CN"/>
        </w:rPr>
        <w:t>深化全国精神障碍社区康复服务试点项目，加强部门协同，优化服务布局，健全服务网络，丰富服务内涵，提升服务质效，构建可持续发展机制</w:t>
      </w:r>
      <w:r>
        <w:rPr>
          <w:rFonts w:hint="eastAsia" w:eastAsia="仿宋_GB2312" w:cs="仿宋_GB2312"/>
          <w:color w:val="auto"/>
          <w:highlight w:val="none"/>
          <w:lang w:val="en-US" w:eastAsia="zh-CN"/>
        </w:rPr>
        <w:t>。</w:t>
      </w:r>
      <w:r>
        <w:rPr>
          <w:rFonts w:hint="eastAsia" w:ascii="Times New Roman" w:hAnsi="Times New Roman" w:eastAsia="仿宋_GB2312" w:cs="仿宋_GB2312"/>
          <w:highlight w:val="none"/>
          <w:lang w:val="en-US" w:eastAsia="zh-CN"/>
        </w:rPr>
        <w:t>到2030年，全区开展精神障碍社区康复服务的街道（乡）覆盖率达到100%</w:t>
      </w:r>
      <w:r>
        <w:rPr>
          <w:rFonts w:hint="eastAsia" w:ascii="Times New Roman" w:hAnsi="Times New Roman" w:eastAsia="仿宋_GB2312" w:cs="仿宋_GB2312"/>
          <w:color w:val="auto"/>
          <w:highlight w:val="none"/>
          <w:lang w:val="en-US" w:eastAsia="zh-CN"/>
        </w:rPr>
        <w:t>。</w:t>
      </w:r>
      <w:bookmarkEnd w:id="117"/>
      <w:r>
        <w:rPr>
          <w:rFonts w:hint="eastAsia" w:ascii="Times New Roman" w:hAnsi="Times New Roman" w:eastAsia="仿宋_GB2312" w:cs="仿宋_GB2312"/>
          <w:color w:val="auto"/>
          <w:highlight w:val="none"/>
          <w:lang w:val="en-US" w:eastAsia="zh-CN"/>
        </w:rPr>
        <w:t>发挥朝阳区社会组织活跃优势，大力培育引进精神障碍社区康复专业机构，推动服务向街乡延伸。建立民政、卫健、残联及街乡常态化转介机制，畅通医疗机构与社区康复机构的信息通道。加强精神康复社工人才队伍建设，探索“专业社工＋心理咨询师＋志愿者＋家属”的多元服务模式，帮助精神障碍患者恢复社会功能，回归社区生活。</w:t>
      </w:r>
      <w:bookmarkEnd w:id="118"/>
      <w:bookmarkEnd w:id="119"/>
      <w:bookmarkEnd w:id="120"/>
    </w:p>
    <w:p w14:paraId="69883C57">
      <w:pPr>
        <w:shd w:val="clear"/>
        <w:bidi w:val="0"/>
        <w:rPr>
          <w:rFonts w:hint="eastAsia" w:ascii="Times New Roman" w:hAnsi="Times New Roman" w:eastAsia="楷体_GB2312" w:cs="楷体_GB2312"/>
          <w:highlight w:val="none"/>
          <w:lang w:val="en-US" w:eastAsia="zh-CN"/>
        </w:rPr>
      </w:pPr>
      <w:r>
        <w:rPr>
          <w:rFonts w:hint="eastAsia" w:ascii="Times New Roman" w:hAnsi="Times New Roman" w:eastAsia="楷体_GB2312" w:cs="楷体_GB2312"/>
          <w:highlight w:val="none"/>
          <w:lang w:val="en-US" w:eastAsia="zh-CN"/>
        </w:rPr>
        <w:t>三、加强残疾人托养机构建设管理</w:t>
      </w:r>
      <w:bookmarkEnd w:id="121"/>
      <w:bookmarkEnd w:id="122"/>
      <w:bookmarkStart w:id="123" w:name="_Toc5859"/>
    </w:p>
    <w:bookmarkEnd w:id="123"/>
    <w:p w14:paraId="46D5A573">
      <w:pPr>
        <w:shd w:val="clear"/>
        <w:bidi w:val="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lang w:val="en-US" w:eastAsia="zh-CN"/>
        </w:rPr>
        <w:t>积极推进区级精神卫生福利机构建设，重点接收本区社会救助兜底保障对象中需要托管的精神残疾人，满足我区精神残疾人入住福利机构基本需求。强化残疾人托养机构规范运营管理，严格落实残疾人托养机构安全规范，健全第三方专业机构安全检查工作机制，提升集中托养照护服务能力和保障水平。</w:t>
      </w:r>
    </w:p>
    <w:p w14:paraId="6D223591">
      <w:pPr>
        <w:keepNext w:val="0"/>
        <w:keepLines w:val="0"/>
        <w:pageBreakBefore w:val="0"/>
        <w:widowControl w:val="0"/>
        <w:shd w:val="clear"/>
        <w:kinsoku/>
        <w:wordWrap/>
        <w:overflowPunct/>
        <w:topLinePunct w:val="0"/>
        <w:autoSpaceDE/>
        <w:autoSpaceDN/>
        <w:bidi w:val="0"/>
        <w:adjustRightInd/>
        <w:snapToGrid/>
        <w:spacing w:before="292" w:beforeLines="50" w:after="292" w:afterLines="50"/>
        <w:ind w:left="0" w:leftChars="0" w:firstLine="0" w:firstLineChars="0"/>
        <w:jc w:val="center"/>
        <w:textAlignment w:val="auto"/>
        <w:rPr>
          <w:rFonts w:hint="eastAsia" w:ascii="Times New Roman" w:hAnsi="Times New Roman" w:eastAsia="黑体" w:cs="黑体"/>
          <w:highlight w:val="none"/>
          <w:lang w:val="en-US" w:eastAsia="zh-CN"/>
        </w:rPr>
      </w:pPr>
      <w:bookmarkStart w:id="124" w:name="_Toc18232"/>
      <w:r>
        <w:rPr>
          <w:rFonts w:hint="eastAsia" w:ascii="Times New Roman" w:hAnsi="Times New Roman" w:eastAsia="黑体" w:cs="黑体"/>
          <w:highlight w:val="none"/>
          <w:lang w:val="en-US" w:eastAsia="zh-CN"/>
        </w:rPr>
        <w:t>第二章 构建适度普惠型儿童福利保护体系</w:t>
      </w:r>
      <w:bookmarkEnd w:id="124"/>
      <w:bookmarkStart w:id="125" w:name="_Toc17158"/>
    </w:p>
    <w:bookmarkEnd w:id="125"/>
    <w:p w14:paraId="4448FB57">
      <w:pPr>
        <w:shd w:val="clear"/>
        <w:bidi w:val="0"/>
        <w:rPr>
          <w:rFonts w:hint="eastAsia" w:ascii="Times New Roman" w:hAnsi="Times New Roman" w:eastAsia="楷体_GB2312" w:cs="楷体_GB2312"/>
          <w:highlight w:val="none"/>
          <w:lang w:val="en-US" w:eastAsia="zh-CN"/>
        </w:rPr>
      </w:pPr>
      <w:bookmarkStart w:id="126" w:name="_Toc1487"/>
      <w:r>
        <w:rPr>
          <w:rFonts w:hint="eastAsia" w:ascii="Times New Roman" w:hAnsi="Times New Roman" w:eastAsia="楷体_GB2312" w:cs="楷体_GB2312"/>
          <w:highlight w:val="none"/>
          <w:lang w:val="en-US" w:eastAsia="zh-CN"/>
        </w:rPr>
        <w:t>一、</w:t>
      </w:r>
      <w:r>
        <w:rPr>
          <w:rFonts w:hint="eastAsia" w:ascii="Times New Roman" w:hAnsi="Times New Roman" w:eastAsia="楷体_GB2312" w:cs="楷体_GB2312"/>
          <w:bCs/>
          <w:color w:val="auto"/>
          <w:spacing w:val="-6"/>
          <w:kern w:val="44"/>
          <w:sz w:val="32"/>
          <w:szCs w:val="32"/>
          <w:highlight w:val="none"/>
          <w:lang w:val="en-US" w:eastAsia="zh-CN" w:bidi="ar-SA"/>
        </w:rPr>
        <w:t>健全困境儿童分类保障制度机制</w:t>
      </w:r>
      <w:bookmarkEnd w:id="126"/>
      <w:bookmarkStart w:id="127" w:name="_Toc4255"/>
    </w:p>
    <w:p w14:paraId="7CFED0E2">
      <w:pPr>
        <w:shd w:val="clear"/>
        <w:bidi w:val="0"/>
        <w:rPr>
          <w:rFonts w:hint="eastAsia" w:ascii="Times New Roman" w:hAnsi="Times New Roman" w:eastAsia="仿宋_GB2312" w:cs="仿宋_GB2312"/>
          <w:highlight w:val="none"/>
          <w:lang w:val="en-US" w:eastAsia="zh-CN"/>
        </w:rPr>
      </w:pPr>
      <w:bookmarkStart w:id="128" w:name="_Toc28356"/>
      <w:r>
        <w:rPr>
          <w:rFonts w:hint="eastAsia" w:ascii="Times New Roman" w:hAnsi="Times New Roman" w:eastAsia="仿宋_GB2312" w:cs="仿宋_GB2312"/>
          <w:highlight w:val="none"/>
          <w:lang w:val="en-US" w:eastAsia="zh-CN"/>
        </w:rPr>
        <w:t>坚持“儿童优先”原则，健全完善困境儿童基本生活保障、医疗康复服务、基本公共教育服务、心理健康关爱服务、人身安全保护、法定监护责任等“六大体系”。聚焦儿童差异化需求，推动兜底保障、临时救助、关爱服务等措施有效衔接，构建“物质+服务”多元保障格局。落实困境儿童生活费动态调整政策，及时调整困境儿童生活保障标准，孤儿、事实无人抚养儿童等困境儿童基本生活保障覆盖率动态保持100%，确保应保尽保。强化困境儿童心理健康风险识别评估，提升困境儿童心理健康关爱服务水平。落实流动儿童、留守儿童监测摸排和关爱保护要求，开展城市融入、精神抚慰等服务，提升流动儿童在京享有基本公共服务的获得感。落实困境孤独症儿童生活保障、兜底监护、家庭帮扶等方面工作要求，为其成长和发展营造良好社会环境。加强儿童督导员和儿童主任队伍建设，夯实儿童福利工作基层基础。</w:t>
      </w:r>
    </w:p>
    <w:p w14:paraId="0449284E">
      <w:pPr>
        <w:shd w:val="clear"/>
        <w:bidi w:val="0"/>
        <w:rPr>
          <w:rFonts w:hint="eastAsia" w:ascii="Times New Roman" w:hAnsi="Times New Roman" w:eastAsia="楷体_GB2312" w:cs="楷体_GB2312"/>
          <w:highlight w:val="none"/>
          <w:lang w:val="en-US" w:eastAsia="zh-CN"/>
        </w:rPr>
      </w:pPr>
      <w:r>
        <w:rPr>
          <w:rFonts w:hint="eastAsia" w:ascii="Times New Roman" w:hAnsi="Times New Roman" w:eastAsia="楷体_GB2312" w:cs="楷体_GB2312"/>
          <w:highlight w:val="none"/>
          <w:lang w:val="en-US" w:eastAsia="zh-CN"/>
        </w:rPr>
        <w:t>二、</w:t>
      </w:r>
      <w:bookmarkEnd w:id="127"/>
      <w:r>
        <w:rPr>
          <w:rFonts w:hint="eastAsia" w:ascii="Times New Roman" w:hAnsi="Times New Roman" w:eastAsia="楷体_GB2312" w:cs="楷体_GB2312"/>
          <w:highlight w:val="none"/>
          <w:lang w:val="en-US" w:eastAsia="zh-CN"/>
        </w:rPr>
        <w:t>推进儿童福利机构转型发展</w:t>
      </w:r>
      <w:bookmarkEnd w:id="128"/>
    </w:p>
    <w:p w14:paraId="69EF6F21">
      <w:pPr>
        <w:shd w:val="clear"/>
        <w:bidi w:val="0"/>
        <w:rPr>
          <w:rFonts w:hint="eastAsia" w:ascii="Times New Roman" w:hAnsi="Times New Roman" w:eastAsia="仿宋_GB2312" w:cs="仿宋_GB2312"/>
          <w:highlight w:val="none"/>
          <w:lang w:val="en-US" w:eastAsia="zh-CN"/>
        </w:rPr>
      </w:pPr>
      <w:bookmarkStart w:id="129" w:name="_Toc29454"/>
      <w:r>
        <w:rPr>
          <w:rFonts w:hint="eastAsia" w:ascii="Times New Roman" w:hAnsi="Times New Roman" w:eastAsia="仿宋_GB2312" w:cs="仿宋_GB2312"/>
          <w:highlight w:val="none"/>
          <w:lang w:val="en-US" w:eastAsia="zh-CN"/>
        </w:rPr>
        <w:t>深化区级儿童福利机构改革，加快儿童福利院新址建设，推动</w:t>
      </w:r>
      <w:bookmarkStart w:id="130" w:name="OLE_LINK5"/>
      <w:r>
        <w:rPr>
          <w:rFonts w:hint="eastAsia" w:ascii="Times New Roman" w:hAnsi="Times New Roman" w:eastAsia="仿宋_GB2312" w:cs="仿宋_GB2312"/>
          <w:highlight w:val="none"/>
          <w:lang w:val="en-US" w:eastAsia="zh-CN"/>
        </w:rPr>
        <w:t>儿童福利机构养育、医疗、教育、康复、社工“五位一体”</w:t>
      </w:r>
      <w:bookmarkEnd w:id="130"/>
      <w:r>
        <w:rPr>
          <w:rFonts w:hint="eastAsia" w:ascii="Times New Roman" w:hAnsi="Times New Roman" w:eastAsia="仿宋_GB2312" w:cs="仿宋_GB2312"/>
          <w:highlight w:val="none"/>
          <w:lang w:val="en-US" w:eastAsia="zh-CN"/>
        </w:rPr>
        <w:t>发展。健全安全、食品、应急、财务、档案、信息等管理制度，规范服务流程，加强风险防控，提高服务能力。</w:t>
      </w:r>
      <w:bookmarkStart w:id="131" w:name="OLE_LINK1"/>
      <w:bookmarkStart w:id="132" w:name="OLE_LINK4"/>
      <w:bookmarkStart w:id="133" w:name="OLE_LINK2"/>
      <w:r>
        <w:rPr>
          <w:rFonts w:hint="eastAsia" w:ascii="Times New Roman" w:hAnsi="Times New Roman" w:eastAsia="仿宋_GB2312" w:cs="仿宋_GB2312"/>
          <w:highlight w:val="none"/>
          <w:lang w:val="en-US" w:eastAsia="zh-CN"/>
        </w:rPr>
        <w:t>在做好机构内孤残儿童“养治教康社”一体化服务的基础</w:t>
      </w:r>
      <w:bookmarkEnd w:id="131"/>
      <w:r>
        <w:rPr>
          <w:rFonts w:hint="eastAsia" w:ascii="Times New Roman" w:hAnsi="Times New Roman" w:eastAsia="仿宋_GB2312" w:cs="仿宋_GB2312"/>
          <w:highlight w:val="none"/>
          <w:lang w:val="en-US" w:eastAsia="zh-CN"/>
        </w:rPr>
        <w:t>上</w:t>
      </w:r>
      <w:bookmarkEnd w:id="132"/>
      <w:r>
        <w:rPr>
          <w:rFonts w:hint="eastAsia" w:ascii="Times New Roman" w:hAnsi="Times New Roman" w:eastAsia="仿宋_GB2312" w:cs="仿宋_GB2312"/>
          <w:highlight w:val="none"/>
          <w:lang w:val="en-US" w:eastAsia="zh-CN"/>
        </w:rPr>
        <w:t>，</w:t>
      </w:r>
      <w:bookmarkEnd w:id="133"/>
      <w:r>
        <w:rPr>
          <w:rFonts w:hint="eastAsia" w:ascii="Times New Roman" w:hAnsi="Times New Roman" w:eastAsia="仿宋_GB2312" w:cs="仿宋_GB2312"/>
          <w:highlight w:val="none"/>
          <w:lang w:val="en-US" w:eastAsia="zh-CN"/>
        </w:rPr>
        <w:t>加挂未成年人救助保护机构牌子，加强机构规范化建设和管理，优化机构职能，为有需求的困境儿童提供危机干预、临时照料、监护支持、心理关爱等服务。</w:t>
      </w:r>
    </w:p>
    <w:p w14:paraId="4457E651">
      <w:pPr>
        <w:shd w:val="clear"/>
        <w:bidi w:val="0"/>
        <w:rPr>
          <w:rFonts w:hint="eastAsia" w:ascii="Times New Roman" w:hAnsi="Times New Roman" w:eastAsia="楷体_GB2312" w:cs="楷体_GB2312"/>
          <w:highlight w:val="none"/>
          <w:lang w:val="en-US" w:eastAsia="zh-CN"/>
        </w:rPr>
      </w:pPr>
      <w:r>
        <w:rPr>
          <w:rFonts w:hint="eastAsia" w:ascii="Times New Roman" w:hAnsi="Times New Roman" w:eastAsia="楷体_GB2312" w:cs="楷体_GB2312"/>
          <w:highlight w:val="none"/>
          <w:lang w:val="en-US" w:eastAsia="zh-CN"/>
        </w:rPr>
        <w:t>三、完善儿童福利保障监管机制</w:t>
      </w:r>
      <w:bookmarkEnd w:id="129"/>
      <w:bookmarkStart w:id="134" w:name="_Toc7867"/>
      <w:bookmarkStart w:id="135" w:name="_Toc5437"/>
    </w:p>
    <w:bookmarkEnd w:id="134"/>
    <w:p w14:paraId="3DA9B76E">
      <w:pPr>
        <w:shd w:val="clear"/>
        <w:bidi w:val="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lang w:val="en-US" w:eastAsia="zh-CN"/>
        </w:rPr>
        <w:t>落实困境儿童动态监管机制，做好困境儿童巡视探访工作，及时将符合条件的儿童纳入保障范围。依托全国儿童福利信息系统，强化对困境儿童信息的统计分析、智能监测和监督管理。加强儿童福利机构、未成年人救助保护机构监管，强化人员管理、财务管理、档案管理、安全管理，完善机构全链条全流程管理机制，实现儿童从入院到离院的闭环管理。依法规范收养登记管理，优化收养登记服务，保障被收养儿童合法权益。引导和规范社会力量参与，推动困境儿童需求与公益慈善资源有效对接，丰富服务内容，打造精品服务项目。</w:t>
      </w:r>
    </w:p>
    <w:bookmarkEnd w:id="135"/>
    <w:p w14:paraId="1CB2659D">
      <w:pPr>
        <w:keepNext w:val="0"/>
        <w:keepLines w:val="0"/>
        <w:pageBreakBefore w:val="0"/>
        <w:widowControl w:val="0"/>
        <w:numPr>
          <w:ilvl w:val="0"/>
          <w:numId w:val="0"/>
        </w:numPr>
        <w:shd w:val="clear"/>
        <w:kinsoku/>
        <w:wordWrap/>
        <w:overflowPunct/>
        <w:topLinePunct w:val="0"/>
        <w:autoSpaceDE/>
        <w:autoSpaceDN/>
        <w:bidi w:val="0"/>
        <w:adjustRightInd/>
        <w:snapToGrid/>
        <w:spacing w:before="581" w:beforeLines="100" w:after="581" w:afterLines="100"/>
        <w:jc w:val="center"/>
        <w:textAlignment w:val="auto"/>
        <w:rPr>
          <w:rFonts w:hint="eastAsia" w:ascii="Times New Roman" w:hAnsi="Times New Roman" w:eastAsia="黑体" w:cs="黑体"/>
          <w:highlight w:val="none"/>
          <w:lang w:val="en-US" w:eastAsia="zh-CN"/>
        </w:rPr>
      </w:pPr>
      <w:bookmarkStart w:id="136" w:name="_Toc24008"/>
      <w:r>
        <w:rPr>
          <w:rFonts w:hint="eastAsia" w:ascii="Times New Roman" w:hAnsi="Times New Roman" w:eastAsia="黑体" w:cs="黑体"/>
          <w:highlight w:val="none"/>
          <w:lang w:val="en-US" w:eastAsia="zh-CN"/>
        </w:rPr>
        <w:t>第五篇 优化社会事务管理新服务</w:t>
      </w:r>
      <w:bookmarkEnd w:id="136"/>
      <w:bookmarkStart w:id="137" w:name="_Toc3161"/>
      <w:bookmarkStart w:id="138" w:name="_Toc32150"/>
      <w:bookmarkStart w:id="139" w:name="_Toc30370"/>
    </w:p>
    <w:p w14:paraId="70531855">
      <w:pPr>
        <w:shd w:val="clear"/>
        <w:bidi w:val="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lang w:val="en-US" w:eastAsia="zh-CN"/>
        </w:rPr>
        <w:t>坚持便民、利民、惠民鲜明导向，精准聚焦群众关切与社会期盼。立足新时代社会事务管理新形势，系统推进制度完善、供给优化、秩序规范与新风培育，全面提升婚姻登记、殡葬服务、见义勇为权益保护等综合保障能力。坚持将群众的“关键小事”当成政府的“民生大事”，用心用情用力实现身边事“精心办、放心办、暖心办”，聚力构建普惠均等、优质高效的现代社会事务服务体系。</w:t>
      </w:r>
    </w:p>
    <w:bookmarkEnd w:id="137"/>
    <w:bookmarkEnd w:id="138"/>
    <w:bookmarkEnd w:id="139"/>
    <w:p w14:paraId="160201E6">
      <w:pPr>
        <w:keepNext w:val="0"/>
        <w:keepLines w:val="0"/>
        <w:pageBreakBefore w:val="0"/>
        <w:widowControl w:val="0"/>
        <w:shd w:val="clear"/>
        <w:kinsoku/>
        <w:wordWrap/>
        <w:overflowPunct/>
        <w:topLinePunct w:val="0"/>
        <w:autoSpaceDE/>
        <w:autoSpaceDN/>
        <w:bidi w:val="0"/>
        <w:adjustRightInd/>
        <w:snapToGrid/>
        <w:spacing w:before="292" w:beforeLines="50" w:after="292" w:afterLines="50"/>
        <w:ind w:left="0" w:leftChars="0" w:firstLine="0" w:firstLineChars="0"/>
        <w:jc w:val="center"/>
        <w:textAlignment w:val="auto"/>
        <w:rPr>
          <w:rFonts w:hint="eastAsia" w:ascii="Times New Roman" w:hAnsi="Times New Roman" w:eastAsia="黑体" w:cs="黑体"/>
          <w:highlight w:val="none"/>
          <w:lang w:val="en-US" w:eastAsia="zh-CN"/>
        </w:rPr>
      </w:pPr>
      <w:bookmarkStart w:id="140" w:name="_Toc6703"/>
      <w:bookmarkStart w:id="141" w:name="_Toc31633"/>
      <w:r>
        <w:rPr>
          <w:rFonts w:hint="eastAsia" w:ascii="Times New Roman" w:hAnsi="Times New Roman" w:eastAsia="黑体" w:cs="黑体"/>
          <w:highlight w:val="none"/>
          <w:lang w:val="en-US" w:eastAsia="zh-CN"/>
        </w:rPr>
        <w:t>第一章 深化殡葬服务管理改革创新</w:t>
      </w:r>
    </w:p>
    <w:p w14:paraId="3B7E8DF4">
      <w:pPr>
        <w:shd w:val="clear"/>
        <w:bidi w:val="0"/>
        <w:rPr>
          <w:rFonts w:hint="eastAsia" w:ascii="Times New Roman" w:hAnsi="Times New Roman" w:eastAsia="楷体_GB2312" w:cs="楷体_GB2312"/>
          <w:highlight w:val="none"/>
          <w:lang w:val="en-US" w:eastAsia="zh-CN"/>
        </w:rPr>
      </w:pPr>
      <w:r>
        <w:rPr>
          <w:rFonts w:hint="eastAsia" w:ascii="Times New Roman" w:hAnsi="Times New Roman" w:eastAsia="楷体_GB2312" w:cs="楷体_GB2312"/>
          <w:highlight w:val="none"/>
          <w:lang w:val="en-US" w:eastAsia="zh-CN"/>
        </w:rPr>
        <w:t>一、强化殡葬公益惠民导向</w:t>
      </w:r>
    </w:p>
    <w:p w14:paraId="0C82833C">
      <w:pPr>
        <w:shd w:val="clear"/>
        <w:bidi w:val="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lang w:val="en-US" w:eastAsia="zh-CN"/>
        </w:rPr>
        <w:t>以实现“逝有所安”为工作目标，全面强化殡葬行业公益属性，推进殡葬服务管理体制改革。严格执行殡葬服务项目清单管理，全面落实殡葬服务基础项目免费政策，依法依规对非基础项目严格管理，持续规范行业秩序，切实维护群众合法权益。加大惠民殡葬政策宣传力度，提高基础项目免费、节地生态安葬奖补政策、96101殡葬服务专线等知晓率。加强殡葬领域工作人员能力建设，完善工作机制，依法依规开展管理与服务，巩固提升治理成效，坚决兜牢基本民生底线。</w:t>
      </w:r>
    </w:p>
    <w:p w14:paraId="22CBA914">
      <w:pPr>
        <w:shd w:val="clear"/>
        <w:bidi w:val="0"/>
        <w:rPr>
          <w:rFonts w:hint="default" w:ascii="Times New Roman" w:hAnsi="Times New Roman" w:eastAsia="楷体_GB2312" w:cs="楷体_GB2312"/>
          <w:highlight w:val="none"/>
          <w:lang w:val="en-US" w:eastAsia="zh-CN"/>
        </w:rPr>
      </w:pPr>
      <w:bookmarkStart w:id="142" w:name="_Toc11429"/>
      <w:r>
        <w:rPr>
          <w:rFonts w:hint="eastAsia" w:ascii="Times New Roman" w:hAnsi="Times New Roman" w:eastAsia="楷体_GB2312" w:cs="楷体_GB2312"/>
          <w:highlight w:val="none"/>
          <w:lang w:val="en-US" w:eastAsia="zh-CN"/>
        </w:rPr>
        <w:t>二、</w:t>
      </w:r>
      <w:bookmarkEnd w:id="142"/>
      <w:r>
        <w:rPr>
          <w:rFonts w:hint="eastAsia" w:ascii="Times New Roman" w:hAnsi="Times New Roman" w:eastAsia="楷体_GB2312" w:cs="楷体_GB2312"/>
          <w:highlight w:val="none"/>
          <w:lang w:val="en-US" w:eastAsia="zh-CN"/>
        </w:rPr>
        <w:t>统筹优化殡葬设施布局</w:t>
      </w:r>
    </w:p>
    <w:p w14:paraId="5775E2E8">
      <w:pPr>
        <w:shd w:val="clear"/>
        <w:bidi w:val="0"/>
        <w:rPr>
          <w:rFonts w:hint="eastAsia" w:ascii="Times New Roman" w:hAnsi="Times New Roman" w:eastAsia="黑体" w:cs="黑体"/>
          <w:highlight w:val="none"/>
          <w:lang w:val="en-US" w:eastAsia="zh-CN"/>
        </w:rPr>
      </w:pPr>
      <w:bookmarkStart w:id="143" w:name="_Toc14870"/>
      <w:r>
        <w:rPr>
          <w:rFonts w:hint="eastAsia" w:ascii="Times New Roman" w:hAnsi="Times New Roman" w:eastAsia="仿宋_GB2312" w:cs="仿宋_GB2312"/>
          <w:highlight w:val="none"/>
          <w:lang w:val="en-US" w:eastAsia="zh-CN"/>
        </w:rPr>
        <w:t>编制区级公益性殡葬设施及用地专项规划，至少建成一处公益性殡葬设施，补齐朝阳区公益安葬设施短板，推广自然葬、骨灰格位、草坪葬、树葬、海葬、节地墓位等节地生态安葬形式，到2030年实现公益性安葬服务覆盖率达到100%、节地生态安葬率达到</w:t>
      </w:r>
      <w:r>
        <w:rPr>
          <w:rFonts w:hint="eastAsia" w:eastAsia="仿宋_GB2312" w:cs="仿宋_GB2312"/>
          <w:highlight w:val="none"/>
          <w:lang w:val="en-US" w:eastAsia="zh-CN"/>
        </w:rPr>
        <w:t>95</w:t>
      </w:r>
      <w:r>
        <w:rPr>
          <w:rFonts w:hint="eastAsia" w:ascii="Times New Roman" w:hAnsi="Times New Roman" w:eastAsia="仿宋_GB2312" w:cs="仿宋_GB2312"/>
          <w:highlight w:val="none"/>
          <w:lang w:val="en-US" w:eastAsia="zh-CN"/>
        </w:rPr>
        <w:t>%。聚焦农村散葬坟墓问题开展专项治理，因地制宜、分类落实集中迁移与生态景观化改造，全面提升城乡空间治理效能。</w:t>
      </w:r>
      <w:bookmarkEnd w:id="143"/>
      <w:bookmarkStart w:id="144" w:name="_Toc13533"/>
    </w:p>
    <w:p w14:paraId="2273C74E">
      <w:pPr>
        <w:shd w:val="clear"/>
        <w:bidi w:val="0"/>
        <w:rPr>
          <w:rFonts w:hint="eastAsia" w:ascii="Times New Roman" w:hAnsi="Times New Roman" w:eastAsia="楷体_GB2312" w:cs="楷体_GB2312"/>
          <w:highlight w:val="none"/>
          <w:lang w:val="en-US" w:eastAsia="zh-CN"/>
        </w:rPr>
      </w:pPr>
      <w:r>
        <w:rPr>
          <w:rFonts w:hint="eastAsia" w:ascii="Times New Roman" w:hAnsi="Times New Roman" w:eastAsia="楷体_GB2312" w:cs="楷体_GB2312"/>
          <w:highlight w:val="none"/>
          <w:lang w:val="en-US" w:eastAsia="zh-CN"/>
        </w:rPr>
        <w:t>三、</w:t>
      </w:r>
      <w:bookmarkEnd w:id="144"/>
      <w:r>
        <w:rPr>
          <w:rFonts w:hint="eastAsia" w:ascii="Times New Roman" w:hAnsi="Times New Roman" w:eastAsia="楷体_GB2312" w:cs="楷体_GB2312"/>
          <w:highlight w:val="none"/>
          <w:lang w:val="en-US" w:eastAsia="zh-CN"/>
        </w:rPr>
        <w:t>持续规范殡葬行业秩序</w:t>
      </w:r>
      <w:bookmarkStart w:id="145" w:name="_Toc31169"/>
    </w:p>
    <w:p w14:paraId="03F9521A">
      <w:pPr>
        <w:shd w:val="clear"/>
        <w:bidi w:val="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lang w:val="en-US" w:eastAsia="zh-CN"/>
        </w:rPr>
        <w:t>落实行业安全管理和综合监管机制，进一步健全完善信息共享、线索转办与联合执法，聚焦重点区域与关键时点强化巡查执法，提升综合治理效能。加快探索建立行业负面清单管理与失信惩戒制度，切实维护群众合法权益。推动殡葬领域移风易俗，宣传倡导节俭治丧、厚养薄葬、文明祭扫，充分发挥基层自治组织作用，持续培育清朗文明殡葬新风。</w:t>
      </w:r>
      <w:bookmarkEnd w:id="145"/>
    </w:p>
    <w:p w14:paraId="77F2CD3D">
      <w:pPr>
        <w:keepNext w:val="0"/>
        <w:keepLines w:val="0"/>
        <w:pageBreakBefore w:val="0"/>
        <w:widowControl w:val="0"/>
        <w:shd w:val="clear"/>
        <w:kinsoku/>
        <w:wordWrap/>
        <w:overflowPunct/>
        <w:topLinePunct w:val="0"/>
        <w:autoSpaceDE/>
        <w:autoSpaceDN/>
        <w:bidi w:val="0"/>
        <w:adjustRightInd/>
        <w:snapToGrid/>
        <w:spacing w:before="292" w:beforeLines="50" w:after="292" w:afterLines="50"/>
        <w:ind w:left="0" w:leftChars="0" w:firstLine="0" w:firstLineChars="0"/>
        <w:jc w:val="center"/>
        <w:textAlignment w:val="auto"/>
        <w:rPr>
          <w:rFonts w:hint="eastAsia" w:ascii="Times New Roman" w:hAnsi="Times New Roman" w:eastAsia="黑体" w:cs="黑体"/>
          <w:highlight w:val="none"/>
          <w:lang w:val="en-US" w:eastAsia="zh-CN"/>
        </w:rPr>
      </w:pPr>
      <w:r>
        <w:rPr>
          <w:rFonts w:hint="eastAsia" w:ascii="Times New Roman" w:hAnsi="Times New Roman" w:eastAsia="黑体" w:cs="黑体"/>
          <w:highlight w:val="none"/>
          <w:lang w:val="en-US" w:eastAsia="zh-CN"/>
        </w:rPr>
        <w:t>第二章 推进婚姻家庭服务提质升级</w:t>
      </w:r>
      <w:bookmarkEnd w:id="140"/>
      <w:bookmarkStart w:id="146" w:name="_Toc28876"/>
    </w:p>
    <w:p w14:paraId="29352B00">
      <w:pPr>
        <w:shd w:val="clear"/>
        <w:bidi w:val="0"/>
        <w:rPr>
          <w:rFonts w:hint="eastAsia" w:ascii="Times New Roman" w:hAnsi="Times New Roman" w:eastAsia="楷体_GB2312" w:cs="楷体_GB2312"/>
          <w:highlight w:val="none"/>
          <w:lang w:val="en-US" w:eastAsia="zh-CN"/>
        </w:rPr>
      </w:pPr>
      <w:r>
        <w:rPr>
          <w:rFonts w:hint="eastAsia" w:ascii="Times New Roman" w:hAnsi="Times New Roman" w:eastAsia="楷体_GB2312" w:cs="楷体_GB2312"/>
          <w:highlight w:val="none"/>
          <w:lang w:val="en-US" w:eastAsia="zh-CN"/>
        </w:rPr>
        <w:t>一、推动婚姻登记模式创新</w:t>
      </w:r>
      <w:bookmarkEnd w:id="146"/>
      <w:bookmarkStart w:id="147" w:name="_Toc23179"/>
    </w:p>
    <w:bookmarkEnd w:id="141"/>
    <w:bookmarkEnd w:id="147"/>
    <w:p w14:paraId="0E492C05">
      <w:pPr>
        <w:shd w:val="clear"/>
        <w:bidi w:val="0"/>
        <w:rPr>
          <w:rFonts w:hint="eastAsia" w:ascii="Times New Roman" w:hAnsi="Times New Roman" w:eastAsia="仿宋_GB2312" w:cs="仿宋_GB2312"/>
          <w:highlight w:val="none"/>
          <w:lang w:val="en-US" w:eastAsia="zh-CN"/>
        </w:rPr>
      </w:pPr>
      <w:bookmarkStart w:id="148" w:name="_Toc18662"/>
      <w:bookmarkStart w:id="149" w:name="_Toc5131"/>
      <w:r>
        <w:rPr>
          <w:rFonts w:hint="eastAsia" w:ascii="Times New Roman" w:hAnsi="Times New Roman" w:eastAsia="仿宋_GB2312" w:cs="仿宋_GB2312"/>
          <w:highlight w:val="none"/>
          <w:lang w:val="en-US" w:eastAsia="zh-CN"/>
        </w:rPr>
        <w:t>立足新时代人口发展战略，贯彻落实新修订的《婚姻登记条例》《婚姻登记工作规范》和《北京市婚姻登记工作规范》，健全婚姻登记“全国通办”相关保障机制。配合相关部门加强婚姻介绍服务监管。加强婚姻登记场所建设，提升婚姻登记服务水平。创新“婚姻登记+” 服务模式，立足蓝色港湾等商圈、景区资源优势,设置巡回婚姻登记点，打造特色结婚登记地标，串联婚庆、旅游等产业资源，培育集登记打卡、婚庆消费、文旅休闲”于一体的“甜蜜经济”集</w:t>
      </w:r>
      <w:r>
        <w:rPr>
          <w:rFonts w:hint="eastAsia" w:eastAsia="仿宋_GB2312" w:cs="仿宋_GB2312"/>
          <w:highlight w:val="none"/>
          <w:lang w:val="en-US" w:eastAsia="zh-CN"/>
        </w:rPr>
        <w:t>群。</w:t>
      </w:r>
      <w:r>
        <w:rPr>
          <w:rFonts w:hint="eastAsia" w:ascii="Times New Roman" w:hAnsi="Times New Roman" w:eastAsia="仿宋_GB2312" w:cs="仿宋_GB2312"/>
          <w:highlight w:val="none"/>
          <w:lang w:val="en-US" w:eastAsia="zh-CN"/>
        </w:rPr>
        <w:t>探索特色专属服务，将公共服务</w:t>
      </w:r>
      <w:r>
        <w:rPr>
          <w:rFonts w:hint="eastAsia" w:eastAsia="仿宋_GB2312" w:cs="仿宋_GB2312"/>
          <w:highlight w:val="none"/>
          <w:lang w:val="en-US" w:eastAsia="zh-CN"/>
        </w:rPr>
        <w:t>与</w:t>
      </w:r>
      <w:r>
        <w:rPr>
          <w:rFonts w:hint="eastAsia" w:ascii="Times New Roman" w:hAnsi="Times New Roman" w:eastAsia="仿宋_GB2312" w:cs="仿宋_GB2312"/>
          <w:highlight w:val="none"/>
          <w:lang w:val="en-US" w:eastAsia="zh-CN"/>
        </w:rPr>
        <w:t>消费场景</w:t>
      </w:r>
      <w:r>
        <w:rPr>
          <w:rFonts w:hint="eastAsia" w:eastAsia="仿宋_GB2312" w:cs="仿宋_GB2312"/>
          <w:highlight w:val="none"/>
          <w:lang w:val="en-US" w:eastAsia="zh-CN"/>
        </w:rPr>
        <w:t>有机结合</w:t>
      </w:r>
      <w:r>
        <w:rPr>
          <w:rFonts w:hint="eastAsia" w:ascii="Times New Roman" w:hAnsi="Times New Roman" w:eastAsia="仿宋_GB2312" w:cs="仿宋_GB2312"/>
          <w:highlight w:val="none"/>
          <w:lang w:val="en-US" w:eastAsia="zh-CN"/>
        </w:rPr>
        <w:t>，增强婚姻登记的体验感。</w:t>
      </w:r>
    </w:p>
    <w:p w14:paraId="19BE7AA9">
      <w:pPr>
        <w:shd w:val="clear"/>
        <w:bidi w:val="0"/>
        <w:rPr>
          <w:rFonts w:hint="eastAsia" w:ascii="Times New Roman" w:hAnsi="Times New Roman" w:eastAsia="楷体_GB2312" w:cs="楷体_GB2312"/>
          <w:highlight w:val="none"/>
          <w:lang w:val="en-US" w:eastAsia="zh-CN"/>
        </w:rPr>
      </w:pPr>
      <w:r>
        <w:rPr>
          <w:rFonts w:hint="eastAsia" w:ascii="Times New Roman" w:hAnsi="Times New Roman" w:eastAsia="楷体_GB2312" w:cs="楷体_GB2312"/>
          <w:highlight w:val="none"/>
          <w:lang w:val="en-US" w:eastAsia="zh-CN"/>
        </w:rPr>
        <w:t>二、</w:t>
      </w:r>
      <w:bookmarkEnd w:id="148"/>
      <w:r>
        <w:rPr>
          <w:rFonts w:hint="eastAsia" w:ascii="Times New Roman" w:hAnsi="Times New Roman" w:eastAsia="楷体_GB2312" w:cs="楷体_GB2312"/>
          <w:highlight w:val="none"/>
          <w:lang w:val="en-US" w:eastAsia="zh-CN"/>
        </w:rPr>
        <w:t>加强婚姻家庭文化建设</w:t>
      </w:r>
      <w:bookmarkEnd w:id="149"/>
      <w:bookmarkStart w:id="150" w:name="_Toc23925"/>
    </w:p>
    <w:p w14:paraId="1F1F8975">
      <w:pPr>
        <w:shd w:val="clear"/>
        <w:bidi w:val="0"/>
        <w:rPr>
          <w:rFonts w:hint="eastAsia" w:ascii="Times New Roman" w:hAnsi="Times New Roman" w:eastAsia="仿宋_GB2312" w:cs="仿宋_GB2312"/>
          <w:highlight w:val="none"/>
          <w:lang w:val="en-US" w:eastAsia="zh-CN"/>
        </w:rPr>
      </w:pPr>
      <w:bookmarkStart w:id="151" w:name="_Toc6446"/>
      <w:r>
        <w:rPr>
          <w:rFonts w:hint="eastAsia" w:ascii="Times New Roman" w:hAnsi="Times New Roman" w:eastAsia="仿宋_GB2312" w:cs="仿宋_GB2312"/>
          <w:highlight w:val="none"/>
          <w:lang w:val="en-US" w:eastAsia="zh-CN"/>
        </w:rPr>
        <w:t>发挥婚姻登记管理服务在增进民生福祉、促进社会和谐中的基础性作用，拓展综合性婚姻家庭服务指导工作。用好专业力量，做好婚前辅导、婚姻关系调适、离婚辅导、心理疏导等服务。借助社会力量传播</w:t>
      </w:r>
      <w:r>
        <w:rPr>
          <w:rFonts w:hint="eastAsia" w:eastAsia="仿宋_GB2312" w:cs="仿宋_GB2312"/>
          <w:highlight w:val="none"/>
          <w:lang w:val="en-US" w:eastAsia="zh-CN"/>
        </w:rPr>
        <w:t>优良家风、家庭美德等</w:t>
      </w:r>
      <w:r>
        <w:rPr>
          <w:rFonts w:hint="eastAsia" w:ascii="Times New Roman" w:hAnsi="Times New Roman" w:eastAsia="仿宋_GB2312" w:cs="仿宋_GB2312"/>
          <w:highlight w:val="none"/>
          <w:lang w:val="en-US" w:eastAsia="zh-CN"/>
        </w:rPr>
        <w:t>和谐婚姻家庭理念，营造重视婚姻家庭</w:t>
      </w:r>
      <w:r>
        <w:rPr>
          <w:rFonts w:hint="eastAsia" w:eastAsia="仿宋_GB2312" w:cs="仿宋_GB2312"/>
          <w:highlight w:val="none"/>
          <w:lang w:val="en-US" w:eastAsia="zh-CN"/>
        </w:rPr>
        <w:t>文明</w:t>
      </w:r>
      <w:r>
        <w:rPr>
          <w:rFonts w:hint="eastAsia" w:ascii="Times New Roman" w:hAnsi="Times New Roman" w:eastAsia="仿宋_GB2312" w:cs="仿宋_GB2312"/>
          <w:highlight w:val="none"/>
          <w:lang w:val="en-US" w:eastAsia="zh-CN"/>
        </w:rPr>
        <w:t>建设的社会氛围。加强婚姻登记场所文化建设，尝试在公园、特色街区和文化服务场所，打造婚俗</w:t>
      </w:r>
      <w:r>
        <w:rPr>
          <w:rFonts w:hint="eastAsia" w:eastAsia="仿宋_GB2312" w:cs="仿宋_GB2312"/>
          <w:highlight w:val="none"/>
          <w:lang w:val="en-US" w:eastAsia="zh-CN"/>
        </w:rPr>
        <w:t>、婚育</w:t>
      </w:r>
      <w:r>
        <w:rPr>
          <w:rFonts w:hint="eastAsia" w:ascii="Times New Roman" w:hAnsi="Times New Roman" w:eastAsia="仿宋_GB2312" w:cs="仿宋_GB2312"/>
          <w:highlight w:val="none"/>
          <w:lang w:val="en-US" w:eastAsia="zh-CN"/>
        </w:rPr>
        <w:t>文化宣传阵地。探索跨部门协作，结合中华传统文化，提升新时代婚姻家庭服务的新模式和新路径，倡导简约文明的婚俗文化。</w:t>
      </w:r>
    </w:p>
    <w:bookmarkEnd w:id="150"/>
    <w:bookmarkEnd w:id="151"/>
    <w:p w14:paraId="1F23C3C2">
      <w:pPr>
        <w:keepNext w:val="0"/>
        <w:keepLines w:val="0"/>
        <w:pageBreakBefore w:val="0"/>
        <w:widowControl w:val="0"/>
        <w:shd w:val="clear"/>
        <w:kinsoku/>
        <w:wordWrap/>
        <w:overflowPunct/>
        <w:topLinePunct w:val="0"/>
        <w:autoSpaceDE/>
        <w:autoSpaceDN/>
        <w:bidi w:val="0"/>
        <w:adjustRightInd/>
        <w:snapToGrid/>
        <w:spacing w:before="292" w:beforeLines="50" w:after="292" w:afterLines="50"/>
        <w:ind w:left="0" w:leftChars="0" w:firstLine="0" w:firstLineChars="0"/>
        <w:jc w:val="center"/>
        <w:textAlignment w:val="auto"/>
        <w:rPr>
          <w:rFonts w:hint="eastAsia" w:ascii="Times New Roman" w:hAnsi="Times New Roman" w:eastAsia="黑体" w:cs="黑体"/>
          <w:highlight w:val="none"/>
          <w:lang w:val="en-US" w:eastAsia="zh-CN"/>
        </w:rPr>
      </w:pPr>
      <w:bookmarkStart w:id="152" w:name="_Toc13294"/>
      <w:r>
        <w:rPr>
          <w:rFonts w:hint="eastAsia" w:ascii="Times New Roman" w:hAnsi="Times New Roman" w:eastAsia="黑体" w:cs="黑体"/>
          <w:highlight w:val="none"/>
          <w:lang w:val="en-US" w:eastAsia="zh-CN"/>
        </w:rPr>
        <w:t>第三章 强化见义勇为人员权益保障</w:t>
      </w:r>
    </w:p>
    <w:p w14:paraId="17E92880">
      <w:pPr>
        <w:shd w:val="clear"/>
        <w:bidi w:val="0"/>
        <w:rPr>
          <w:rFonts w:hint="eastAsia" w:ascii="Times New Roman" w:hAnsi="Times New Roman" w:eastAsia="楷体_GB2312" w:cs="楷体_GB2312"/>
          <w:highlight w:val="none"/>
          <w:lang w:val="en-US" w:eastAsia="zh-CN"/>
        </w:rPr>
      </w:pPr>
      <w:bookmarkStart w:id="153" w:name="_Toc696"/>
      <w:bookmarkStart w:id="154" w:name="_Toc15474"/>
      <w:r>
        <w:rPr>
          <w:rFonts w:hint="eastAsia" w:ascii="Times New Roman" w:hAnsi="Times New Roman" w:eastAsia="楷体_GB2312" w:cs="楷体_GB2312"/>
          <w:highlight w:val="none"/>
          <w:lang w:val="en-US" w:eastAsia="zh-CN"/>
        </w:rPr>
        <w:t>一、</w:t>
      </w:r>
      <w:bookmarkEnd w:id="153"/>
      <w:bookmarkEnd w:id="154"/>
      <w:r>
        <w:rPr>
          <w:rFonts w:hint="eastAsia" w:ascii="Times New Roman" w:hAnsi="Times New Roman" w:eastAsia="楷体_GB2312" w:cs="楷体_GB2312"/>
          <w:highlight w:val="none"/>
          <w:lang w:val="en-US" w:eastAsia="zh-CN"/>
        </w:rPr>
        <w:t>保障见义勇为人员权益</w:t>
      </w:r>
    </w:p>
    <w:p w14:paraId="57FAF816">
      <w:pPr>
        <w:shd w:val="clear"/>
        <w:bidi w:val="0"/>
        <w:rPr>
          <w:rFonts w:hint="eastAsia" w:ascii="Times New Roman" w:hAnsi="Times New Roman" w:eastAsia="仿宋_GB2312" w:cs="仿宋_GB2312"/>
          <w:highlight w:val="none"/>
          <w:lang w:val="en-US" w:eastAsia="zh-CN"/>
        </w:rPr>
      </w:pPr>
      <w:bookmarkStart w:id="155" w:name="_Toc8616"/>
      <w:bookmarkStart w:id="156" w:name="_Toc23262"/>
      <w:r>
        <w:rPr>
          <w:rFonts w:hint="eastAsia" w:ascii="Times New Roman" w:hAnsi="Times New Roman" w:eastAsia="仿宋_GB2312" w:cs="仿宋_GB2312"/>
          <w:highlight w:val="none"/>
          <w:lang w:val="en-US" w:eastAsia="zh-CN"/>
        </w:rPr>
        <w:t>根据北京市见义勇为人员奖励和保护政策法规，健全完善多部门参与的评审委员会，严格执行见义勇为行为确认、表彰奖励、优待抚恤等政策，切实保障见义勇为人员权益。研究制定本区见义勇为人员奖励和保护实施细则，全面实施“一人一档”精细化管理，不断完善定期探访、常态化关爱服务与社会优待制度，进一步加强和改进见义勇为人员确认、奖励和保护工作。</w:t>
      </w:r>
    </w:p>
    <w:p w14:paraId="53332C55">
      <w:pPr>
        <w:shd w:val="clear"/>
        <w:bidi w:val="0"/>
        <w:rPr>
          <w:rFonts w:hint="eastAsia" w:ascii="Times New Roman" w:hAnsi="Times New Roman" w:eastAsia="楷体_GB2312" w:cs="楷体_GB2312"/>
          <w:highlight w:val="none"/>
          <w:lang w:val="en-US" w:eastAsia="zh-CN"/>
        </w:rPr>
      </w:pPr>
      <w:r>
        <w:rPr>
          <w:rFonts w:hint="eastAsia" w:ascii="Times New Roman" w:hAnsi="Times New Roman" w:eastAsia="楷体_GB2312" w:cs="楷体_GB2312"/>
          <w:highlight w:val="none"/>
          <w:lang w:val="en-US" w:eastAsia="zh-CN"/>
        </w:rPr>
        <w:t>二</w:t>
      </w:r>
      <w:bookmarkEnd w:id="155"/>
      <w:bookmarkEnd w:id="156"/>
      <w:bookmarkStart w:id="157" w:name="_Toc9306"/>
      <w:r>
        <w:rPr>
          <w:rFonts w:hint="eastAsia" w:ascii="Times New Roman" w:hAnsi="Times New Roman" w:eastAsia="楷体_GB2312" w:cs="楷体_GB2312"/>
          <w:highlight w:val="none"/>
          <w:lang w:val="en-US" w:eastAsia="zh-CN"/>
        </w:rPr>
        <w:t>、大力弘扬宣传见义勇为精神</w:t>
      </w:r>
    </w:p>
    <w:bookmarkEnd w:id="157"/>
    <w:p w14:paraId="39520774">
      <w:pPr>
        <w:shd w:val="clear"/>
        <w:bidi w:val="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lang w:val="en-US" w:eastAsia="zh-CN"/>
        </w:rPr>
        <w:t>采取多种方式广泛宣传见义勇为法规政策和见义勇为先进典型事例，弘扬社会正能量，推动首都精神文明建设，发挥社会力量作用，助力开展具有朝阳特色，体现首善标准的见义勇为精神传播活动。</w:t>
      </w:r>
    </w:p>
    <w:p w14:paraId="69E0FC3F">
      <w:pPr>
        <w:keepNext w:val="0"/>
        <w:keepLines w:val="0"/>
        <w:pageBreakBefore w:val="0"/>
        <w:widowControl w:val="0"/>
        <w:shd w:val="clear"/>
        <w:kinsoku/>
        <w:wordWrap/>
        <w:overflowPunct/>
        <w:topLinePunct w:val="0"/>
        <w:autoSpaceDE/>
        <w:autoSpaceDN/>
        <w:bidi w:val="0"/>
        <w:adjustRightInd/>
        <w:snapToGrid/>
        <w:spacing w:before="581" w:beforeLines="100" w:after="581" w:afterLines="100"/>
        <w:jc w:val="center"/>
        <w:textAlignment w:val="auto"/>
        <w:rPr>
          <w:rFonts w:hint="eastAsia" w:ascii="Times New Roman" w:hAnsi="Times New Roman" w:eastAsia="黑体" w:cs="黑体"/>
          <w:highlight w:val="none"/>
          <w:lang w:val="en-US" w:eastAsia="zh-CN"/>
        </w:rPr>
      </w:pPr>
      <w:r>
        <w:rPr>
          <w:rFonts w:hint="eastAsia" w:ascii="Times New Roman" w:hAnsi="Times New Roman" w:eastAsia="黑体" w:cs="黑体"/>
          <w:highlight w:val="none"/>
          <w:lang w:val="en-US" w:eastAsia="zh-CN"/>
        </w:rPr>
        <w:t>第六篇 激发基层社会治理共治新活力</w:t>
      </w:r>
      <w:bookmarkEnd w:id="152"/>
    </w:p>
    <w:p w14:paraId="05D5D8F4">
      <w:pPr>
        <w:shd w:val="clear"/>
        <w:bidi w:val="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lang w:val="en-US" w:eastAsia="zh-CN"/>
        </w:rPr>
        <w:t>立足朝阳区作为首都国际交往重要窗口和高质量发展排头兵的功能定位，深度释放社会多元共治效能。系统统筹加强管理与改进服务、促进民生与优化治理、激发活力与规范秩序的平衡互动，推动社会组织培育、慈善事业发展、行政区划调整等工作与区域经济社会发展同频共振。加快构建开放包容、更具活力的民政社会治理体系，助力朝阳社会治理能力现代化水平持续走在全市前列。</w:t>
      </w:r>
    </w:p>
    <w:p w14:paraId="126C6682">
      <w:pPr>
        <w:keepNext w:val="0"/>
        <w:keepLines w:val="0"/>
        <w:pageBreakBefore w:val="0"/>
        <w:widowControl w:val="0"/>
        <w:shd w:val="clear"/>
        <w:kinsoku/>
        <w:wordWrap/>
        <w:overflowPunct/>
        <w:topLinePunct w:val="0"/>
        <w:autoSpaceDE/>
        <w:autoSpaceDN/>
        <w:bidi w:val="0"/>
        <w:adjustRightInd/>
        <w:snapToGrid/>
        <w:spacing w:before="292" w:beforeLines="50" w:after="292" w:afterLines="50"/>
        <w:ind w:left="0" w:leftChars="0" w:firstLine="0" w:firstLineChars="0"/>
        <w:jc w:val="center"/>
        <w:textAlignment w:val="auto"/>
        <w:rPr>
          <w:rFonts w:hint="eastAsia" w:ascii="Times New Roman" w:hAnsi="Times New Roman" w:eastAsia="黑体" w:cs="黑体"/>
          <w:highlight w:val="none"/>
          <w:lang w:val="en-US" w:eastAsia="zh-CN"/>
        </w:rPr>
      </w:pPr>
      <w:r>
        <w:rPr>
          <w:rFonts w:hint="eastAsia" w:ascii="Times New Roman" w:hAnsi="Times New Roman" w:eastAsia="黑体" w:cs="黑体"/>
          <w:highlight w:val="none"/>
          <w:lang w:val="en-US" w:eastAsia="zh-CN"/>
        </w:rPr>
        <w:t>第一章 激发社会组织参与治理活力</w:t>
      </w:r>
    </w:p>
    <w:p w14:paraId="5579B4A7">
      <w:pPr>
        <w:shd w:val="clear"/>
        <w:bidi w:val="0"/>
        <w:rPr>
          <w:rFonts w:hint="eastAsia" w:ascii="Times New Roman" w:hAnsi="Times New Roman" w:eastAsia="楷体_GB2312" w:cs="楷体_GB2312"/>
          <w:highlight w:val="none"/>
          <w:lang w:val="en-US" w:eastAsia="zh-CN"/>
        </w:rPr>
      </w:pPr>
      <w:bookmarkStart w:id="158" w:name="_Toc5343"/>
      <w:bookmarkStart w:id="159" w:name="_Toc15786"/>
      <w:r>
        <w:rPr>
          <w:rFonts w:hint="eastAsia" w:ascii="Times New Roman" w:hAnsi="Times New Roman" w:eastAsia="楷体_GB2312" w:cs="楷体_GB2312"/>
          <w:highlight w:val="none"/>
          <w:lang w:val="en-US" w:eastAsia="zh-CN"/>
        </w:rPr>
        <w:t>一、</w:t>
      </w:r>
      <w:bookmarkEnd w:id="158"/>
      <w:r>
        <w:rPr>
          <w:rFonts w:hint="eastAsia" w:ascii="Times New Roman" w:hAnsi="Times New Roman" w:eastAsia="楷体_GB2312" w:cs="楷体_GB2312"/>
          <w:highlight w:val="none"/>
          <w:lang w:val="en-US" w:eastAsia="zh-CN"/>
        </w:rPr>
        <w:t>加强社会组织登记管理</w:t>
      </w:r>
      <w:bookmarkEnd w:id="159"/>
    </w:p>
    <w:p w14:paraId="148A18FD">
      <w:pPr>
        <w:shd w:val="clear"/>
        <w:bidi w:val="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lang w:val="en-US" w:eastAsia="zh-CN"/>
        </w:rPr>
        <w:t>围绕北京“四个中心”功能定位，着眼于朝阳区“五区”功能提升，配合业务主管单位支持科技、文化、战略新兴产业、未来产业等领域成立与发展社会组织。加强源头管理，发挥民政部门在登记环节的前置服务职能，加强咨询辅导和对社会组织名称、宗旨、业务范围发起人和责任人审查，提高登记审批质量。优化社会组织审批流程，建立“僵尸型”社会组织常态化清理机制，畅通退出渠道，推动建立优胜劣汰的社会组织发展格局。</w:t>
      </w:r>
    </w:p>
    <w:p w14:paraId="15C88FDF">
      <w:pPr>
        <w:shd w:val="clear"/>
        <w:bidi w:val="0"/>
        <w:rPr>
          <w:rFonts w:hint="eastAsia" w:ascii="Times New Roman" w:hAnsi="Times New Roman" w:eastAsia="楷体_GB2312" w:cs="楷体_GB2312"/>
          <w:highlight w:val="none"/>
          <w:lang w:val="en-US" w:eastAsia="zh-CN"/>
        </w:rPr>
      </w:pPr>
      <w:bookmarkStart w:id="160" w:name="_Toc11478"/>
      <w:r>
        <w:rPr>
          <w:rFonts w:hint="eastAsia" w:ascii="Times New Roman" w:hAnsi="Times New Roman" w:eastAsia="楷体_GB2312" w:cs="楷体_GB2312"/>
          <w:highlight w:val="none"/>
          <w:lang w:val="en-US" w:eastAsia="zh-CN"/>
        </w:rPr>
        <w:t>二、提升社会组织监管质效</w:t>
      </w:r>
      <w:bookmarkEnd w:id="160"/>
    </w:p>
    <w:p w14:paraId="7DDA5D6C">
      <w:pPr>
        <w:shd w:val="clear"/>
        <w:bidi w:val="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lang w:val="en-US" w:eastAsia="zh-CN"/>
        </w:rPr>
        <w:t>履行社会组织党建协同职责，严格落实社会组织党建“六同步、两纳入”工作机制，推进党建入章程，明确党组织在社会组织法人治理结构中的引领地位。推广党组织班子成员与管理层“双向进入、交叉任职”，建立党组织参与重大决策制度，推动党的组织和工作从有形覆盖向有效覆盖转变。履行登记管理机关监管职责，健全登记管理机关、业务主管单位、行业管理部门及相关部门协同监管机制。推进社会组织信用体系建设，到“十五五”末期，实现信用优良社会组织占比达50%。推行分类分级管理，落实信用信息公开与联合惩戒制度和评价结果运用。持续引导社会组织参加等级评估，强化评估结果动态管理，针对不同风险等级实施差异化监管。深化社会组织规范化建设，全面提升社会组织治理效能与发展质量。常态化打击非法社会组织，推动行政执法更加规范严格，持续净化社会组织</w:t>
      </w:r>
      <w:bookmarkStart w:id="161" w:name="_Toc27383"/>
      <w:bookmarkStart w:id="162" w:name="_Toc24931"/>
      <w:r>
        <w:rPr>
          <w:rFonts w:hint="eastAsia" w:ascii="Times New Roman" w:hAnsi="Times New Roman" w:eastAsia="仿宋_GB2312" w:cs="仿宋_GB2312"/>
          <w:highlight w:val="none"/>
          <w:lang w:val="en-US" w:eastAsia="zh-CN"/>
        </w:rPr>
        <w:t>生态。</w:t>
      </w:r>
    </w:p>
    <w:p w14:paraId="5249FD06">
      <w:pPr>
        <w:shd w:val="clear"/>
        <w:bidi w:val="0"/>
        <w:rPr>
          <w:rFonts w:hint="eastAsia" w:ascii="Times New Roman" w:hAnsi="Times New Roman" w:eastAsia="楷体_GB2312" w:cs="楷体_GB2312"/>
          <w:highlight w:val="none"/>
          <w:lang w:val="en-US" w:eastAsia="zh-CN"/>
        </w:rPr>
      </w:pPr>
      <w:r>
        <w:rPr>
          <w:rFonts w:hint="eastAsia" w:ascii="Times New Roman" w:hAnsi="Times New Roman" w:eastAsia="楷体_GB2312" w:cs="楷体_GB2312"/>
          <w:highlight w:val="none"/>
          <w:lang w:val="en-US" w:eastAsia="zh-CN"/>
        </w:rPr>
        <w:t>三、促进社会组织作用发挥</w:t>
      </w:r>
      <w:bookmarkEnd w:id="161"/>
      <w:bookmarkEnd w:id="162"/>
    </w:p>
    <w:p w14:paraId="603BCCF4">
      <w:pPr>
        <w:shd w:val="clear"/>
        <w:bidi w:val="0"/>
        <w:rPr>
          <w:rFonts w:hint="eastAsia" w:ascii="Times New Roman" w:hAnsi="Times New Roman" w:eastAsia="仿宋_GB2312" w:cs="仿宋_GB2312"/>
          <w:highlight w:val="none"/>
          <w:lang w:val="en-US" w:eastAsia="zh-CN"/>
        </w:rPr>
      </w:pPr>
      <w:bookmarkStart w:id="163" w:name="_Toc27755"/>
      <w:bookmarkStart w:id="164" w:name="_Toc10264"/>
      <w:bookmarkStart w:id="165" w:name="_Toc4782"/>
      <w:bookmarkStart w:id="166" w:name="_Toc31449"/>
      <w:bookmarkStart w:id="167" w:name="_Toc20128"/>
      <w:bookmarkStart w:id="168" w:name="_Toc15621"/>
      <w:r>
        <w:rPr>
          <w:rFonts w:hint="eastAsia" w:ascii="Times New Roman" w:hAnsi="Times New Roman" w:eastAsia="仿宋_GB2312" w:cs="仿宋_GB2312"/>
          <w:highlight w:val="none"/>
          <w:lang w:val="en-US" w:eastAsia="zh-CN"/>
        </w:rPr>
        <w:t>聚焦首都功能定位和提高“四个服务”水平，</w:t>
      </w:r>
      <w:r>
        <w:rPr>
          <w:rFonts w:hint="eastAsia" w:eastAsia="仿宋_GB2312" w:cs="仿宋_GB2312"/>
          <w:highlight w:val="none"/>
          <w:lang w:val="en-US" w:eastAsia="zh-CN"/>
        </w:rPr>
        <w:t>立足朝阳国际化资源禀赋，聚焦创新驱动与产业升级，</w:t>
      </w:r>
      <w:r>
        <w:rPr>
          <w:rFonts w:hint="eastAsia" w:ascii="Times New Roman" w:hAnsi="Times New Roman" w:eastAsia="仿宋_GB2312" w:cs="仿宋_GB2312"/>
          <w:highlight w:val="none"/>
          <w:lang w:val="en-US" w:eastAsia="zh-CN"/>
        </w:rPr>
        <w:t>重点支持符合首都功能定位和朝阳发展需要的社会组织。</w:t>
      </w:r>
      <w:r>
        <w:rPr>
          <w:rFonts w:hint="eastAsia" w:eastAsia="仿宋_GB2312" w:cs="仿宋_GB2312"/>
          <w:highlight w:val="none"/>
          <w:lang w:val="en-US" w:eastAsia="zh-CN"/>
        </w:rPr>
        <w:t>引导</w:t>
      </w:r>
      <w:r>
        <w:rPr>
          <w:rFonts w:hint="eastAsia" w:ascii="Times New Roman" w:hAnsi="Times New Roman" w:eastAsia="仿宋_GB2312" w:cs="仿宋_GB2312"/>
          <w:highlight w:val="none"/>
          <w:lang w:val="en-US" w:eastAsia="zh-CN"/>
        </w:rPr>
        <w:t>科技类社会组织发展，鼓励有条</w:t>
      </w:r>
      <w:r>
        <w:rPr>
          <w:rFonts w:hint="eastAsia" w:eastAsia="仿宋_GB2312" w:cs="仿宋_GB2312"/>
          <w:highlight w:val="none"/>
          <w:lang w:val="en-US" w:eastAsia="zh-CN"/>
        </w:rPr>
        <w:t>件的</w:t>
      </w:r>
      <w:r>
        <w:rPr>
          <w:rFonts w:hint="eastAsia" w:ascii="Times New Roman" w:hAnsi="Times New Roman" w:eastAsia="仿宋_GB2312" w:cs="仿宋_GB2312"/>
          <w:highlight w:val="none"/>
          <w:lang w:val="en-US" w:eastAsia="zh-CN"/>
        </w:rPr>
        <w:t>组织参与支持基础研究、科技创新、产业发展等重点任务，助力区域创新发展。鼓励社会组织在“一老一小”关爱服务、矛盾调解、文明城市创建、困难群体帮扶等方面发挥专业优势</w:t>
      </w:r>
      <w:r>
        <w:rPr>
          <w:rFonts w:hint="eastAsia" w:eastAsia="仿宋_GB2312" w:cs="仿宋_GB2312"/>
          <w:highlight w:val="none"/>
          <w:lang w:val="en-US" w:eastAsia="zh-CN"/>
        </w:rPr>
        <w:t>，推动全龄友好服务提质</w:t>
      </w:r>
      <w:r>
        <w:rPr>
          <w:rFonts w:hint="eastAsia" w:ascii="Times New Roman" w:hAnsi="Times New Roman" w:eastAsia="仿宋_GB2312" w:cs="仿宋_GB2312"/>
          <w:highlight w:val="none"/>
          <w:lang w:val="en-US" w:eastAsia="zh-CN"/>
        </w:rPr>
        <w:t>。</w:t>
      </w:r>
      <w:r>
        <w:rPr>
          <w:rFonts w:hint="eastAsia" w:eastAsia="仿宋_GB2312" w:cs="仿宋_GB2312"/>
          <w:highlight w:val="none"/>
          <w:lang w:val="en-US" w:eastAsia="zh-CN"/>
        </w:rPr>
        <w:t>依托</w:t>
      </w:r>
      <w:r>
        <w:rPr>
          <w:rFonts w:hint="eastAsia" w:ascii="Times New Roman" w:hAnsi="Times New Roman" w:eastAsia="仿宋_GB2312" w:cs="仿宋_GB2312"/>
          <w:highlight w:val="none"/>
          <w:lang w:val="en-US" w:eastAsia="zh-CN"/>
        </w:rPr>
        <w:t>国际组织在朝阳</w:t>
      </w:r>
      <w:r>
        <w:rPr>
          <w:rFonts w:hint="eastAsia" w:eastAsia="仿宋_GB2312" w:cs="仿宋_GB2312"/>
          <w:highlight w:val="none"/>
          <w:lang w:val="en-US" w:eastAsia="zh-CN"/>
        </w:rPr>
        <w:t>集聚优势</w:t>
      </w:r>
      <w:r>
        <w:rPr>
          <w:rFonts w:hint="eastAsia" w:ascii="Times New Roman" w:hAnsi="Times New Roman" w:eastAsia="仿宋_GB2312" w:cs="仿宋_GB2312"/>
          <w:highlight w:val="none"/>
          <w:lang w:val="en-US" w:eastAsia="zh-CN"/>
        </w:rPr>
        <w:t>，</w:t>
      </w:r>
      <w:r>
        <w:rPr>
          <w:rFonts w:hint="eastAsia" w:eastAsia="仿宋_GB2312" w:cs="仿宋_GB2312"/>
          <w:highlight w:val="none"/>
          <w:lang w:val="en-US" w:eastAsia="zh-CN"/>
        </w:rPr>
        <w:t>鼓励社会组织与之建立对接机制，支持其参与国际交流与商事服务，助力</w:t>
      </w:r>
      <w:r>
        <w:rPr>
          <w:rFonts w:hint="eastAsia" w:ascii="Times New Roman" w:hAnsi="Times New Roman" w:eastAsia="仿宋_GB2312" w:cs="仿宋_GB2312"/>
          <w:highlight w:val="none"/>
          <w:lang w:val="en-US" w:eastAsia="zh-CN"/>
        </w:rPr>
        <w:t>朝阳区国际交往中心建设，彰显国际化窗口优势。拓宽社会组织培训</w:t>
      </w:r>
      <w:r>
        <w:rPr>
          <w:rFonts w:hint="eastAsia" w:eastAsia="仿宋_GB2312" w:cs="仿宋_GB2312"/>
          <w:highlight w:val="none"/>
          <w:lang w:val="en-US" w:eastAsia="zh-CN"/>
        </w:rPr>
        <w:t>维度</w:t>
      </w:r>
      <w:r>
        <w:rPr>
          <w:rFonts w:hint="eastAsia" w:ascii="Times New Roman" w:hAnsi="Times New Roman" w:eastAsia="仿宋_GB2312" w:cs="仿宋_GB2312"/>
          <w:highlight w:val="none"/>
          <w:lang w:val="en-US" w:eastAsia="zh-CN"/>
        </w:rPr>
        <w:t>，持续夯实人才队伍基础。精心打造和培育一批代表朝阳水平、具有全国影响力、具有示范引领作用的社会组织</w:t>
      </w:r>
      <w:r>
        <w:rPr>
          <w:rFonts w:hint="eastAsia" w:eastAsia="仿宋_GB2312" w:cs="仿宋_GB2312"/>
          <w:highlight w:val="none"/>
          <w:lang w:val="en-US" w:eastAsia="zh-CN"/>
        </w:rPr>
        <w:t>，为朝阳经济社会发展注入强劲动力</w:t>
      </w:r>
      <w:r>
        <w:rPr>
          <w:rFonts w:hint="eastAsia" w:ascii="Times New Roman" w:hAnsi="Times New Roman" w:eastAsia="仿宋_GB2312" w:cs="仿宋_GB2312"/>
          <w:highlight w:val="none"/>
          <w:lang w:val="en-US" w:eastAsia="zh-CN"/>
        </w:rPr>
        <w:t>。</w:t>
      </w:r>
      <w:bookmarkEnd w:id="163"/>
      <w:bookmarkEnd w:id="164"/>
    </w:p>
    <w:p w14:paraId="63328076">
      <w:pPr>
        <w:keepNext w:val="0"/>
        <w:keepLines w:val="0"/>
        <w:pageBreakBefore w:val="0"/>
        <w:widowControl w:val="0"/>
        <w:shd w:val="clear"/>
        <w:kinsoku/>
        <w:wordWrap/>
        <w:overflowPunct/>
        <w:topLinePunct w:val="0"/>
        <w:autoSpaceDE/>
        <w:autoSpaceDN/>
        <w:bidi w:val="0"/>
        <w:adjustRightInd/>
        <w:snapToGrid/>
        <w:spacing w:before="292" w:beforeLines="50" w:after="292" w:afterLines="50"/>
        <w:jc w:val="center"/>
        <w:textAlignment w:val="auto"/>
        <w:rPr>
          <w:rFonts w:hint="eastAsia" w:ascii="Times New Roman" w:hAnsi="Times New Roman" w:eastAsia="黑体" w:cs="黑体"/>
          <w:highlight w:val="none"/>
          <w:lang w:val="en-US" w:eastAsia="zh-CN"/>
        </w:rPr>
      </w:pPr>
      <w:r>
        <w:rPr>
          <w:rFonts w:hint="eastAsia" w:ascii="Times New Roman" w:hAnsi="Times New Roman" w:eastAsia="黑体" w:cs="黑体"/>
          <w:highlight w:val="none"/>
          <w:lang w:val="en-US" w:eastAsia="zh-CN"/>
        </w:rPr>
        <w:t xml:space="preserve">第二章 </w:t>
      </w:r>
      <w:bookmarkEnd w:id="165"/>
      <w:bookmarkEnd w:id="166"/>
      <w:bookmarkStart w:id="169" w:name="_Toc1337"/>
      <w:r>
        <w:rPr>
          <w:rFonts w:hint="eastAsia" w:ascii="Times New Roman" w:hAnsi="Times New Roman" w:eastAsia="黑体" w:cs="黑体"/>
          <w:highlight w:val="none"/>
          <w:lang w:val="en-US" w:eastAsia="zh-CN"/>
        </w:rPr>
        <w:t>推动慈善事业高质量发展</w:t>
      </w:r>
    </w:p>
    <w:p w14:paraId="01DFF835">
      <w:pPr>
        <w:shd w:val="clear"/>
        <w:bidi w:val="0"/>
        <w:rPr>
          <w:rFonts w:hint="eastAsia" w:ascii="Times New Roman" w:hAnsi="Times New Roman" w:eastAsia="楷体_GB2312" w:cs="楷体_GB2312"/>
          <w:highlight w:val="none"/>
          <w:lang w:val="en-US" w:eastAsia="zh-CN"/>
        </w:rPr>
      </w:pPr>
      <w:bookmarkStart w:id="170" w:name="_Toc21020"/>
      <w:r>
        <w:rPr>
          <w:rFonts w:hint="eastAsia" w:ascii="Times New Roman" w:hAnsi="Times New Roman" w:eastAsia="楷体_GB2312" w:cs="楷体_GB2312"/>
          <w:highlight w:val="none"/>
          <w:lang w:val="en-US" w:eastAsia="zh-CN"/>
        </w:rPr>
        <w:t>一、</w:t>
      </w:r>
      <w:bookmarkEnd w:id="169"/>
      <w:bookmarkEnd w:id="170"/>
      <w:bookmarkStart w:id="171" w:name="_Toc31103"/>
      <w:r>
        <w:rPr>
          <w:rFonts w:hint="eastAsia" w:ascii="Times New Roman" w:hAnsi="Times New Roman" w:eastAsia="楷体_GB2312" w:cs="楷体_GB2312"/>
          <w:highlight w:val="none"/>
          <w:lang w:val="en-US" w:eastAsia="zh-CN"/>
        </w:rPr>
        <w:t>促进慈善事业健康有序发展</w:t>
      </w:r>
    </w:p>
    <w:p w14:paraId="2C4612E5">
      <w:pPr>
        <w:shd w:val="clear"/>
        <w:bidi w:val="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lang w:val="en-US" w:eastAsia="zh-CN"/>
        </w:rPr>
        <w:t>落实本区促进慈善事业发展的有关工作，促进全区慈善事业高质量发展，深入贯彻慈善法，推动构建具有朝阳特色的慈善发展格局，充分发挥第三次分配作用。依托朝阳区慈善协会枢纽作用，强化行业统筹、行业联动、行业协作，</w:t>
      </w:r>
      <w:r>
        <w:rPr>
          <w:rFonts w:hint="eastAsia" w:ascii="仿宋_GB2312" w:hAnsi="仿宋_GB2312" w:eastAsia="仿宋_GB2312" w:cs="仿宋_GB2312"/>
          <w:color w:val="auto"/>
          <w:highlight w:val="none"/>
          <w:lang w:val="en-US" w:eastAsia="zh-CN"/>
        </w:rPr>
        <w:t>通过线上线下相结合的方式广泛开展慈善募捐；实施“慈善助困”“慈善助医”“慈善助学”“慈善助老”等慈善帮扶项目</w:t>
      </w:r>
      <w:r>
        <w:rPr>
          <w:rFonts w:hint="eastAsia" w:ascii="Times New Roman" w:hAnsi="Times New Roman" w:eastAsia="仿宋_GB2312" w:cs="仿宋_GB2312"/>
          <w:highlight w:val="none"/>
          <w:lang w:val="en-US" w:eastAsia="zh-CN"/>
        </w:rPr>
        <w:t>。推动基层慈善工作规范化建设，提升基层慈善服务水平。坚持党建引领，做到“四化四同步”，坚持组织化，做到慈善事业发展与党的建设同步；坚持属地化，做到品牌推介与街乡报到同步；坚持网格化，做到项目支持与救助服务同步；坚持数字化，做到供需对接与综合监管同步。</w:t>
      </w:r>
    </w:p>
    <w:p w14:paraId="2B1A6849">
      <w:pPr>
        <w:shd w:val="clear"/>
        <w:bidi w:val="0"/>
        <w:rPr>
          <w:rFonts w:hint="eastAsia" w:ascii="Times New Roman" w:hAnsi="Times New Roman" w:eastAsia="楷体_GB2312" w:cs="楷体_GB2312"/>
          <w:highlight w:val="none"/>
          <w:lang w:val="en-US" w:eastAsia="zh-CN"/>
        </w:rPr>
      </w:pPr>
      <w:bookmarkStart w:id="172" w:name="_Toc21485"/>
      <w:r>
        <w:rPr>
          <w:rFonts w:hint="eastAsia" w:ascii="Times New Roman" w:hAnsi="Times New Roman" w:eastAsia="楷体_GB2312" w:cs="楷体_GB2312"/>
          <w:highlight w:val="none"/>
          <w:lang w:val="en-US" w:eastAsia="zh-CN"/>
        </w:rPr>
        <w:t>二、</w:t>
      </w:r>
      <w:bookmarkEnd w:id="172"/>
      <w:r>
        <w:rPr>
          <w:rFonts w:hint="eastAsia" w:ascii="Times New Roman" w:hAnsi="Times New Roman" w:eastAsia="楷体_GB2312" w:cs="楷体_GB2312"/>
          <w:highlight w:val="none"/>
          <w:lang w:val="en-US" w:eastAsia="zh-CN"/>
        </w:rPr>
        <w:t>完善基层慈善服务网络体系</w:t>
      </w:r>
    </w:p>
    <w:p w14:paraId="0321C2C1">
      <w:pPr>
        <w:shd w:val="clear"/>
        <w:bidi w:val="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rPr>
        <w:t>探索构建公益生态圈的基层实践，推动慈善与救助协同赋能、融合发展</w:t>
      </w:r>
      <w:r>
        <w:rPr>
          <w:rFonts w:hint="eastAsia" w:ascii="Times New Roman" w:hAnsi="Times New Roman" w:eastAsia="仿宋_GB2312" w:cs="仿宋_GB2312"/>
          <w:highlight w:val="none"/>
          <w:lang w:eastAsia="zh-CN"/>
        </w:rPr>
        <w:t>。</w:t>
      </w:r>
      <w:r>
        <w:rPr>
          <w:rFonts w:hint="eastAsia" w:ascii="Times New Roman" w:hAnsi="Times New Roman" w:eastAsia="仿宋_GB2312" w:cs="仿宋_GB2312"/>
          <w:highlight w:val="none"/>
          <w:lang w:val="en-US" w:eastAsia="zh-CN"/>
        </w:rPr>
        <w:t>实施基层慈善服务能力提升行动，加强基层慈善站点“一站多能”建设，推动慈善资源向街道（乡）、社区（村）拓展，到2030年，街道（乡）慈善工作站覆盖率达到100%。依托现有设施整合基层公益慈善资源，在街道（乡）层面建设集慈善捐赠、帮扶救助、志愿服务、活动开展、互助互济等功能为一体的“一站式”慈善工作平台。创新慈善捐赠形式，加快发展以互联网为载体、线上线下互动的网络慈善，鼓励开展网络“时时捐”“月月捐”“随手捐”。</w:t>
      </w:r>
      <w:bookmarkEnd w:id="171"/>
      <w:bookmarkStart w:id="173" w:name="_Toc5407"/>
      <w:bookmarkStart w:id="174" w:name="_Toc23404"/>
      <w:r>
        <w:rPr>
          <w:rFonts w:hint="eastAsia" w:ascii="Times New Roman" w:hAnsi="Times New Roman" w:eastAsia="仿宋_GB2312" w:cs="仿宋_GB2312"/>
          <w:highlight w:val="none"/>
          <w:lang w:val="en-US" w:eastAsia="zh-CN"/>
        </w:rPr>
        <w:t>适时引导有条件的街（乡）、社区（村）设立慈善信托，推动慈善信托健康有序发展。</w:t>
      </w:r>
    </w:p>
    <w:p w14:paraId="03060520">
      <w:pPr>
        <w:shd w:val="clear"/>
        <w:bidi w:val="0"/>
        <w:rPr>
          <w:rFonts w:hint="eastAsia" w:ascii="Times New Roman" w:hAnsi="Times New Roman" w:eastAsia="楷体_GB2312" w:cs="楷体_GB2312"/>
          <w:highlight w:val="none"/>
          <w:lang w:val="en-US" w:eastAsia="zh-CN"/>
        </w:rPr>
      </w:pPr>
      <w:r>
        <w:rPr>
          <w:rFonts w:hint="eastAsia" w:ascii="Times New Roman" w:hAnsi="Times New Roman" w:eastAsia="楷体_GB2312" w:cs="楷体_GB2312"/>
          <w:highlight w:val="none"/>
          <w:lang w:val="en-US" w:eastAsia="zh-CN"/>
        </w:rPr>
        <w:t>三、</w:t>
      </w:r>
      <w:bookmarkEnd w:id="173"/>
      <w:bookmarkEnd w:id="174"/>
      <w:r>
        <w:rPr>
          <w:rFonts w:hint="eastAsia" w:ascii="Times New Roman" w:hAnsi="Times New Roman" w:eastAsia="楷体_GB2312" w:cs="楷体_GB2312"/>
          <w:highlight w:val="none"/>
          <w:lang w:val="en-US" w:eastAsia="zh-CN"/>
        </w:rPr>
        <w:t>打造朝阳特色慈善品牌</w:t>
      </w:r>
    </w:p>
    <w:p w14:paraId="256F7923">
      <w:pPr>
        <w:shd w:val="clear"/>
        <w:bidi w:val="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lang w:val="en-US" w:eastAsia="zh-CN"/>
        </w:rPr>
        <w:t>从“社会都关注、公众真需要、服务可持续”出发，做实慈善基础，做大慈善力量，做好慈善宣传，做强“</w:t>
      </w:r>
      <w:r>
        <w:rPr>
          <w:rFonts w:hint="eastAsia" w:eastAsia="仿宋_GB2312" w:cs="仿宋_GB2312"/>
          <w:highlight w:val="none"/>
          <w:lang w:val="en-US" w:eastAsia="zh-CN"/>
        </w:rPr>
        <w:t>慈善朝阳</w:t>
      </w:r>
      <w:r>
        <w:rPr>
          <w:rFonts w:hint="eastAsia" w:ascii="Times New Roman" w:hAnsi="Times New Roman" w:eastAsia="仿宋_GB2312" w:cs="仿宋_GB2312"/>
          <w:highlight w:val="none"/>
          <w:lang w:val="en-US" w:eastAsia="zh-CN"/>
        </w:rPr>
        <w:t>”品牌。统筹各类慈善资源，在扶贫济困、大病救助、为老服务等领域集中推出一批创新型、示范性、联合性重大项目。加强慈善宣传引导，广泛开展“共产党员献爱心”及慈善文化进机关、进企业、进乡村、进社区、进家庭活动，讲好群众身边的慈善故事。充分利用新媒体开展慈善文化宣传，营造崇德向善的区域文化氛围。</w:t>
      </w:r>
      <w:bookmarkStart w:id="175" w:name="_Toc9542"/>
      <w:bookmarkStart w:id="176" w:name="_Toc21018"/>
    </w:p>
    <w:p w14:paraId="4193A2C5">
      <w:pPr>
        <w:shd w:val="clear"/>
        <w:bidi w:val="0"/>
        <w:rPr>
          <w:rFonts w:hint="eastAsia" w:ascii="Times New Roman" w:hAnsi="Times New Roman" w:eastAsia="楷体_GB2312" w:cs="楷体_GB2312"/>
          <w:highlight w:val="none"/>
          <w:lang w:val="en-US" w:eastAsia="zh-CN"/>
        </w:rPr>
      </w:pPr>
      <w:r>
        <w:rPr>
          <w:rFonts w:hint="eastAsia" w:ascii="Times New Roman" w:hAnsi="Times New Roman" w:eastAsia="楷体_GB2312" w:cs="楷体_GB2312"/>
          <w:highlight w:val="none"/>
          <w:lang w:val="en-US" w:eastAsia="zh-CN"/>
        </w:rPr>
        <w:t>四、</w:t>
      </w:r>
      <w:bookmarkEnd w:id="175"/>
      <w:bookmarkEnd w:id="176"/>
      <w:r>
        <w:rPr>
          <w:rFonts w:hint="eastAsia" w:ascii="Times New Roman" w:hAnsi="Times New Roman" w:eastAsia="楷体_GB2312" w:cs="楷体_GB2312"/>
          <w:highlight w:val="none"/>
          <w:lang w:val="en-US" w:eastAsia="zh-CN"/>
        </w:rPr>
        <w:t>强化慈善领域监管</w:t>
      </w:r>
    </w:p>
    <w:p w14:paraId="11DB7F2E">
      <w:pPr>
        <w:shd w:val="clear"/>
        <w:bidi w:val="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lang w:val="en-US" w:eastAsia="zh-CN"/>
        </w:rPr>
        <w:t>巩固深化公益慈善领域专项治理成效，加强慈善组织内部治理</w:t>
      </w:r>
      <w:r>
        <w:rPr>
          <w:rFonts w:hint="eastAsia" w:ascii="仿宋_GB2312" w:hAnsi="仿宋_GB2312" w:eastAsia="仿宋_GB2312" w:cs="仿宋_GB2312"/>
          <w:color w:val="auto"/>
          <w:highlight w:val="none"/>
          <w:lang w:val="en-US" w:eastAsia="zh-CN"/>
        </w:rPr>
        <w:t>，督促慈善组织、慈善信托受托人履行信息公开义务</w:t>
      </w:r>
      <w:r>
        <w:rPr>
          <w:rFonts w:hint="eastAsia" w:ascii="Times New Roman" w:hAnsi="Times New Roman" w:eastAsia="仿宋_GB2312" w:cs="仿宋_GB2312"/>
          <w:highlight w:val="none"/>
          <w:lang w:val="en-US" w:eastAsia="zh-CN"/>
        </w:rPr>
        <w:t>。</w:t>
      </w:r>
      <w:r>
        <w:rPr>
          <w:rFonts w:hint="eastAsia" w:ascii="仿宋_GB2312" w:hAnsi="仿宋_GB2312" w:eastAsia="仿宋_GB2312" w:cs="仿宋_GB2312"/>
          <w:color w:val="auto"/>
          <w:highlight w:val="none"/>
          <w:lang w:val="en-US" w:eastAsia="zh-CN"/>
        </w:rPr>
        <w:t>加强党建引领，规范慈善组织内部监督机制、财产管理使用、项目管理等制度，</w:t>
      </w:r>
      <w:r>
        <w:rPr>
          <w:rFonts w:hint="eastAsia" w:ascii="Times New Roman" w:hAnsi="Times New Roman" w:eastAsia="仿宋_GB2312" w:cs="仿宋_GB2312"/>
          <w:highlight w:val="none"/>
          <w:lang w:val="en-US" w:eastAsia="zh-CN"/>
        </w:rPr>
        <w:t>严格落实慈善活动年度支出、管理费用、募捐成本有关规定。加强慈善信托监管，完善强化事前沟通、事中跟踪、事后评估全流程监管机制。健全慈善领域部门协同机制，完善慈善组织监管、执法工作衔接机制</w:t>
      </w:r>
      <w:r>
        <w:rPr>
          <w:rFonts w:hint="eastAsia" w:ascii="仿宋_GB2312" w:hAnsi="仿宋_GB2312" w:eastAsia="仿宋_GB2312" w:cs="仿宋_GB2312"/>
          <w:color w:val="auto"/>
          <w:highlight w:val="none"/>
          <w:lang w:val="en-US" w:eastAsia="zh-CN"/>
        </w:rPr>
        <w:t>，</w:t>
      </w:r>
      <w:r>
        <w:rPr>
          <w:rFonts w:hint="eastAsia" w:ascii="Times New Roman" w:hAnsi="Times New Roman" w:eastAsia="仿宋_GB2312" w:cs="仿宋_GB2312"/>
          <w:highlight w:val="none"/>
          <w:lang w:val="en-US" w:eastAsia="zh-CN"/>
        </w:rPr>
        <w:t>促进慈善事业健康发展。</w:t>
      </w:r>
    </w:p>
    <w:bookmarkEnd w:id="167"/>
    <w:p w14:paraId="1818DF66">
      <w:pPr>
        <w:keepNext w:val="0"/>
        <w:keepLines w:val="0"/>
        <w:pageBreakBefore w:val="0"/>
        <w:widowControl w:val="0"/>
        <w:numPr>
          <w:ilvl w:val="0"/>
          <w:numId w:val="0"/>
        </w:numPr>
        <w:shd w:val="clear"/>
        <w:kinsoku/>
        <w:wordWrap/>
        <w:overflowPunct/>
        <w:topLinePunct w:val="0"/>
        <w:autoSpaceDE/>
        <w:autoSpaceDN/>
        <w:bidi w:val="0"/>
        <w:adjustRightInd/>
        <w:snapToGrid/>
        <w:spacing w:before="292" w:beforeLines="50" w:after="292" w:afterLines="50"/>
        <w:jc w:val="center"/>
        <w:textAlignment w:val="auto"/>
        <w:rPr>
          <w:rFonts w:hint="eastAsia" w:ascii="Times New Roman" w:hAnsi="Times New Roman" w:eastAsia="黑体" w:cs="黑体"/>
          <w:highlight w:val="none"/>
          <w:lang w:val="en-US" w:eastAsia="zh-CN"/>
        </w:rPr>
      </w:pPr>
      <w:r>
        <w:rPr>
          <w:rFonts w:hint="eastAsia" w:ascii="Times New Roman" w:hAnsi="Times New Roman" w:eastAsia="黑体" w:cs="黑体"/>
          <w:highlight w:val="none"/>
          <w:lang w:val="en-US" w:eastAsia="zh-CN"/>
        </w:rPr>
        <w:t>第三章 提升行政区划科学管理水平</w:t>
      </w:r>
      <w:bookmarkEnd w:id="168"/>
      <w:bookmarkStart w:id="177" w:name="_Toc5810"/>
      <w:bookmarkStart w:id="178" w:name="_Toc21896"/>
    </w:p>
    <w:bookmarkEnd w:id="177"/>
    <w:bookmarkEnd w:id="178"/>
    <w:p w14:paraId="77665110">
      <w:pPr>
        <w:shd w:val="clear"/>
        <w:bidi w:val="0"/>
        <w:rPr>
          <w:rFonts w:hint="eastAsia" w:ascii="Times New Roman" w:hAnsi="Times New Roman" w:eastAsia="楷体_GB2312" w:cs="楷体_GB2312"/>
          <w:highlight w:val="none"/>
          <w:lang w:val="en-US" w:eastAsia="zh-CN"/>
        </w:rPr>
      </w:pPr>
      <w:r>
        <w:rPr>
          <w:rFonts w:hint="eastAsia" w:ascii="Times New Roman" w:hAnsi="Times New Roman" w:eastAsia="楷体_GB2312" w:cs="楷体_GB2312"/>
          <w:highlight w:val="none"/>
          <w:lang w:val="en-US" w:eastAsia="zh-CN"/>
        </w:rPr>
        <w:t>一、加强行政区划总体统筹谋划</w:t>
      </w:r>
      <w:bookmarkStart w:id="179" w:name="_Toc26352"/>
      <w:bookmarkStart w:id="180" w:name="_Toc12497"/>
    </w:p>
    <w:p w14:paraId="41BBEC8D">
      <w:pPr>
        <w:shd w:val="clear"/>
        <w:bidi w:val="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lang w:val="en-US" w:eastAsia="zh-CN"/>
        </w:rPr>
        <w:t>强化行政区划政治属性，严格落实行政区划调整请示报告制度。坚持“完善布局、提升效能、便民利民”原则，聚焦重点项目建设及重点功能区，统筹考虑人口规模、产业结构、公共服务半径等要素，稳慎开展行政区划优化设置。加强行政区划历史文化的传承保护利用研究，推动夯实行政区划的历史文化根基。</w:t>
      </w:r>
      <w:bookmarkEnd w:id="179"/>
      <w:bookmarkStart w:id="181" w:name="_Toc29595"/>
    </w:p>
    <w:p w14:paraId="252F185A">
      <w:pPr>
        <w:shd w:val="clear"/>
        <w:bidi w:val="0"/>
        <w:rPr>
          <w:rFonts w:hint="eastAsia" w:ascii="Times New Roman" w:hAnsi="Times New Roman" w:eastAsia="楷体_GB2312" w:cs="楷体_GB2312"/>
          <w:highlight w:val="none"/>
          <w:lang w:val="en-US" w:eastAsia="zh-CN"/>
        </w:rPr>
      </w:pPr>
      <w:r>
        <w:rPr>
          <w:rFonts w:hint="eastAsia" w:ascii="Times New Roman" w:hAnsi="Times New Roman" w:eastAsia="楷体_GB2312" w:cs="楷体_GB2312"/>
          <w:highlight w:val="none"/>
          <w:lang w:val="en-US" w:eastAsia="zh-CN"/>
        </w:rPr>
        <w:t>二</w:t>
      </w:r>
      <w:bookmarkEnd w:id="180"/>
      <w:bookmarkEnd w:id="181"/>
      <w:bookmarkStart w:id="182" w:name="_Toc21775"/>
      <w:bookmarkStart w:id="183" w:name="_Toc24230"/>
      <w:r>
        <w:rPr>
          <w:rFonts w:hint="eastAsia" w:ascii="Times New Roman" w:hAnsi="Times New Roman" w:eastAsia="楷体_GB2312" w:cs="楷体_GB2312"/>
          <w:highlight w:val="none"/>
          <w:lang w:val="en-US" w:eastAsia="zh-CN"/>
        </w:rPr>
        <w:t>、提升界线管理精细化水平</w:t>
      </w:r>
      <w:bookmarkEnd w:id="182"/>
      <w:bookmarkEnd w:id="183"/>
    </w:p>
    <w:p w14:paraId="1FF1E351">
      <w:pPr>
        <w:shd w:val="clear"/>
        <w:bidi w:val="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lang w:val="en-US" w:eastAsia="zh-CN"/>
        </w:rPr>
        <w:t>深化“平安边界”创建，建立健全界线纠纷隐患排查机制，扎实开展联合检查与巡查，确保边界地区社会稳定。强化界线界桩规范维护管理，严格执行行政区域界线联合检查制度，确保界桩方位清晰、标志完好。提升界线管理数字化水平，利用地理信息系统等技术手段辅助提升行政区划管理效能，精准服务区域精细化治理。</w:t>
      </w:r>
    </w:p>
    <w:p w14:paraId="315DCE08">
      <w:pPr>
        <w:keepNext w:val="0"/>
        <w:keepLines w:val="0"/>
        <w:pageBreakBefore w:val="0"/>
        <w:widowControl w:val="0"/>
        <w:shd w:val="clear"/>
        <w:kinsoku/>
        <w:wordWrap/>
        <w:overflowPunct/>
        <w:topLinePunct w:val="0"/>
        <w:autoSpaceDE/>
        <w:autoSpaceDN/>
        <w:bidi w:val="0"/>
        <w:adjustRightInd/>
        <w:snapToGrid/>
        <w:spacing w:before="581" w:beforeLines="100" w:after="581" w:afterLines="100"/>
        <w:ind w:left="0" w:leftChars="0" w:firstLine="0" w:firstLineChars="0"/>
        <w:jc w:val="center"/>
        <w:textAlignment w:val="auto"/>
        <w:rPr>
          <w:rFonts w:hint="eastAsia" w:ascii="Times New Roman" w:hAnsi="Times New Roman" w:eastAsia="黑体" w:cs="黑体"/>
          <w:highlight w:val="none"/>
          <w:lang w:val="en-US" w:eastAsia="zh-CN"/>
        </w:rPr>
      </w:pPr>
      <w:bookmarkStart w:id="184" w:name="_Toc27019"/>
      <w:r>
        <w:rPr>
          <w:rFonts w:hint="eastAsia" w:ascii="Times New Roman" w:hAnsi="Times New Roman" w:eastAsia="黑体" w:cs="黑体"/>
          <w:highlight w:val="none"/>
          <w:lang w:val="en-US" w:eastAsia="zh-CN"/>
        </w:rPr>
        <w:t xml:space="preserve">第七篇 </w:t>
      </w:r>
      <w:bookmarkEnd w:id="184"/>
      <w:r>
        <w:rPr>
          <w:rFonts w:hint="eastAsia" w:ascii="Times New Roman" w:hAnsi="Times New Roman" w:eastAsia="黑体" w:cs="黑体"/>
          <w:highlight w:val="none"/>
          <w:lang w:val="en-US" w:eastAsia="zh-CN"/>
        </w:rPr>
        <w:t>扎实做好规划实施的支撑保障工作</w:t>
      </w:r>
    </w:p>
    <w:p w14:paraId="3B1C2A80">
      <w:pPr>
        <w:keepNext w:val="0"/>
        <w:keepLines w:val="0"/>
        <w:pageBreakBefore w:val="0"/>
        <w:widowControl w:val="0"/>
        <w:shd w:val="clear"/>
        <w:kinsoku/>
        <w:wordWrap/>
        <w:overflowPunct/>
        <w:topLinePunct w:val="0"/>
        <w:autoSpaceDE/>
        <w:autoSpaceDN/>
        <w:bidi w:val="0"/>
        <w:adjustRightInd/>
        <w:snapToGrid/>
        <w:spacing w:before="292" w:beforeLines="50" w:after="292" w:afterLines="50"/>
        <w:ind w:left="0" w:leftChars="0" w:firstLine="0" w:firstLineChars="0"/>
        <w:jc w:val="center"/>
        <w:textAlignment w:val="auto"/>
        <w:rPr>
          <w:rFonts w:hint="eastAsia" w:ascii="Times New Roman" w:hAnsi="Times New Roman" w:eastAsia="黑体" w:cs="黑体"/>
          <w:highlight w:val="none"/>
          <w:lang w:val="en-US" w:eastAsia="zh-CN"/>
        </w:rPr>
      </w:pPr>
      <w:r>
        <w:rPr>
          <w:rFonts w:hint="eastAsia" w:ascii="Times New Roman" w:hAnsi="Times New Roman" w:eastAsia="黑体" w:cs="黑体"/>
          <w:highlight w:val="none"/>
          <w:lang w:val="en-US" w:eastAsia="zh-CN"/>
        </w:rPr>
        <w:t>第一章 加强组织领导</w:t>
      </w:r>
    </w:p>
    <w:p w14:paraId="259ABA48">
      <w:pPr>
        <w:shd w:val="clear"/>
        <w:bidi w:val="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lang w:val="en-US" w:eastAsia="zh-CN"/>
        </w:rPr>
        <w:t>深入学习贯彻习近平新时代中国特色社会主义思想，全面贯彻落实习近平总书记关于民政工作的重要论述，确保党中央决策部署、市委市政府及</w:t>
      </w:r>
      <w:bookmarkStart w:id="198" w:name="_GoBack"/>
      <w:r>
        <w:rPr>
          <w:rFonts w:hint="eastAsia" w:ascii="Times New Roman" w:hAnsi="Times New Roman" w:eastAsia="仿宋_GB2312" w:cs="仿宋_GB2312"/>
          <w:highlight w:val="none"/>
          <w:lang w:val="en-US" w:eastAsia="zh-CN"/>
        </w:rPr>
        <w:t>区委区政府</w:t>
      </w:r>
      <w:bookmarkEnd w:id="198"/>
      <w:r>
        <w:rPr>
          <w:rFonts w:hint="eastAsia" w:ascii="Times New Roman" w:hAnsi="Times New Roman" w:eastAsia="仿宋_GB2312" w:cs="仿宋_GB2312"/>
          <w:highlight w:val="none"/>
          <w:lang w:val="en-US" w:eastAsia="zh-CN"/>
        </w:rPr>
        <w:t>工作要求落地见效。建立责任落实机制，把加强党的全面领导贯彻规划实施各领域、全过程。落实年度监测分析、中期评估和终期评估机制，适时对重点任务、重要领域进行督导，确保规划确定的指标任务落地落实。坚定不移推进全面从严治党，坚决整治侵害群众利益的不正之风，为规划目标任务落实提供坚强保障。强化部门协同，</w:t>
      </w:r>
      <w:r>
        <w:rPr>
          <w:rFonts w:hint="eastAsia" w:ascii="Times New Roman" w:hAnsi="Times New Roman" w:eastAsia="仿宋_GB2312" w:cs="仿宋_GB2312"/>
          <w:sz w:val="32"/>
          <w:szCs w:val="22"/>
          <w:highlight w:val="none"/>
        </w:rPr>
        <w:t>健全</w:t>
      </w:r>
      <w:r>
        <w:rPr>
          <w:rFonts w:hint="eastAsia" w:ascii="Times New Roman" w:hAnsi="Times New Roman" w:eastAsia="仿宋_GB2312" w:cs="仿宋_GB2312"/>
          <w:b w:val="0"/>
          <w:bCs w:val="0"/>
          <w:sz w:val="32"/>
          <w:szCs w:val="22"/>
          <w:highlight w:val="none"/>
        </w:rPr>
        <w:t>跨部门协同联动机制</w:t>
      </w:r>
      <w:r>
        <w:rPr>
          <w:rFonts w:hint="eastAsia" w:ascii="Times New Roman" w:hAnsi="Times New Roman" w:eastAsia="仿宋_GB2312" w:cs="仿宋_GB2312"/>
          <w:sz w:val="32"/>
          <w:szCs w:val="22"/>
          <w:highlight w:val="none"/>
        </w:rPr>
        <w:t>，强化</w:t>
      </w:r>
      <w:r>
        <w:rPr>
          <w:rFonts w:hint="eastAsia" w:ascii="Times New Roman" w:hAnsi="Times New Roman" w:eastAsia="仿宋_GB2312" w:cs="仿宋_GB2312"/>
          <w:sz w:val="32"/>
          <w:szCs w:val="22"/>
          <w:highlight w:val="none"/>
          <w:lang w:eastAsia="zh-CN"/>
        </w:rPr>
        <w:t>同</w:t>
      </w:r>
      <w:r>
        <w:rPr>
          <w:rFonts w:hint="eastAsia" w:ascii="Times New Roman" w:hAnsi="Times New Roman" w:eastAsia="仿宋_GB2312" w:cs="仿宋_GB2312"/>
          <w:sz w:val="32"/>
          <w:szCs w:val="22"/>
          <w:highlight w:val="none"/>
        </w:rPr>
        <w:t>人社、卫健、</w:t>
      </w:r>
      <w:r>
        <w:rPr>
          <w:rFonts w:hint="eastAsia" w:ascii="Times New Roman" w:hAnsi="Times New Roman" w:eastAsia="仿宋_GB2312" w:cs="仿宋_GB2312"/>
          <w:sz w:val="32"/>
          <w:szCs w:val="22"/>
          <w:highlight w:val="none"/>
          <w:lang w:eastAsia="zh-CN"/>
        </w:rPr>
        <w:t>残联、公安</w:t>
      </w:r>
      <w:r>
        <w:rPr>
          <w:rFonts w:hint="eastAsia" w:ascii="Times New Roman" w:hAnsi="Times New Roman" w:eastAsia="仿宋_GB2312" w:cs="仿宋_GB2312"/>
          <w:sz w:val="32"/>
          <w:szCs w:val="22"/>
          <w:highlight w:val="none"/>
        </w:rPr>
        <w:t>等</w:t>
      </w:r>
      <w:r>
        <w:rPr>
          <w:rFonts w:hint="eastAsia" w:ascii="Times New Roman" w:hAnsi="Times New Roman" w:eastAsia="仿宋_GB2312" w:cs="仿宋_GB2312"/>
          <w:sz w:val="32"/>
          <w:szCs w:val="22"/>
          <w:highlight w:val="none"/>
          <w:lang w:eastAsia="zh-CN"/>
        </w:rPr>
        <w:t>各</w:t>
      </w:r>
      <w:r>
        <w:rPr>
          <w:rFonts w:hint="eastAsia" w:ascii="Times New Roman" w:hAnsi="Times New Roman" w:eastAsia="仿宋_GB2312" w:cs="仿宋_GB2312"/>
          <w:sz w:val="32"/>
          <w:szCs w:val="22"/>
          <w:highlight w:val="none"/>
        </w:rPr>
        <w:t>部门常态化沟通会商，形成分工明确、衔接顺畅、协同高效的工作格局。</w:t>
      </w:r>
    </w:p>
    <w:p w14:paraId="29ED5CBD">
      <w:pPr>
        <w:keepNext w:val="0"/>
        <w:keepLines w:val="0"/>
        <w:pageBreakBefore w:val="0"/>
        <w:widowControl w:val="0"/>
        <w:shd w:val="clear"/>
        <w:kinsoku/>
        <w:wordWrap/>
        <w:overflowPunct/>
        <w:topLinePunct w:val="0"/>
        <w:autoSpaceDE/>
        <w:autoSpaceDN/>
        <w:bidi w:val="0"/>
        <w:adjustRightInd/>
        <w:snapToGrid/>
        <w:spacing w:before="292" w:beforeLines="50" w:after="292" w:afterLines="50"/>
        <w:ind w:left="0" w:leftChars="0" w:firstLine="0" w:firstLineChars="0"/>
        <w:jc w:val="center"/>
        <w:textAlignment w:val="auto"/>
        <w:rPr>
          <w:rFonts w:hint="eastAsia" w:ascii="Times New Roman" w:hAnsi="Times New Roman" w:eastAsia="黑体" w:cs="黑体"/>
          <w:highlight w:val="none"/>
          <w:lang w:val="en-US" w:eastAsia="zh-CN"/>
        </w:rPr>
      </w:pPr>
      <w:bookmarkStart w:id="185" w:name="_Toc12276"/>
      <w:r>
        <w:rPr>
          <w:rFonts w:hint="eastAsia" w:ascii="Times New Roman" w:hAnsi="Times New Roman" w:eastAsia="黑体" w:cs="黑体"/>
          <w:highlight w:val="none"/>
          <w:lang w:val="en-US" w:eastAsia="zh-CN"/>
        </w:rPr>
        <w:t xml:space="preserve">第二章 </w:t>
      </w:r>
      <w:bookmarkEnd w:id="185"/>
      <w:r>
        <w:rPr>
          <w:rFonts w:hint="eastAsia" w:ascii="Times New Roman" w:hAnsi="Times New Roman" w:eastAsia="黑体" w:cs="黑体"/>
          <w:highlight w:val="none"/>
          <w:lang w:val="en-US" w:eastAsia="zh-CN"/>
        </w:rPr>
        <w:t>坚持依法行政</w:t>
      </w:r>
    </w:p>
    <w:p w14:paraId="10D515DB">
      <w:pPr>
        <w:shd w:val="clear"/>
        <w:bidi w:val="0"/>
        <w:rPr>
          <w:rFonts w:hint="eastAsia" w:ascii="Times New Roman" w:hAnsi="Times New Roman" w:eastAsia="仿宋_GB2312" w:cs="仿宋_GB2312"/>
          <w:highlight w:val="none"/>
          <w:lang w:val="en-US" w:eastAsia="zh-CN"/>
        </w:rPr>
      </w:pPr>
      <w:bookmarkStart w:id="186" w:name="_Toc4116"/>
      <w:r>
        <w:rPr>
          <w:rFonts w:hint="eastAsia" w:ascii="Times New Roman" w:hAnsi="Times New Roman" w:eastAsia="仿宋_GB2312" w:cs="仿宋_GB2312"/>
          <w:highlight w:val="none"/>
          <w:lang w:val="en-US" w:eastAsia="zh-CN"/>
        </w:rPr>
        <w:t>坚持依法行政，建设高效法治实施体系，完善重大决策和行政规范性文件合法性审核机制，深化完善疑难问题专业咨询论证机制。加强法治宣传教育，营造学法知法懂法守法良好氛围。合理配备行政执法人员，优化执法装备配备，提升行政执法能力。全面落实行政执法“三项制度”，进一步完善社会组织、殡葬、养老服务等重点领域联合执法工作机制，创新“执法＋普法＋服务”模式，常态化严格执法，提升民政行政执法效能。</w:t>
      </w:r>
    </w:p>
    <w:p w14:paraId="013B6120">
      <w:pPr>
        <w:keepNext w:val="0"/>
        <w:keepLines w:val="0"/>
        <w:pageBreakBefore w:val="0"/>
        <w:widowControl w:val="0"/>
        <w:shd w:val="clear"/>
        <w:kinsoku/>
        <w:wordWrap/>
        <w:overflowPunct/>
        <w:topLinePunct w:val="0"/>
        <w:autoSpaceDE/>
        <w:autoSpaceDN/>
        <w:bidi w:val="0"/>
        <w:adjustRightInd/>
        <w:snapToGrid/>
        <w:spacing w:before="292" w:beforeLines="50" w:after="292" w:afterLines="50"/>
        <w:ind w:left="0" w:leftChars="0" w:firstLine="0" w:firstLineChars="0"/>
        <w:jc w:val="center"/>
        <w:textAlignment w:val="auto"/>
        <w:rPr>
          <w:rFonts w:hint="eastAsia" w:ascii="Times New Roman" w:hAnsi="Times New Roman" w:eastAsia="黑体" w:cs="黑体"/>
          <w:highlight w:val="none"/>
          <w:lang w:val="en-US" w:eastAsia="zh-CN"/>
        </w:rPr>
      </w:pPr>
      <w:r>
        <w:rPr>
          <w:rFonts w:hint="eastAsia" w:ascii="Times New Roman" w:hAnsi="Times New Roman" w:eastAsia="黑体" w:cs="黑体"/>
          <w:highlight w:val="none"/>
          <w:lang w:val="en-US" w:eastAsia="zh-CN"/>
        </w:rPr>
        <w:t xml:space="preserve">第三章 </w:t>
      </w:r>
      <w:bookmarkEnd w:id="186"/>
      <w:bookmarkStart w:id="187" w:name="_Toc9242"/>
      <w:r>
        <w:rPr>
          <w:rFonts w:hint="eastAsia" w:ascii="Times New Roman" w:hAnsi="Times New Roman" w:eastAsia="黑体" w:cs="黑体"/>
          <w:highlight w:val="none"/>
          <w:lang w:val="en-US" w:eastAsia="zh-CN"/>
        </w:rPr>
        <w:t>强化人才</w:t>
      </w:r>
      <w:bookmarkEnd w:id="187"/>
      <w:r>
        <w:rPr>
          <w:rFonts w:hint="eastAsia" w:ascii="Times New Roman" w:hAnsi="Times New Roman" w:eastAsia="黑体" w:cs="黑体"/>
          <w:highlight w:val="none"/>
          <w:lang w:val="en-US" w:eastAsia="zh-CN"/>
        </w:rPr>
        <w:t>建设</w:t>
      </w:r>
    </w:p>
    <w:p w14:paraId="155E59D4">
      <w:pPr>
        <w:shd w:val="clear"/>
        <w:bidi w:val="0"/>
        <w:jc w:val="both"/>
        <w:rPr>
          <w:rFonts w:hint="eastAsia" w:ascii="Times New Roman" w:hAnsi="Times New Roman" w:eastAsia="黑体" w:cs="黑体"/>
          <w:highlight w:val="none"/>
          <w:lang w:val="en-US" w:eastAsia="zh-CN"/>
        </w:rPr>
      </w:pPr>
      <w:bookmarkStart w:id="188" w:name="_Toc57286234"/>
      <w:bookmarkStart w:id="189" w:name="_Toc18834"/>
      <w:bookmarkStart w:id="190" w:name="_Toc201915714"/>
      <w:bookmarkStart w:id="191" w:name="_Toc13222"/>
      <w:bookmarkStart w:id="192" w:name="_Toc455089462"/>
      <w:bookmarkStart w:id="193" w:name="_Toc64558361"/>
      <w:bookmarkStart w:id="194" w:name="_Toc6282"/>
      <w:bookmarkStart w:id="195" w:name="_Toc51415367"/>
      <w:bookmarkStart w:id="196" w:name="_Toc28915"/>
      <w:r>
        <w:rPr>
          <w:rFonts w:hint="eastAsia" w:ascii="Times New Roman" w:hAnsi="Times New Roman" w:eastAsia="仿宋_GB2312" w:cs="仿宋_GB2312"/>
          <w:highlight w:val="none"/>
          <w:lang w:val="en-US" w:eastAsia="zh-CN"/>
        </w:rPr>
        <w:t>牢固树立正确用人导向，坚持把政治标准放在首位，注重在重大任务、基层一线考察识别干部，着力选拔使用政治过硬、实干担当、群众认可的民政干部。加强干部政治轮训和业务实训，完善轮岗交流机制和全方位管理监督机制，加大年轻干部培养选拔使用力度，持续优化干部队伍整体素质和结构。关心关爱街乡基层民政工作者，加大培训指导力度，深化基层减负增效，提升基层民政工作者干事创业的能力和热情。</w:t>
      </w:r>
    </w:p>
    <w:bookmarkEnd w:id="188"/>
    <w:bookmarkEnd w:id="189"/>
    <w:bookmarkEnd w:id="190"/>
    <w:bookmarkEnd w:id="191"/>
    <w:bookmarkEnd w:id="192"/>
    <w:bookmarkEnd w:id="193"/>
    <w:bookmarkEnd w:id="194"/>
    <w:bookmarkEnd w:id="195"/>
    <w:p w14:paraId="16C2D67C">
      <w:pPr>
        <w:keepNext w:val="0"/>
        <w:keepLines w:val="0"/>
        <w:pageBreakBefore w:val="0"/>
        <w:widowControl w:val="0"/>
        <w:shd w:val="clear"/>
        <w:kinsoku/>
        <w:wordWrap/>
        <w:overflowPunct/>
        <w:topLinePunct w:val="0"/>
        <w:autoSpaceDE/>
        <w:autoSpaceDN/>
        <w:bidi w:val="0"/>
        <w:adjustRightInd/>
        <w:snapToGrid/>
        <w:spacing w:before="292" w:beforeLines="50" w:after="292" w:afterLines="50"/>
        <w:ind w:left="0" w:leftChars="0" w:firstLine="0" w:firstLineChars="0"/>
        <w:jc w:val="center"/>
        <w:textAlignment w:val="auto"/>
        <w:rPr>
          <w:rFonts w:hint="eastAsia" w:ascii="Times New Roman" w:hAnsi="Times New Roman" w:eastAsia="黑体" w:cs="黑体"/>
          <w:highlight w:val="none"/>
          <w:lang w:val="en-US" w:eastAsia="zh-CN"/>
        </w:rPr>
      </w:pPr>
      <w:r>
        <w:rPr>
          <w:rFonts w:hint="eastAsia" w:ascii="Times New Roman" w:hAnsi="Times New Roman" w:eastAsia="黑体" w:cs="黑体"/>
          <w:highlight w:val="none"/>
          <w:lang w:val="en-US" w:eastAsia="zh-CN"/>
        </w:rPr>
        <w:t xml:space="preserve">第四章 </w:t>
      </w:r>
      <w:bookmarkEnd w:id="196"/>
      <w:r>
        <w:rPr>
          <w:rFonts w:hint="eastAsia" w:ascii="Times New Roman" w:hAnsi="Times New Roman" w:eastAsia="黑体" w:cs="黑体"/>
          <w:highlight w:val="none"/>
          <w:lang w:val="en-US" w:eastAsia="zh-CN"/>
        </w:rPr>
        <w:t>优化资源配置</w:t>
      </w:r>
    </w:p>
    <w:p w14:paraId="7E9BF279">
      <w:pPr>
        <w:shd w:val="clear"/>
        <w:bidi w:val="0"/>
        <w:rPr>
          <w:rFonts w:hint="eastAsia" w:ascii="Times New Roman" w:hAnsi="Times New Roman" w:eastAsia="仿宋_GB2312" w:cs="仿宋_GB2312"/>
          <w:highlight w:val="none"/>
          <w:lang w:val="en-US" w:eastAsia="zh-CN"/>
        </w:rPr>
      </w:pPr>
      <w:bookmarkStart w:id="197" w:name="_Toc27660"/>
      <w:r>
        <w:rPr>
          <w:rFonts w:hint="eastAsia" w:ascii="Times New Roman" w:hAnsi="Times New Roman" w:eastAsia="仿宋_GB2312" w:cs="仿宋_GB2312"/>
          <w:highlight w:val="none"/>
          <w:lang w:val="en-US" w:eastAsia="zh-CN"/>
        </w:rPr>
        <w:t>运用好财政性资金、慈善捐赠资金及社会资本等各类资金，精准对接中央转移支付、超长期特别国债及新增政府债券等上级资金，做实项目储备，支持民政事业发展。全面深化零基预算改革，从严从紧调整优化支出结构，强化绩效评价结果刚性运用，坚持厉行节约，集中财力保障基本民生重点项目。健全统计数据全流程质量管控，完善统计与业务数据同源校验机制，提升民政统计数据分析和应用效能。落实市民政局“十五五”民政公共服务设施建设规划，有序开展项目建设，统筹推动民政设施在街区控制性详细规划落图落点，加快推进区属民政服务机构设施升级改造工程，构建规模适用、层次清晰、布局合理、保障有力的民政服务设施体系。</w:t>
      </w:r>
    </w:p>
    <w:p w14:paraId="039D033F">
      <w:pPr>
        <w:keepNext w:val="0"/>
        <w:keepLines w:val="0"/>
        <w:pageBreakBefore w:val="0"/>
        <w:widowControl w:val="0"/>
        <w:shd w:val="clear"/>
        <w:kinsoku/>
        <w:wordWrap/>
        <w:overflowPunct/>
        <w:topLinePunct w:val="0"/>
        <w:autoSpaceDE/>
        <w:autoSpaceDN/>
        <w:bidi w:val="0"/>
        <w:adjustRightInd/>
        <w:snapToGrid/>
        <w:spacing w:before="292" w:beforeLines="50" w:after="292" w:afterLines="50"/>
        <w:ind w:left="0" w:leftChars="0" w:firstLine="0" w:firstLineChars="0"/>
        <w:jc w:val="center"/>
        <w:textAlignment w:val="auto"/>
        <w:rPr>
          <w:rFonts w:hint="eastAsia" w:ascii="Times New Roman" w:hAnsi="Times New Roman" w:eastAsia="黑体" w:cs="黑体"/>
          <w:highlight w:val="none"/>
          <w:lang w:val="en-US" w:eastAsia="zh-CN"/>
        </w:rPr>
      </w:pPr>
      <w:r>
        <w:rPr>
          <w:rFonts w:hint="eastAsia" w:ascii="Times New Roman" w:hAnsi="Times New Roman" w:eastAsia="黑体" w:cs="黑体"/>
          <w:highlight w:val="none"/>
          <w:lang w:val="en-US" w:eastAsia="zh-CN"/>
        </w:rPr>
        <w:t>第五章 突出科技赋能</w:t>
      </w:r>
    </w:p>
    <w:p w14:paraId="3D81746A">
      <w:pPr>
        <w:shd w:val="clear"/>
        <w:bidi w:val="0"/>
        <w:rPr>
          <w:rFonts w:hint="eastAsia" w:ascii="Times New Roman" w:hAnsi="Times New Roman" w:eastAsia="仿宋_GB2312" w:cs="仿宋_GB2312"/>
          <w:b w:val="0"/>
          <w:bCs w:val="0"/>
          <w:szCs w:val="32"/>
          <w:highlight w:val="none"/>
          <w:lang w:val="en-US" w:eastAsia="zh-CN"/>
        </w:rPr>
      </w:pPr>
      <w:r>
        <w:rPr>
          <w:rFonts w:hint="eastAsia" w:ascii="Times New Roman" w:hAnsi="Times New Roman" w:eastAsia="仿宋_GB2312" w:cs="仿宋_GB2312"/>
          <w:b w:val="0"/>
          <w:bCs w:val="0"/>
          <w:sz w:val="32"/>
          <w:szCs w:val="32"/>
          <w:highlight w:val="none"/>
        </w:rPr>
        <w:t>坚持以数字化改革牵引民政事业现代化转型，将</w:t>
      </w:r>
      <w:r>
        <w:rPr>
          <w:rStyle w:val="26"/>
          <w:rFonts w:hint="eastAsia" w:ascii="Times New Roman" w:hAnsi="Times New Roman" w:eastAsia="仿宋_GB2312" w:cs="仿宋_GB2312"/>
          <w:b w:val="0"/>
          <w:bCs w:val="0"/>
          <w:color w:val="000000"/>
          <w:sz w:val="32"/>
          <w:szCs w:val="32"/>
          <w:highlight w:val="none"/>
        </w:rPr>
        <w:t>科技赋能、数字赋能</w:t>
      </w:r>
      <w:r>
        <w:rPr>
          <w:rFonts w:hint="eastAsia" w:ascii="Times New Roman" w:hAnsi="Times New Roman" w:eastAsia="仿宋_GB2312" w:cs="仿宋_GB2312"/>
          <w:b w:val="0"/>
          <w:bCs w:val="0"/>
          <w:sz w:val="32"/>
          <w:szCs w:val="32"/>
          <w:highlight w:val="none"/>
        </w:rPr>
        <w:t>贯穿规划实施全过程。</w:t>
      </w:r>
      <w:r>
        <w:rPr>
          <w:rFonts w:hint="eastAsia" w:ascii="Times New Roman" w:hAnsi="Times New Roman" w:eastAsia="仿宋_GB2312" w:cs="仿宋_GB2312"/>
          <w:b w:val="0"/>
          <w:bCs w:val="0"/>
          <w:sz w:val="32"/>
          <w:szCs w:val="32"/>
          <w:highlight w:val="none"/>
          <w:lang w:eastAsia="zh-CN"/>
        </w:rPr>
        <w:t>充分发挥信息技术对民政工作的赋能增效作用</w:t>
      </w:r>
      <w:r>
        <w:rPr>
          <w:rFonts w:hint="eastAsia" w:ascii="Times New Roman" w:hAnsi="Times New Roman" w:eastAsia="仿宋_GB2312" w:cs="仿宋_GB2312"/>
          <w:b w:val="0"/>
          <w:bCs w:val="0"/>
          <w:sz w:val="32"/>
          <w:szCs w:val="32"/>
          <w:highlight w:val="none"/>
        </w:rPr>
        <w:t>，</w:t>
      </w:r>
      <w:r>
        <w:rPr>
          <w:rFonts w:hint="eastAsia" w:ascii="Times New Roman" w:hAnsi="Times New Roman" w:eastAsia="仿宋_GB2312" w:cs="仿宋_GB2312"/>
          <w:b w:val="0"/>
          <w:bCs w:val="0"/>
          <w:sz w:val="32"/>
          <w:szCs w:val="32"/>
          <w:highlight w:val="none"/>
          <w:lang w:eastAsia="zh-CN"/>
        </w:rPr>
        <w:t>优化</w:t>
      </w:r>
      <w:r>
        <w:rPr>
          <w:rFonts w:hint="eastAsia" w:ascii="Times New Roman" w:hAnsi="Times New Roman" w:eastAsia="仿宋_GB2312" w:cs="仿宋_GB2312"/>
          <w:b w:val="0"/>
          <w:bCs w:val="0"/>
          <w:sz w:val="32"/>
          <w:szCs w:val="32"/>
          <w:highlight w:val="none"/>
        </w:rPr>
        <w:t>社会救助、养老服务、儿童福利、基层治理、专项社会事务等业务</w:t>
      </w:r>
      <w:r>
        <w:rPr>
          <w:rStyle w:val="26"/>
          <w:rFonts w:hint="eastAsia" w:ascii="Times New Roman" w:hAnsi="Times New Roman" w:eastAsia="仿宋_GB2312" w:cs="仿宋_GB2312"/>
          <w:b w:val="0"/>
          <w:bCs w:val="0"/>
          <w:color w:val="000000"/>
          <w:sz w:val="32"/>
          <w:szCs w:val="32"/>
          <w:highlight w:val="none"/>
          <w:lang w:eastAsia="zh-CN"/>
        </w:rPr>
        <w:t>服务体验</w:t>
      </w:r>
      <w:r>
        <w:rPr>
          <w:rFonts w:hint="eastAsia" w:ascii="Times New Roman" w:hAnsi="Times New Roman" w:eastAsia="仿宋_GB2312" w:cs="仿宋_GB2312"/>
          <w:b w:val="0"/>
          <w:bCs w:val="0"/>
          <w:sz w:val="32"/>
          <w:szCs w:val="32"/>
          <w:highlight w:val="none"/>
        </w:rPr>
        <w:t>。充分运用大数据、人工智能等现代技术手段，提升精准识别、动态监测、风险预警、高效处置能力，依托科技手段优化服务流程、提升监管效能、降低运行成本。推动科技应用与业务深度融合，以数字化、智能化、精细化支撑规划目标落地，为“十五五”民政事业高质量发展提供坚实技术支撑和创新动能。</w:t>
      </w:r>
    </w:p>
    <w:p w14:paraId="6EF595A6">
      <w:pPr>
        <w:keepNext w:val="0"/>
        <w:keepLines w:val="0"/>
        <w:pageBreakBefore w:val="0"/>
        <w:widowControl w:val="0"/>
        <w:shd w:val="clear"/>
        <w:kinsoku/>
        <w:wordWrap/>
        <w:overflowPunct/>
        <w:topLinePunct w:val="0"/>
        <w:autoSpaceDE/>
        <w:autoSpaceDN/>
        <w:bidi w:val="0"/>
        <w:adjustRightInd/>
        <w:snapToGrid/>
        <w:spacing w:before="292" w:beforeLines="50" w:after="292" w:afterLines="50"/>
        <w:ind w:left="0" w:leftChars="0" w:firstLine="0" w:firstLineChars="0"/>
        <w:jc w:val="center"/>
        <w:textAlignment w:val="auto"/>
        <w:rPr>
          <w:rFonts w:hint="eastAsia" w:ascii="Times New Roman" w:hAnsi="Times New Roman" w:eastAsia="黑体" w:cs="黑体"/>
          <w:highlight w:val="none"/>
          <w:lang w:val="en-US" w:eastAsia="zh-CN"/>
        </w:rPr>
      </w:pPr>
      <w:r>
        <w:rPr>
          <w:rFonts w:hint="eastAsia" w:ascii="Times New Roman" w:hAnsi="Times New Roman" w:eastAsia="黑体" w:cs="黑体"/>
          <w:highlight w:val="none"/>
          <w:lang w:val="en-US" w:eastAsia="zh-CN"/>
        </w:rPr>
        <w:t>第六章 守牢安全底线</w:t>
      </w:r>
    </w:p>
    <w:p w14:paraId="2B57FAD5">
      <w:pPr>
        <w:shd w:val="clear"/>
        <w:bidi w:val="0"/>
        <w:rPr>
          <w:rFonts w:hint="eastAsia" w:ascii="Times New Roman" w:hAnsi="Times New Roman" w:eastAsia="仿宋_GB2312" w:cs="仿宋_GB2312"/>
          <w:highlight w:val="none"/>
          <w:lang w:val="en-US" w:eastAsia="zh-CN"/>
        </w:rPr>
      </w:pPr>
      <w:r>
        <w:rPr>
          <w:rFonts w:hint="eastAsia" w:ascii="Times New Roman" w:hAnsi="Times New Roman" w:eastAsia="仿宋_GB2312" w:cs="仿宋_GB2312"/>
          <w:highlight w:val="none"/>
          <w:lang w:val="en-US" w:eastAsia="zh-CN"/>
        </w:rPr>
        <w:t>锚定“降概率、控损失”目标，坚持底线思维、极限思维，统筹高质量发展和高水平安全，将安全发展理念贯穿民政事业发展全过程和各方面。严格落实安全生产责任制，深化系统治理、综合治理，深入开展民政服务机构重大火灾隐患专项排查大起底，抓好安全生产宣传教育培训，提高安全管理信息化水平。深化推进信访工作法治化，扎实做好接诉即办工作，推动源头治理、主动治理，把风险隐患防范在早、化解在小。落实民政服务机构安全生产及极端天气应对相关要求，“一院一策”制定并动态更新安全应急预案，加强应急设施改造和应急物资储备。</w:t>
      </w:r>
    </w:p>
    <w:bookmarkEnd w:id="197"/>
    <w:p w14:paraId="38C2A040">
      <w:pPr>
        <w:keepNext w:val="0"/>
        <w:keepLines w:val="0"/>
        <w:pageBreakBefore w:val="0"/>
        <w:widowControl w:val="0"/>
        <w:shd w:val="clear"/>
        <w:kinsoku/>
        <w:wordWrap/>
        <w:overflowPunct/>
        <w:topLinePunct w:val="0"/>
        <w:autoSpaceDE/>
        <w:autoSpaceDN/>
        <w:bidi w:val="0"/>
        <w:adjustRightInd/>
        <w:snapToGrid/>
        <w:spacing w:before="581" w:beforeLines="100" w:after="581" w:afterLines="100"/>
        <w:ind w:left="0" w:leftChars="0" w:firstLine="0" w:firstLineChars="0"/>
        <w:jc w:val="center"/>
        <w:textAlignment w:val="auto"/>
        <w:rPr>
          <w:rFonts w:hint="eastAsia" w:ascii="Times New Roman" w:hAnsi="Times New Roman" w:eastAsia="仿宋_GB2312" w:cs="仿宋_GB2312"/>
          <w:sz w:val="32"/>
          <w:szCs w:val="32"/>
          <w:highlight w:val="none"/>
          <w:lang w:val="en-US" w:eastAsia="zh-CN"/>
        </w:rPr>
      </w:pPr>
      <w:r>
        <w:rPr>
          <w:rFonts w:hint="eastAsia" w:ascii="Times New Roman" w:hAnsi="Times New Roman" w:eastAsia="黑体" w:cs="黑体"/>
          <w:highlight w:val="none"/>
          <w:lang w:val="en-US" w:eastAsia="zh-CN"/>
        </w:rPr>
        <w:t>结  语</w:t>
      </w:r>
    </w:p>
    <w:p w14:paraId="743F58EC">
      <w:pPr>
        <w:shd w:val="clear"/>
        <w:bidi w:val="0"/>
        <w:ind w:firstLine="640" w:firstLineChars="0"/>
        <w:jc w:val="both"/>
        <w:rPr>
          <w:rFonts w:hint="eastAsia" w:ascii="Times New Roman" w:hAnsi="Times New Roman" w:eastAsia="仿宋_GB2312" w:cs="仿宋_GB2312"/>
          <w:sz w:val="32"/>
          <w:szCs w:val="32"/>
          <w:highlight w:val="none"/>
          <w:lang w:val="en-US" w:eastAsia="zh-CN"/>
        </w:rPr>
      </w:pPr>
      <w:r>
        <w:rPr>
          <w:rFonts w:hint="eastAsia" w:ascii="Times New Roman" w:hAnsi="Times New Roman" w:eastAsia="仿宋_GB2312" w:cs="仿宋_GB2312"/>
          <w:sz w:val="32"/>
          <w:szCs w:val="32"/>
          <w:highlight w:val="none"/>
        </w:rPr>
        <w:t>民政工作关系民生、连着民心，是党和政府联系群众的重要桥梁。未来五年，我们将始终坚持以习近平新时代中国特色社会主义思想为指导，</w:t>
      </w:r>
      <w:r>
        <w:rPr>
          <w:rFonts w:hint="eastAsia" w:ascii="Times New Roman" w:hAnsi="Times New Roman" w:eastAsia="仿宋_GB2312" w:cs="仿宋_GB2312"/>
          <w:i w:val="0"/>
          <w:iCs w:val="0"/>
          <w:caps w:val="0"/>
          <w:spacing w:val="0"/>
          <w:sz w:val="32"/>
          <w:szCs w:val="32"/>
          <w:highlight w:val="none"/>
        </w:rPr>
        <w:t>坚持党的领导、加强党的建设，深化改革创新，完善政策制度体系、服务保障体系、监督管理体系、社会参与体系，着力推进实施积极应对人口老龄化国家战略，着力提升社会救助、社会福利、社会事务、社会治理工作水平，积极主动为人民群众做好事、办实事、解难事</w:t>
      </w:r>
      <w:r>
        <w:rPr>
          <w:rFonts w:hint="eastAsia" w:ascii="Times New Roman" w:hAnsi="Times New Roman" w:eastAsia="仿宋_GB2312" w:cs="仿宋_GB2312"/>
          <w:i w:val="0"/>
          <w:iCs w:val="0"/>
          <w:caps w:val="0"/>
          <w:spacing w:val="0"/>
          <w:sz w:val="32"/>
          <w:szCs w:val="32"/>
          <w:highlight w:val="none"/>
          <w:lang w:eastAsia="zh-CN"/>
        </w:rPr>
        <w:t>，推动朝阳区“十五五”时期民政事业高质量发展</w:t>
      </w:r>
      <w:r>
        <w:rPr>
          <w:rFonts w:hint="eastAsia" w:ascii="Times New Roman" w:hAnsi="Times New Roman" w:eastAsia="仿宋_GB2312" w:cs="仿宋_GB2312"/>
          <w:i w:val="0"/>
          <w:iCs w:val="0"/>
          <w:caps w:val="0"/>
          <w:spacing w:val="0"/>
          <w:sz w:val="32"/>
          <w:szCs w:val="32"/>
          <w:highlight w:val="none"/>
        </w:rPr>
        <w:t>。</w:t>
      </w:r>
    </w:p>
    <w:p w14:paraId="3A103EE9">
      <w:pPr>
        <w:shd w:val="clear"/>
        <w:bidi w:val="0"/>
        <w:ind w:firstLine="640" w:firstLineChars="0"/>
        <w:jc w:val="both"/>
        <w:rPr>
          <w:rFonts w:hint="eastAsia" w:ascii="Times New Roman" w:hAnsi="Times New Roman" w:eastAsia="仿宋_GB2312" w:cs="仿宋_GB2312"/>
          <w:sz w:val="32"/>
          <w:szCs w:val="32"/>
          <w:highlight w:val="none"/>
          <w:lang w:val="en-US" w:eastAsia="zh-CN"/>
        </w:rPr>
      </w:pPr>
    </w:p>
    <w:sectPr>
      <w:footerReference r:id="rId9" w:type="default"/>
      <w:footerReference r:id="rId10" w:type="even"/>
      <w:pgSz w:w="11906" w:h="16838"/>
      <w:pgMar w:top="2098" w:right="1474" w:bottom="1984" w:left="1587" w:header="851" w:footer="1417" w:gutter="0"/>
      <w:pgNumType w:fmt="decimal" w:start="1"/>
      <w:cols w:space="425" w:num="1"/>
      <w:docGrid w:type="linesAndChars" w:linePitch="579" w:charSpace="1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AFF" w:usb1="C0007841"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3A52E67-81CF-489C-83B5-B7EE17B4DB9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0B05BDD6-DC94-453B-8509-7EAA1228A60E}"/>
  </w:font>
  <w:font w:name="方正仿宋_GB2312">
    <w:panose1 w:val="02000000000000000000"/>
    <w:charset w:val="86"/>
    <w:family w:val="auto"/>
    <w:pitch w:val="default"/>
    <w:sig w:usb0="A00002BF" w:usb1="184F6CFA" w:usb2="00000012" w:usb3="00000000" w:csb0="00040001" w:csb1="00000000"/>
    <w:embedRegular r:id="rId3" w:fontKey="{D116FF28-616E-4896-A09D-607D1413EEDB}"/>
  </w:font>
  <w:font w:name="方正楷体_GB2312">
    <w:altName w:val="楷体_GB2312"/>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embedRegular r:id="rId4" w:fontKey="{1DF55C5C-3E49-4C42-A69F-10AD96B8F079}"/>
  </w:font>
  <w:font w:name="仿宋_GB2312">
    <w:panose1 w:val="02010609030101010101"/>
    <w:charset w:val="86"/>
    <w:family w:val="auto"/>
    <w:pitch w:val="default"/>
    <w:sig w:usb0="00000001" w:usb1="080E0000" w:usb2="00000000" w:usb3="00000000" w:csb0="00040000" w:csb1="00000000"/>
    <w:embedRegular r:id="rId5" w:fontKey="{074D066F-1500-4BA0-A49E-EAF2A65786EA}"/>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6" w:fontKey="{510B2B6C-012B-43B7-B943-9494583B499F}"/>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F249D">
    <w:pPr>
      <w:ind w:firstLine="64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44AC2">
    <w:pPr>
      <w:pStyle w:val="1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49FE2">
    <w:pPr>
      <w:ind w:firstLine="640"/>
    </w:pPr>
    <w:r>
      <w:rPr>
        <w:sz w:val="32"/>
      </w:rPr>
      <mc:AlternateContent>
        <mc:Choice Requires="wps">
          <w:drawing>
            <wp:anchor distT="0" distB="0" distL="114300" distR="114300" simplePos="0" relativeHeight="251659264" behindDoc="0" locked="0" layoutInCell="1" allowOverlap="1">
              <wp:simplePos x="0" y="0"/>
              <wp:positionH relativeFrom="margin">
                <wp:posOffset>2331720</wp:posOffset>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B06013">
                          <w:pPr>
                            <w:pStyle w:val="15"/>
                            <w:rPr>
                              <w:rFonts w:hint="default" w:ascii="Times New Roman" w:hAnsi="Times New Roman" w:eastAsia="宋体" w:cs="Times New Roman"/>
                              <w:sz w:val="28"/>
                            </w:rPr>
                          </w:pPr>
                          <w:r>
                            <w:rPr>
                              <w:rFonts w:hint="default" w:ascii="Times New Roman" w:hAnsi="Times New Roman" w:eastAsia="宋体" w:cs="Times New Roman"/>
                              <w:sz w:val="28"/>
                            </w:rPr>
                            <w:fldChar w:fldCharType="begin"/>
                          </w:r>
                          <w:r>
                            <w:rPr>
                              <w:rFonts w:hint="default" w:ascii="Times New Roman" w:hAnsi="Times New Roman" w:eastAsia="宋体" w:cs="Times New Roman"/>
                              <w:sz w:val="28"/>
                            </w:rPr>
                            <w:instrText xml:space="preserve"> PAGE  \* MERGEFORMAT </w:instrText>
                          </w:r>
                          <w:r>
                            <w:rPr>
                              <w:rFonts w:hint="default" w:ascii="Times New Roman" w:hAnsi="Times New Roman" w:eastAsia="宋体" w:cs="Times New Roman"/>
                              <w:sz w:val="28"/>
                            </w:rPr>
                            <w:fldChar w:fldCharType="separate"/>
                          </w:r>
                          <w:r>
                            <w:rPr>
                              <w:rFonts w:hint="default" w:ascii="Times New Roman" w:hAnsi="Times New Roman" w:eastAsia="宋体" w:cs="Times New Roman"/>
                              <w:sz w:val="28"/>
                            </w:rPr>
                            <w:t>1</w:t>
                          </w:r>
                          <w:r>
                            <w:rPr>
                              <w:rFonts w:hint="default" w:ascii="Times New Roman" w:hAnsi="Times New Roman" w:eastAsia="宋体" w:cs="Times New Roman"/>
                              <w:sz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83.6pt;margin-top:1pt;height:144pt;width:144pt;mso-position-horizontal-relative:margin;mso-wrap-style:none;z-index:251659264;mso-width-relative:page;mso-height-relative:page;" filled="f" stroked="f" coordsize="21600,21600" o:gfxdata="UEsDBAoAAAAAAIdO4kAAAAAAAAAAAAAAAAAEAAAAZHJzL1BLAwQUAAAACACHTuJANSmg+NUAAAAJ&#10;AQAADwAAAGRycy9kb3ducmV2LnhtbE2PO0/DMBSFdyT+g3WR2KjdlIY2xKlERRiRaBgY3fiSBPyI&#10;bDcN/57LRMdP5+g8yt1sDZswxME7CcuFAIau9XpwnYT3pr7bAItJOa2MdyjhByPsquurUhXan90b&#10;TofUMQpxsVAS+pTGgvPY9mhVXPgRHWmfPliVCEPHdVBnCreGZ0Lk3KrBUUOvRtz32H4fTlbCvm6a&#10;MGEM5gNf6tXX69M9Ps9S3t4sxSOwhHP6N8PffJoOFW06+pPTkRkJq/whI6uEjC6Rnq/XxEfirRDA&#10;q5JfPqh+AVBLAwQUAAAACACHTuJAa4X5+zECAABhBAAADgAAAGRycy9lMm9Eb2MueG1srVTNjtMw&#10;EL4j8Q6W7zRpEasqaroqWxUhVexKBXF2HaeJ5D/ZbpPyAPAGnLhw57n6HHzOTxctHPbAxRl7xt/M&#10;9804i9tWSXISztdG53Q6SSkRmpui1oecfvq4eTWnxAemCyaNFjk9C09vly9fLBqbiZmpjCyEIwDR&#10;PmtsTqsQbJYknldCMT8xVmg4S+MUC9i6Q1I41gBdyWSWpjdJY1xhneHCe5yueycdEN1zAE1Z1lys&#10;DT8qoUOP6oRkAZR8VVtPl121ZSl4uC9LLwKROQXT0K1IAnsf12S5YNnBMVvVfCiBPaeEJ5wUqzWS&#10;XqHWLDBydPVfUKrmznhThgk3KumJdIqAxTR9os2uYlZ0XCC1t1fR/f+D5R9OD47UBSaBEs0UGn75&#10;/u3y49fl51cyjfI01meI2lnEhfataWPocO5xGFm3pVPxCz4Efoh7voor2kB4vDSfzecpXBy+cQOc&#10;5PG6dT68E0aRaOTUoXudqOy09aEPHUNiNm02tZQ4Z5nUpMnpzes3aXfh6gG41MgRSfTFRiu0+3Zg&#10;sDfFGcSc6SfDW76pkXzLfHhgDqOAgvFYwj2WUhokMYNFSWXcl3+dx3h0CF5KGoxWTjVeEiXyvUbn&#10;ABhGw43GfjT0Ud0ZzCq6gVo6ExdckKNZOqM+4wWtYg64mObIlNMwmnehH2+8QC5Wqy7oaF19qPoL&#10;mDvLwlbvLI9ponrero4BYnYaR4F6VQbdMHldl4ZXEkf7z30X9fhnWP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NSmg+NUAAAAJAQAADwAAAAAAAAABACAAAAAiAAAAZHJzL2Rvd25yZXYueG1sUEsB&#10;AhQAFAAAAAgAh07iQGuF+fsxAgAAYQQAAA4AAAAAAAAAAQAgAAAAJAEAAGRycy9lMm9Eb2MueG1s&#10;UEsFBgAAAAAGAAYAWQEAAMcFAAAAAA==&#10;">
              <v:fill on="f" focussize="0,0"/>
              <v:stroke on="f" weight="0.5pt"/>
              <v:imagedata o:title=""/>
              <o:lock v:ext="edit" aspectratio="f"/>
              <v:textbox inset="0mm,0mm,0mm,0mm" style="mso-fit-shape-to-text:t;">
                <w:txbxContent>
                  <w:p w14:paraId="47B06013">
                    <w:pPr>
                      <w:pStyle w:val="15"/>
                      <w:rPr>
                        <w:rFonts w:hint="default" w:ascii="Times New Roman" w:hAnsi="Times New Roman" w:eastAsia="宋体" w:cs="Times New Roman"/>
                        <w:sz w:val="28"/>
                      </w:rPr>
                    </w:pPr>
                    <w:r>
                      <w:rPr>
                        <w:rFonts w:hint="default" w:ascii="Times New Roman" w:hAnsi="Times New Roman" w:eastAsia="宋体" w:cs="Times New Roman"/>
                        <w:sz w:val="28"/>
                      </w:rPr>
                      <w:fldChar w:fldCharType="begin"/>
                    </w:r>
                    <w:r>
                      <w:rPr>
                        <w:rFonts w:hint="default" w:ascii="Times New Roman" w:hAnsi="Times New Roman" w:eastAsia="宋体" w:cs="Times New Roman"/>
                        <w:sz w:val="28"/>
                      </w:rPr>
                      <w:instrText xml:space="preserve"> PAGE  \* MERGEFORMAT </w:instrText>
                    </w:r>
                    <w:r>
                      <w:rPr>
                        <w:rFonts w:hint="default" w:ascii="Times New Roman" w:hAnsi="Times New Roman" w:eastAsia="宋体" w:cs="Times New Roman"/>
                        <w:sz w:val="28"/>
                      </w:rPr>
                      <w:fldChar w:fldCharType="separate"/>
                    </w:r>
                    <w:r>
                      <w:rPr>
                        <w:rFonts w:hint="default" w:ascii="Times New Roman" w:hAnsi="Times New Roman" w:eastAsia="宋体" w:cs="Times New Roman"/>
                        <w:sz w:val="28"/>
                      </w:rPr>
                      <w:t>1</w:t>
                    </w:r>
                    <w:r>
                      <w:rPr>
                        <w:rFonts w:hint="default" w:ascii="Times New Roman" w:hAnsi="Times New Roman" w:eastAsia="宋体" w:cs="Times New Roman"/>
                        <w:sz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4631A">
    <w:pPr>
      <w:pStyle w:val="15"/>
      <w:ind w:firstLine="360"/>
    </w:pPr>
    <w:r>
      <w:rPr>
        <w:sz w:val="18"/>
      </w:rPr>
      <mc:AlternateContent>
        <mc:Choice Requires="wps">
          <w:drawing>
            <wp:anchor distT="0" distB="0" distL="114300" distR="114300" simplePos="0" relativeHeight="251660288" behindDoc="0" locked="0" layoutInCell="1" allowOverlap="1">
              <wp:simplePos x="0" y="0"/>
              <wp:positionH relativeFrom="margin">
                <wp:posOffset>2538095</wp:posOffset>
              </wp:positionH>
              <wp:positionV relativeFrom="paragraph">
                <wp:posOffset>12700</wp:posOffset>
              </wp:positionV>
              <wp:extent cx="676275"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67627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80A247">
                          <w:pPr>
                            <w:pStyle w:val="15"/>
                            <w:rPr>
                              <w:rFonts w:hint="default" w:ascii="Times New Roman" w:hAnsi="Times New Roman" w:eastAsia="宋体" w:cs="Times New Roman"/>
                              <w:sz w:val="28"/>
                            </w:rPr>
                          </w:pPr>
                          <w:r>
                            <w:rPr>
                              <w:rFonts w:hint="default" w:ascii="Times New Roman" w:hAnsi="Times New Roman" w:eastAsia="宋体" w:cs="Times New Roman"/>
                              <w:sz w:val="28"/>
                            </w:rPr>
                            <w:fldChar w:fldCharType="begin"/>
                          </w:r>
                          <w:r>
                            <w:rPr>
                              <w:rFonts w:hint="default" w:ascii="Times New Roman" w:hAnsi="Times New Roman" w:eastAsia="宋体" w:cs="Times New Roman"/>
                              <w:sz w:val="28"/>
                            </w:rPr>
                            <w:instrText xml:space="preserve"> PAGE  \* MERGEFORMAT </w:instrText>
                          </w:r>
                          <w:r>
                            <w:rPr>
                              <w:rFonts w:hint="default" w:ascii="Times New Roman" w:hAnsi="Times New Roman" w:eastAsia="宋体" w:cs="Times New Roman"/>
                              <w:sz w:val="28"/>
                            </w:rPr>
                            <w:fldChar w:fldCharType="separate"/>
                          </w:r>
                          <w:r>
                            <w:rPr>
                              <w:rFonts w:hint="default" w:ascii="Times New Roman" w:hAnsi="Times New Roman" w:eastAsia="宋体" w:cs="Times New Roman"/>
                              <w:sz w:val="28"/>
                            </w:rPr>
                            <w:t>2</w:t>
                          </w:r>
                          <w:r>
                            <w:rPr>
                              <w:rFonts w:hint="default" w:ascii="Times New Roman" w:hAnsi="Times New Roman" w:eastAsia="宋体" w:cs="Times New Roman"/>
                              <w:sz w:val="28"/>
                            </w:rPr>
                            <w:fldChar w:fldCharType="end"/>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99.85pt;margin-top:1pt;height:144pt;width:53.25pt;mso-position-horizontal-relative:margin;z-index:251660288;mso-width-relative:page;mso-height-relative:page;" filled="f" stroked="f" coordsize="21600,21600" o:gfxdata="UEsDBAoAAAAAAIdO4kAAAAAAAAAAAAAAAAAEAAAAZHJzL1BLAwQUAAAACACHTuJAl/2vF9cAAAAJ&#10;AQAADwAAAGRycy9kb3ducmV2LnhtbE2PwU7DMBBE70j8g7VI3KjdIAoJcXpA0AOcSBHiuI2dOBCv&#10;o9hNC1/PcirH0czOvinXRz+I2U6xD6RhuVAgLDXB9NRpeNs+Xd2BiAnJ4BDIavi2EdbV+VmJhQkH&#10;erVznTrBJRQL1OBSGgspY+Osx7gIoyX22jB5TCynTpoJD1zuB5kptZIee+IPDkf74GzzVe89Y7y/&#10;KL/5ad2Hf8Y21m47bx4/tb68WKp7EMke0ykMf/h8AxUz7cKeTBSDhus8v+WohownsX+jVhmIHetc&#10;KZBVKf8vqH4BUEsDBBQAAAAIAIdO4kASEMelOAIAAGIEAAAOAAAAZHJzL2Uyb0RvYy54bWytVMuO&#10;0zAU3SPxD5b3NG3RdKqq6ahMVYRUMSMNiLXrOE0kv7DdJuUD4A9YsWHPd/U7OHaaDhpYzIKNe3Pf&#10;59x7O79plSQH4XxtdE5HgyElQnNT1HqX048f1q+mlPjAdMGk0SKnR+HpzeLli3ljZ2JsKiML4QiS&#10;aD9rbE6rEOwsyzyvhGJ+YKzQMJbGKRbw6XZZ4ViD7Epm4+FwkjXGFdYZLryHdtUZ6Tmje05CU5Y1&#10;FyvD90ro0GV1QrIASL6qraeL1G1ZCh7uytKLQGROgTSkF0Ugb+ObLeZstnPMVjU/t8Ce08ITTIrV&#10;GkUvqVYsMLJ39V+pVM2d8aYMA25U1gFJjADFaPiEm4eKWZGwgGpvL6T7/5eWvz/cO1IXOR1TopnC&#10;wE/fv51+/Dr9/ErGkZ7G+hm8Hiz8QvvGtFiaXu+hjKjb0qn4CzwEdpB7vJAr2kA4lJPryfj6ihIO&#10;02g6nk6Hif3sMdo6H94Ko0gUcuowvMQpO2x8QCdw7V1iMW3WtZRpgFKTBhVeXw1TwMWCCKkRGDF0&#10;vUYptNv2DGxriiNwOdMthrd8XaP4hvlwzxw2AVBwK+EOTykNipizREll3Jd/6aM/BgQrJQ02K6f+&#10;8545QYl8pzG6uIa94Hph2wt6r24NlnWEK7Q8iQhwQfZi6Yz6hBNaxiowMc1RK6ehF29Dt984QS6W&#10;y+S0t67eVV0AFs+ysNEPlscykUpvl/sAOhPLkaKOlzNzWL1E/vlM4m7/+Z28Hv8aF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l/2vF9cAAAAJAQAADwAAAAAAAAABACAAAAAiAAAAZHJzL2Rvd25y&#10;ZXYueG1sUEsBAhQAFAAAAAgAh07iQBIQx6U4AgAAYgQAAA4AAAAAAAAAAQAgAAAAJgEAAGRycy9l&#10;Mm9Eb2MueG1sUEsFBgAAAAAGAAYAWQEAANAFAAAAAA==&#10;">
              <v:fill on="f" focussize="0,0"/>
              <v:stroke on="f" weight="0.5pt"/>
              <v:imagedata o:title=""/>
              <o:lock v:ext="edit" aspectratio="f"/>
              <v:textbox inset="0mm,0mm,0mm,0mm" style="mso-fit-shape-to-text:t;">
                <w:txbxContent>
                  <w:p w14:paraId="1980A247">
                    <w:pPr>
                      <w:pStyle w:val="15"/>
                      <w:rPr>
                        <w:rFonts w:hint="default" w:ascii="Times New Roman" w:hAnsi="Times New Roman" w:eastAsia="宋体" w:cs="Times New Roman"/>
                        <w:sz w:val="28"/>
                      </w:rPr>
                    </w:pPr>
                    <w:r>
                      <w:rPr>
                        <w:rFonts w:hint="default" w:ascii="Times New Roman" w:hAnsi="Times New Roman" w:eastAsia="宋体" w:cs="Times New Roman"/>
                        <w:sz w:val="28"/>
                      </w:rPr>
                      <w:fldChar w:fldCharType="begin"/>
                    </w:r>
                    <w:r>
                      <w:rPr>
                        <w:rFonts w:hint="default" w:ascii="Times New Roman" w:hAnsi="Times New Roman" w:eastAsia="宋体" w:cs="Times New Roman"/>
                        <w:sz w:val="28"/>
                      </w:rPr>
                      <w:instrText xml:space="preserve"> PAGE  \* MERGEFORMAT </w:instrText>
                    </w:r>
                    <w:r>
                      <w:rPr>
                        <w:rFonts w:hint="default" w:ascii="Times New Roman" w:hAnsi="Times New Roman" w:eastAsia="宋体" w:cs="Times New Roman"/>
                        <w:sz w:val="28"/>
                      </w:rPr>
                      <w:fldChar w:fldCharType="separate"/>
                    </w:r>
                    <w:r>
                      <w:rPr>
                        <w:rFonts w:hint="default" w:ascii="Times New Roman" w:hAnsi="Times New Roman" w:eastAsia="宋体" w:cs="Times New Roman"/>
                        <w:sz w:val="28"/>
                      </w:rPr>
                      <w:t>2</w:t>
                    </w:r>
                    <w:r>
                      <w:rPr>
                        <w:rFonts w:hint="default" w:ascii="Times New Roman" w:hAnsi="Times New Roman" w:eastAsia="宋体" w:cs="Times New Roman"/>
                        <w:sz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line="240" w:lineRule="auto"/>
        <w:ind w:firstLine="640"/>
      </w:pPr>
      <w:r>
        <w:separator/>
      </w:r>
    </w:p>
  </w:footnote>
  <w:footnote w:type="continuationSeparator" w:id="3">
    <w:p>
      <w:pPr>
        <w:spacing w:line="240" w:lineRule="auto"/>
        <w:ind w:firstLine="640"/>
      </w:pPr>
      <w:r>
        <w:continuationSeparator/>
      </w:r>
    </w:p>
  </w:footnote>
  <w:footnote w:id="0">
    <w:p w14:paraId="3323B2AF">
      <w:pPr>
        <w:pStyle w:val="19"/>
        <w:snapToGrid w:val="0"/>
        <w:rPr>
          <w:rFonts w:hint="eastAsia" w:ascii="Times New Roman" w:hAnsi="Times New Roman" w:eastAsia="仿宋_GB2312" w:cs="仿宋_GB2312"/>
          <w:sz w:val="24"/>
          <w:szCs w:val="24"/>
        </w:rPr>
      </w:pPr>
      <w:r>
        <w:rPr>
          <w:rStyle w:val="27"/>
        </w:rPr>
        <w:footnoteRef/>
      </w:r>
      <w:r>
        <w:rPr>
          <w:rFonts w:hint="eastAsia" w:ascii="Times New Roman" w:hAnsi="Times New Roman" w:eastAsia="仿宋_GB2312" w:cs="仿宋_GB2312"/>
          <w:sz w:val="24"/>
          <w:szCs w:val="24"/>
        </w:rPr>
        <w:t>《朝阳区老年人口形势分析》（2024）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B46B5">
    <w:pPr>
      <w:pStyle w:val="16"/>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F94DE">
    <w:pPr>
      <w:pStyle w:val="16"/>
      <w:pBdr>
        <w:bottom w:val="none" w:color="auto" w:sz="0" w:space="1"/>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0"/>
  <w:bordersDoNotSurroundFooter w:val="0"/>
  <w:documentProtection w:enforcement="0"/>
  <w:defaultTabStop w:val="420"/>
  <w:evenAndOddHeaders w:val="1"/>
  <w:drawingGridHorizontalSpacing w:val="158"/>
  <w:drawingGridVerticalSpacing w:val="290"/>
  <w:displayHorizontalDrawingGridEvery w:val="1"/>
  <w:displayVerticalDrawingGridEvery w:val="1"/>
  <w:noPunctuationKerning w:val="1"/>
  <w:characterSpacingControl w:val="compressPunctuation"/>
  <w:footnotePr>
    <w:footnote w:id="2"/>
    <w:footnote w:id="3"/>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4021B7"/>
    <w:rsid w:val="001D1F85"/>
    <w:rsid w:val="00C44CE5"/>
    <w:rsid w:val="00FE281A"/>
    <w:rsid w:val="02896BCF"/>
    <w:rsid w:val="033F5B4C"/>
    <w:rsid w:val="03B16262"/>
    <w:rsid w:val="03BA2131"/>
    <w:rsid w:val="03BA63B2"/>
    <w:rsid w:val="044C50BA"/>
    <w:rsid w:val="04A44EF6"/>
    <w:rsid w:val="05301677"/>
    <w:rsid w:val="05432019"/>
    <w:rsid w:val="055F4DCA"/>
    <w:rsid w:val="0834465C"/>
    <w:rsid w:val="08B3275C"/>
    <w:rsid w:val="095C0456"/>
    <w:rsid w:val="09B73475"/>
    <w:rsid w:val="0B12230C"/>
    <w:rsid w:val="0B330D82"/>
    <w:rsid w:val="0C1B1CD9"/>
    <w:rsid w:val="0CEA0937"/>
    <w:rsid w:val="0D961D6E"/>
    <w:rsid w:val="0DA93FA7"/>
    <w:rsid w:val="0E76520D"/>
    <w:rsid w:val="0EB74F3E"/>
    <w:rsid w:val="0F901F0C"/>
    <w:rsid w:val="10352EA6"/>
    <w:rsid w:val="10B61142"/>
    <w:rsid w:val="11236C5D"/>
    <w:rsid w:val="11412DF8"/>
    <w:rsid w:val="119A02EF"/>
    <w:rsid w:val="12E017EF"/>
    <w:rsid w:val="13193845"/>
    <w:rsid w:val="137809C1"/>
    <w:rsid w:val="141A782E"/>
    <w:rsid w:val="14D64C58"/>
    <w:rsid w:val="14F44CB0"/>
    <w:rsid w:val="150A0BC1"/>
    <w:rsid w:val="155E7B6F"/>
    <w:rsid w:val="15724254"/>
    <w:rsid w:val="163662E8"/>
    <w:rsid w:val="16BA5EB3"/>
    <w:rsid w:val="16BC1C2B"/>
    <w:rsid w:val="17196B66"/>
    <w:rsid w:val="176F0750"/>
    <w:rsid w:val="17AB6A18"/>
    <w:rsid w:val="17E56F60"/>
    <w:rsid w:val="18664544"/>
    <w:rsid w:val="188C1AFA"/>
    <w:rsid w:val="195C2794"/>
    <w:rsid w:val="195C39D6"/>
    <w:rsid w:val="19636CD6"/>
    <w:rsid w:val="19C27210"/>
    <w:rsid w:val="1A20330C"/>
    <w:rsid w:val="1A762F9F"/>
    <w:rsid w:val="1B565835"/>
    <w:rsid w:val="1BB750B7"/>
    <w:rsid w:val="1C37145B"/>
    <w:rsid w:val="1C7B668F"/>
    <w:rsid w:val="1CF2169F"/>
    <w:rsid w:val="1D684951"/>
    <w:rsid w:val="1DC91D6E"/>
    <w:rsid w:val="1DDB6715"/>
    <w:rsid w:val="1EF35F38"/>
    <w:rsid w:val="1FAE2181"/>
    <w:rsid w:val="1FFA2B25"/>
    <w:rsid w:val="20765541"/>
    <w:rsid w:val="20DD6892"/>
    <w:rsid w:val="20FF1092"/>
    <w:rsid w:val="213E282B"/>
    <w:rsid w:val="22317971"/>
    <w:rsid w:val="23A63E3D"/>
    <w:rsid w:val="25187BB4"/>
    <w:rsid w:val="25C1377F"/>
    <w:rsid w:val="26527EB6"/>
    <w:rsid w:val="27217C85"/>
    <w:rsid w:val="27363284"/>
    <w:rsid w:val="279E53EB"/>
    <w:rsid w:val="27CE2895"/>
    <w:rsid w:val="28BD194A"/>
    <w:rsid w:val="28EC2844"/>
    <w:rsid w:val="2BDE6E80"/>
    <w:rsid w:val="2D4D13D7"/>
    <w:rsid w:val="2D6910AD"/>
    <w:rsid w:val="2DB3111E"/>
    <w:rsid w:val="2DEA3A6B"/>
    <w:rsid w:val="2F0541CC"/>
    <w:rsid w:val="2F3960B7"/>
    <w:rsid w:val="30104898"/>
    <w:rsid w:val="309148BA"/>
    <w:rsid w:val="30A659DA"/>
    <w:rsid w:val="31AA6DF8"/>
    <w:rsid w:val="324059AE"/>
    <w:rsid w:val="324B7B0A"/>
    <w:rsid w:val="32501AB9"/>
    <w:rsid w:val="32C20171"/>
    <w:rsid w:val="3359251C"/>
    <w:rsid w:val="337376BE"/>
    <w:rsid w:val="33742EEC"/>
    <w:rsid w:val="343C7396"/>
    <w:rsid w:val="355A6D87"/>
    <w:rsid w:val="36274EBB"/>
    <w:rsid w:val="37224C3F"/>
    <w:rsid w:val="384E3D2B"/>
    <w:rsid w:val="38680DAA"/>
    <w:rsid w:val="387012AD"/>
    <w:rsid w:val="38B247E4"/>
    <w:rsid w:val="399E7FCA"/>
    <w:rsid w:val="39F02ED8"/>
    <w:rsid w:val="3B8312FD"/>
    <w:rsid w:val="3C2C392E"/>
    <w:rsid w:val="3C4E2A76"/>
    <w:rsid w:val="3C685CAB"/>
    <w:rsid w:val="3C8B4F03"/>
    <w:rsid w:val="3C9B3F0D"/>
    <w:rsid w:val="3E8836C1"/>
    <w:rsid w:val="3EA43F7C"/>
    <w:rsid w:val="3F092439"/>
    <w:rsid w:val="3F9A43B0"/>
    <w:rsid w:val="3FDC1276"/>
    <w:rsid w:val="40004CCB"/>
    <w:rsid w:val="411834DB"/>
    <w:rsid w:val="41377359"/>
    <w:rsid w:val="41FA186D"/>
    <w:rsid w:val="43104F29"/>
    <w:rsid w:val="432673BF"/>
    <w:rsid w:val="43A51B15"/>
    <w:rsid w:val="43AA4801"/>
    <w:rsid w:val="44225F56"/>
    <w:rsid w:val="44524D55"/>
    <w:rsid w:val="445A2900"/>
    <w:rsid w:val="445F49DE"/>
    <w:rsid w:val="45404891"/>
    <w:rsid w:val="454702B7"/>
    <w:rsid w:val="45585E85"/>
    <w:rsid w:val="456552B2"/>
    <w:rsid w:val="47BF6AFA"/>
    <w:rsid w:val="48604B18"/>
    <w:rsid w:val="486A73F7"/>
    <w:rsid w:val="491621F6"/>
    <w:rsid w:val="495351E3"/>
    <w:rsid w:val="4A7B712C"/>
    <w:rsid w:val="4AF62C56"/>
    <w:rsid w:val="4B27090E"/>
    <w:rsid w:val="4B2B3322"/>
    <w:rsid w:val="4B6422B6"/>
    <w:rsid w:val="4B995EC1"/>
    <w:rsid w:val="4CD45A3E"/>
    <w:rsid w:val="4D64659D"/>
    <w:rsid w:val="4D94293F"/>
    <w:rsid w:val="4E5607F7"/>
    <w:rsid w:val="4EC14377"/>
    <w:rsid w:val="4FA16371"/>
    <w:rsid w:val="503F1B57"/>
    <w:rsid w:val="50601B7A"/>
    <w:rsid w:val="509C5707"/>
    <w:rsid w:val="51667545"/>
    <w:rsid w:val="52CB7035"/>
    <w:rsid w:val="52CD24EF"/>
    <w:rsid w:val="52F65EE9"/>
    <w:rsid w:val="531514A7"/>
    <w:rsid w:val="54281936"/>
    <w:rsid w:val="55DA38A0"/>
    <w:rsid w:val="564B02FA"/>
    <w:rsid w:val="56752260"/>
    <w:rsid w:val="570C4078"/>
    <w:rsid w:val="5828037B"/>
    <w:rsid w:val="587C7AF8"/>
    <w:rsid w:val="58BD36F5"/>
    <w:rsid w:val="58E862D4"/>
    <w:rsid w:val="59EB25C5"/>
    <w:rsid w:val="59FC7BC7"/>
    <w:rsid w:val="5A2A57A8"/>
    <w:rsid w:val="5B482FB6"/>
    <w:rsid w:val="5B931705"/>
    <w:rsid w:val="5C542B1A"/>
    <w:rsid w:val="5C7D12AE"/>
    <w:rsid w:val="5C8005D2"/>
    <w:rsid w:val="5D311EF2"/>
    <w:rsid w:val="5DC724FC"/>
    <w:rsid w:val="5E3A5B5A"/>
    <w:rsid w:val="5EDD5F86"/>
    <w:rsid w:val="5F9F0F87"/>
    <w:rsid w:val="5FC04F1D"/>
    <w:rsid w:val="606A2105"/>
    <w:rsid w:val="61614E7D"/>
    <w:rsid w:val="616404C2"/>
    <w:rsid w:val="61FD6849"/>
    <w:rsid w:val="620152D8"/>
    <w:rsid w:val="62727F27"/>
    <w:rsid w:val="62DC5BC0"/>
    <w:rsid w:val="63027F93"/>
    <w:rsid w:val="630612E8"/>
    <w:rsid w:val="63B429FB"/>
    <w:rsid w:val="64CB084F"/>
    <w:rsid w:val="650637AD"/>
    <w:rsid w:val="65AA4095"/>
    <w:rsid w:val="65DE5A01"/>
    <w:rsid w:val="65FD3A5C"/>
    <w:rsid w:val="663366B5"/>
    <w:rsid w:val="678216A2"/>
    <w:rsid w:val="679E23E3"/>
    <w:rsid w:val="67E61450"/>
    <w:rsid w:val="68132BBB"/>
    <w:rsid w:val="68716F70"/>
    <w:rsid w:val="691A33D1"/>
    <w:rsid w:val="694632B1"/>
    <w:rsid w:val="69913E18"/>
    <w:rsid w:val="6A180C17"/>
    <w:rsid w:val="6AF110A8"/>
    <w:rsid w:val="6B600EB2"/>
    <w:rsid w:val="6B7B1BB6"/>
    <w:rsid w:val="6BCF5319"/>
    <w:rsid w:val="6CE94A04"/>
    <w:rsid w:val="6D016666"/>
    <w:rsid w:val="6D35040B"/>
    <w:rsid w:val="6D3D6B7E"/>
    <w:rsid w:val="6D790759"/>
    <w:rsid w:val="6E2A577C"/>
    <w:rsid w:val="6E301EF1"/>
    <w:rsid w:val="6E5F687E"/>
    <w:rsid w:val="6E834E87"/>
    <w:rsid w:val="6E890B19"/>
    <w:rsid w:val="6EB32A89"/>
    <w:rsid w:val="6F806E0F"/>
    <w:rsid w:val="6FA055DA"/>
    <w:rsid w:val="701E5DC2"/>
    <w:rsid w:val="702C2AF3"/>
    <w:rsid w:val="706D6BAF"/>
    <w:rsid w:val="719F164D"/>
    <w:rsid w:val="71BB5EDC"/>
    <w:rsid w:val="71F52906"/>
    <w:rsid w:val="72264D1E"/>
    <w:rsid w:val="72D336FA"/>
    <w:rsid w:val="73D04495"/>
    <w:rsid w:val="73EE53A3"/>
    <w:rsid w:val="74133C5F"/>
    <w:rsid w:val="741877ED"/>
    <w:rsid w:val="74981C8C"/>
    <w:rsid w:val="74F34C37"/>
    <w:rsid w:val="75630BE3"/>
    <w:rsid w:val="75705BAE"/>
    <w:rsid w:val="75A51878"/>
    <w:rsid w:val="75C33EAC"/>
    <w:rsid w:val="762505BA"/>
    <w:rsid w:val="766F54E7"/>
    <w:rsid w:val="77333282"/>
    <w:rsid w:val="776E0433"/>
    <w:rsid w:val="77E012B8"/>
    <w:rsid w:val="787C6499"/>
    <w:rsid w:val="78AF606F"/>
    <w:rsid w:val="78FE1379"/>
    <w:rsid w:val="79D51B05"/>
    <w:rsid w:val="7A064C68"/>
    <w:rsid w:val="7A4021B7"/>
    <w:rsid w:val="7BDC14A4"/>
    <w:rsid w:val="7BF5EB00"/>
    <w:rsid w:val="7C507659"/>
    <w:rsid w:val="7C563588"/>
    <w:rsid w:val="7C9C6200"/>
    <w:rsid w:val="7CAF5CE6"/>
    <w:rsid w:val="7E105962"/>
    <w:rsid w:val="7E9C1D4E"/>
    <w:rsid w:val="7F247348"/>
    <w:rsid w:val="7FA14CB2"/>
    <w:rsid w:val="7FE42AA2"/>
    <w:rsid w:val="BCFFD361"/>
    <w:rsid w:val="FE7E0B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200" w:firstLineChars="200"/>
      <w:jc w:val="both"/>
    </w:pPr>
    <w:rPr>
      <w:rFonts w:ascii="Times New Roman" w:hAnsi="Times New Roman" w:eastAsia="方正仿宋_GB2312" w:cstheme="minorBidi"/>
      <w:kern w:val="2"/>
      <w:sz w:val="32"/>
      <w:szCs w:val="22"/>
      <w:lang w:val="en-US" w:eastAsia="zh-CN" w:bidi="ar-SA"/>
    </w:rPr>
  </w:style>
  <w:style w:type="paragraph" w:styleId="3">
    <w:name w:val="heading 1"/>
    <w:next w:val="1"/>
    <w:link w:val="29"/>
    <w:qFormat/>
    <w:uiPriority w:val="99"/>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4">
    <w:name w:val="heading 2"/>
    <w:next w:val="1"/>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方正楷体_GB2312" w:cs="方正楷体_GB2312"/>
      <w:sz w:val="32"/>
      <w:szCs w:val="32"/>
    </w:rPr>
  </w:style>
  <w:style w:type="paragraph" w:styleId="5">
    <w:name w:val="heading 3"/>
    <w:next w:val="1"/>
    <w:link w:val="31"/>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方正仿宋_GB2312" w:cs="方正仿宋_GB2312"/>
      <w:sz w:val="32"/>
      <w:szCs w:val="32"/>
    </w:rPr>
  </w:style>
  <w:style w:type="paragraph" w:styleId="6">
    <w:name w:val="heading 4"/>
    <w:next w:val="1"/>
    <w:link w:val="32"/>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方正仿宋_GB2312" w:cs="方正仿宋_GB2312"/>
      <w:sz w:val="32"/>
      <w:szCs w:val="32"/>
    </w:rPr>
  </w:style>
  <w:style w:type="paragraph" w:styleId="7">
    <w:name w:val="heading 5"/>
    <w:next w:val="1"/>
    <w:unhideWhenUsed/>
    <w:qFormat/>
    <w:uiPriority w:val="0"/>
    <w:pPr>
      <w:spacing w:line="560" w:lineRule="exact"/>
      <w:ind w:firstLine="894" w:firstLineChars="200"/>
      <w:outlineLvl w:val="4"/>
    </w:pPr>
    <w:rPr>
      <w:rFonts w:ascii="Times New Roman" w:hAnsi="Times New Roman" w:eastAsia="方正仿宋_GB2312" w:cs="方正仿宋_GB2312"/>
      <w:sz w:val="32"/>
      <w:szCs w:val="32"/>
    </w:rPr>
  </w:style>
  <w:style w:type="paragraph" w:styleId="8">
    <w:name w:val="heading 6"/>
    <w:next w:val="1"/>
    <w:unhideWhenUsed/>
    <w:qFormat/>
    <w:uiPriority w:val="0"/>
    <w:pPr>
      <w:spacing w:line="560" w:lineRule="exact"/>
      <w:ind w:firstLine="894" w:firstLineChars="200"/>
      <w:outlineLvl w:val="5"/>
    </w:pPr>
    <w:rPr>
      <w:rFonts w:ascii="Times New Roman" w:hAnsi="Times New Roman" w:eastAsia="方正仿宋_GB2312" w:cs="方正仿宋_GB2312"/>
      <w:sz w:val="32"/>
      <w:szCs w:val="32"/>
    </w:rPr>
  </w:style>
  <w:style w:type="paragraph" w:styleId="9">
    <w:name w:val="heading 7"/>
    <w:next w:val="1"/>
    <w:unhideWhenUsed/>
    <w:qFormat/>
    <w:uiPriority w:val="0"/>
    <w:pPr>
      <w:spacing w:line="560" w:lineRule="exact"/>
      <w:ind w:firstLine="894" w:firstLineChars="200"/>
      <w:outlineLvl w:val="6"/>
    </w:pPr>
    <w:rPr>
      <w:rFonts w:ascii="Times New Roman" w:hAnsi="Times New Roman" w:eastAsia="方正仿宋_GB2312" w:cs="方正仿宋_GB2312"/>
      <w:sz w:val="32"/>
      <w:szCs w:val="32"/>
    </w:rPr>
  </w:style>
  <w:style w:type="paragraph" w:styleId="10">
    <w:name w:val="heading 8"/>
    <w:next w:val="1"/>
    <w:unhideWhenUsed/>
    <w:qFormat/>
    <w:uiPriority w:val="0"/>
    <w:pPr>
      <w:spacing w:line="560" w:lineRule="exact"/>
      <w:ind w:firstLine="894" w:firstLineChars="200"/>
      <w:outlineLvl w:val="7"/>
    </w:pPr>
    <w:rPr>
      <w:rFonts w:ascii="Times New Roman" w:hAnsi="Times New Roman" w:eastAsia="方正仿宋_GB2312" w:cs="方正仿宋_GB2312"/>
      <w:sz w:val="32"/>
      <w:szCs w:val="32"/>
    </w:rPr>
  </w:style>
  <w:style w:type="paragraph" w:styleId="11">
    <w:name w:val="heading 9"/>
    <w:next w:val="1"/>
    <w:unhideWhenUsed/>
    <w:qFormat/>
    <w:uiPriority w:val="0"/>
    <w:pPr>
      <w:spacing w:line="560" w:lineRule="exact"/>
      <w:ind w:firstLine="894" w:firstLineChars="200"/>
      <w:outlineLvl w:val="8"/>
    </w:pPr>
    <w:rPr>
      <w:rFonts w:ascii="Times New Roman" w:hAnsi="Times New Roman" w:eastAsia="方正仿宋_GB2312" w:cs="方正仿宋_GB2312"/>
      <w:sz w:val="32"/>
      <w:szCs w:val="32"/>
    </w:rPr>
  </w:style>
  <w:style w:type="character" w:default="1" w:styleId="25">
    <w:name w:val="Default Paragraph Font"/>
    <w:semiHidden/>
    <w:qFormat/>
    <w:uiPriority w:val="0"/>
  </w:style>
  <w:style w:type="table" w:default="1" w:styleId="2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560" w:lineRule="exact"/>
      <w:ind w:firstLine="630" w:firstLineChars="200"/>
      <w:jc w:val="both"/>
    </w:pPr>
    <w:rPr>
      <w:rFonts w:ascii="Times New Roman" w:hAnsi="Times New Roman" w:eastAsia="方正仿宋_GB2312" w:cs="方正仿宋_GB2312"/>
      <w:spacing w:val="-6"/>
      <w:sz w:val="32"/>
      <w:szCs w:val="32"/>
    </w:rPr>
  </w:style>
  <w:style w:type="paragraph" w:styleId="12">
    <w:name w:val="annotation text"/>
    <w:basedOn w:val="1"/>
    <w:qFormat/>
    <w:uiPriority w:val="0"/>
    <w:pPr>
      <w:jc w:val="left"/>
    </w:pPr>
  </w:style>
  <w:style w:type="paragraph" w:styleId="13">
    <w:name w:val="toc 3"/>
    <w:basedOn w:val="1"/>
    <w:next w:val="1"/>
    <w:qFormat/>
    <w:uiPriority w:val="0"/>
    <w:pPr>
      <w:ind w:left="840" w:leftChars="400"/>
    </w:pPr>
  </w:style>
  <w:style w:type="paragraph" w:styleId="14">
    <w:name w:val="Plain Text"/>
    <w:basedOn w:val="1"/>
    <w:next w:val="1"/>
    <w:qFormat/>
    <w:uiPriority w:val="0"/>
    <w:rPr>
      <w:rFonts w:ascii="宋体" w:hAnsi="宋体" w:eastAsia="宋体"/>
      <w:color w:val="000000"/>
      <w:kern w:val="0"/>
      <w:sz w:val="20"/>
      <w:szCs w:val="21"/>
    </w:rPr>
  </w:style>
  <w:style w:type="paragraph" w:styleId="15">
    <w:name w:val="footer"/>
    <w:unhideWhenUsed/>
    <w:qFormat/>
    <w:uiPriority w:val="99"/>
    <w:pPr>
      <w:widowControl w:val="0"/>
      <w:tabs>
        <w:tab w:val="center" w:pos="4153"/>
        <w:tab w:val="right" w:pos="8306"/>
      </w:tabs>
      <w:snapToGrid w:val="0"/>
      <w:spacing w:line="560" w:lineRule="exact"/>
      <w:ind w:firstLine="200" w:firstLineChars="200"/>
      <w:jc w:val="left"/>
    </w:pPr>
    <w:rPr>
      <w:rFonts w:ascii="Times New Roman" w:hAnsi="Times New Roman" w:eastAsia="方正仿宋_GB2312" w:cstheme="minorBidi"/>
      <w:kern w:val="2"/>
      <w:sz w:val="18"/>
      <w:szCs w:val="18"/>
      <w:lang w:val="en-US" w:eastAsia="zh-CN" w:bidi="ar-SA"/>
    </w:rPr>
  </w:style>
  <w:style w:type="paragraph" w:styleId="16">
    <w:name w:val="header"/>
    <w:qFormat/>
    <w:uiPriority w:val="0"/>
    <w:pPr>
      <w:widowControl w:val="0"/>
      <w:pBdr>
        <w:top w:val="none" w:color="auto" w:sz="0" w:space="1"/>
        <w:left w:val="none" w:color="auto" w:sz="0" w:space="4"/>
        <w:bottom w:val="none" w:color="auto" w:sz="0" w:space="1"/>
        <w:right w:val="none" w:color="auto" w:sz="0" w:space="4"/>
      </w:pBdr>
      <w:tabs>
        <w:tab w:val="center" w:pos="4153"/>
        <w:tab w:val="right" w:pos="8306"/>
      </w:tabs>
      <w:snapToGrid w:val="0"/>
      <w:spacing w:line="560" w:lineRule="exact"/>
      <w:ind w:firstLine="200" w:firstLineChars="200"/>
      <w:jc w:val="both"/>
    </w:pPr>
    <w:rPr>
      <w:rFonts w:ascii="Times New Roman" w:hAnsi="Times New Roman" w:eastAsia="方正仿宋_GB2312" w:cstheme="minorBidi"/>
      <w:kern w:val="2"/>
      <w:sz w:val="18"/>
      <w:szCs w:val="22"/>
      <w:lang w:val="en-US" w:eastAsia="zh-CN" w:bidi="ar-SA"/>
    </w:rPr>
  </w:style>
  <w:style w:type="paragraph" w:styleId="17">
    <w:name w:val="toc 1"/>
    <w:basedOn w:val="1"/>
    <w:next w:val="1"/>
    <w:qFormat/>
    <w:uiPriority w:val="0"/>
  </w:style>
  <w:style w:type="paragraph" w:styleId="18">
    <w:name w:val="Subtitle"/>
    <w:qFormat/>
    <w:uiPriority w:val="0"/>
    <w:pPr>
      <w:spacing w:beforeLines="0" w:beforeAutospacing="0" w:afterLines="0" w:afterAutospacing="0" w:line="720" w:lineRule="exact"/>
      <w:jc w:val="center"/>
      <w:outlineLvl w:val="9"/>
    </w:pPr>
    <w:rPr>
      <w:rFonts w:ascii="Times New Roman" w:hAnsi="Times New Roman" w:eastAsia="方正仿宋_GB2312" w:cs="方正仿宋_GB2312"/>
      <w:kern w:val="28"/>
      <w:sz w:val="32"/>
      <w:szCs w:val="32"/>
    </w:rPr>
  </w:style>
  <w:style w:type="paragraph" w:styleId="19">
    <w:name w:val="footnote text"/>
    <w:basedOn w:val="1"/>
    <w:qFormat/>
    <w:uiPriority w:val="0"/>
    <w:pPr>
      <w:snapToGrid w:val="0"/>
      <w:jc w:val="left"/>
    </w:pPr>
    <w:rPr>
      <w:sz w:val="18"/>
    </w:rPr>
  </w:style>
  <w:style w:type="paragraph" w:styleId="20">
    <w:name w:val="index 9"/>
    <w:basedOn w:val="1"/>
    <w:next w:val="1"/>
    <w:qFormat/>
    <w:uiPriority w:val="0"/>
    <w:pPr>
      <w:spacing w:line="560" w:lineRule="exact"/>
      <w:ind w:firstLine="640" w:firstLineChars="200"/>
    </w:pPr>
    <w:rPr>
      <w:rFonts w:ascii="仿宋_GB2312" w:hAnsi="仿宋" w:eastAsia="仿宋_GB2312" w:cs="仿宋"/>
      <w:sz w:val="32"/>
      <w:szCs w:val="32"/>
    </w:rPr>
  </w:style>
  <w:style w:type="paragraph" w:styleId="21">
    <w:name w:val="toc 2"/>
    <w:basedOn w:val="1"/>
    <w:next w:val="1"/>
    <w:qFormat/>
    <w:uiPriority w:val="0"/>
    <w:pPr>
      <w:ind w:left="420" w:leftChars="200"/>
    </w:pPr>
  </w:style>
  <w:style w:type="paragraph" w:styleId="22">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table" w:styleId="24">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qFormat/>
    <w:uiPriority w:val="0"/>
    <w:rPr>
      <w:b/>
    </w:rPr>
  </w:style>
  <w:style w:type="character" w:styleId="27">
    <w:name w:val="footnote reference"/>
    <w:basedOn w:val="25"/>
    <w:qFormat/>
    <w:uiPriority w:val="0"/>
    <w:rPr>
      <w:vertAlign w:val="superscript"/>
    </w:rPr>
  </w:style>
  <w:style w:type="paragraph" w:customStyle="1" w:styleId="28">
    <w:name w:val="TOC 11"/>
    <w:next w:val="1"/>
    <w:qFormat/>
    <w:uiPriority w:val="0"/>
    <w:pPr>
      <w:wordWrap w:val="0"/>
      <w:jc w:val="both"/>
    </w:pPr>
    <w:rPr>
      <w:rFonts w:ascii="Times New Roman" w:hAnsi="Times New Roman" w:eastAsia="宋体" w:cs="Times New Roman"/>
      <w:sz w:val="21"/>
      <w:szCs w:val="22"/>
      <w:lang w:val="en-US" w:eastAsia="zh-CN" w:bidi="ar-SA"/>
    </w:rPr>
  </w:style>
  <w:style w:type="character" w:customStyle="1" w:styleId="29">
    <w:name w:val="标题 1 字符"/>
    <w:link w:val="3"/>
    <w:qFormat/>
    <w:uiPriority w:val="99"/>
    <w:rPr>
      <w:rFonts w:ascii="Times New Roman" w:hAnsi="Times New Roman" w:eastAsia="黑体" w:cs="黑体"/>
      <w:kern w:val="2"/>
      <w:sz w:val="32"/>
      <w:szCs w:val="36"/>
      <w:lang w:val="en-US" w:eastAsia="zh-CN" w:bidi="ar-SA"/>
    </w:rPr>
  </w:style>
  <w:style w:type="paragraph" w:customStyle="1" w:styleId="30">
    <w:name w:val="章标题"/>
    <w:next w:val="1"/>
    <w:qFormat/>
    <w:uiPriority w:val="0"/>
    <w:pPr>
      <w:widowControl w:val="0"/>
      <w:spacing w:line="560" w:lineRule="exact"/>
      <w:jc w:val="center"/>
      <w:outlineLvl w:val="0"/>
    </w:pPr>
    <w:rPr>
      <w:rFonts w:ascii="黑体" w:hAnsi="黑体" w:eastAsia="黑体" w:cs="黑体"/>
      <w:bCs/>
      <w:spacing w:val="-6"/>
      <w:kern w:val="44"/>
      <w:sz w:val="32"/>
      <w:szCs w:val="32"/>
      <w:lang w:bidi="ar-SA"/>
    </w:rPr>
  </w:style>
  <w:style w:type="character" w:customStyle="1" w:styleId="31">
    <w:name w:val="标题 3 Char"/>
    <w:link w:val="5"/>
    <w:qFormat/>
    <w:uiPriority w:val="0"/>
    <w:rPr>
      <w:rFonts w:ascii="Times New Roman" w:hAnsi="Times New Roman" w:eastAsia="方正仿宋_GB2312" w:cs="方正仿宋_GB2312"/>
      <w:sz w:val="32"/>
      <w:szCs w:val="32"/>
    </w:rPr>
  </w:style>
  <w:style w:type="character" w:customStyle="1" w:styleId="32">
    <w:name w:val="标题 4 Char"/>
    <w:link w:val="6"/>
    <w:qFormat/>
    <w:uiPriority w:val="0"/>
    <w:rPr>
      <w:rFonts w:ascii="Times New Roman" w:hAnsi="Times New Roman" w:eastAsia="方正仿宋_GB2312" w:cs="方正仿宋_GB2312"/>
      <w:sz w:val="32"/>
      <w:szCs w:val="32"/>
    </w:rPr>
  </w:style>
  <w:style w:type="paragraph" w:customStyle="1" w:styleId="33">
    <w:name w:val="节"/>
    <w:basedOn w:val="1"/>
    <w:qFormat/>
    <w:uiPriority w:val="0"/>
    <w:pPr>
      <w:ind w:firstLine="0" w:firstLineChars="0"/>
      <w:jc w:val="center"/>
    </w:pPr>
    <w:rPr>
      <w:rFonts w:hint="eastAsia" w:ascii="黑体" w:hAnsi="黑体" w:eastAsia="黑体" w:cs="黑体"/>
    </w:rPr>
  </w:style>
  <w:style w:type="paragraph" w:customStyle="1" w:styleId="34">
    <w:name w:val="一"/>
    <w:basedOn w:val="1"/>
    <w:qFormat/>
    <w:uiPriority w:val="0"/>
    <w:rPr>
      <w:rFonts w:hint="eastAsia" w:ascii="黑体" w:hAnsi="黑体" w:eastAsia="黑体" w:cs="黑体"/>
    </w:rPr>
  </w:style>
  <w:style w:type="paragraph" w:customStyle="1" w:styleId="35">
    <w:name w:val="BodyText"/>
    <w:basedOn w:val="1"/>
    <w:qFormat/>
    <w:uiPriority w:val="0"/>
    <w:pPr>
      <w:suppressAutoHyphens/>
      <w:spacing w:after="120" w:line="240" w:lineRule="auto"/>
      <w:textAlignment w:val="baseline"/>
    </w:pPr>
    <w:rPr>
      <w:rFonts w:ascii="仿宋_GB2312" w:hAnsi="Tahoma" w:eastAsia="仿宋_GB2312"/>
      <w:kern w:val="0"/>
      <w:sz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52</Pages>
  <Words>24203</Words>
  <Characters>24639</Characters>
  <Lines>0</Lines>
  <Paragraphs>0</Paragraphs>
  <TotalTime>4</TotalTime>
  <ScaleCrop>false</ScaleCrop>
  <LinksUpToDate>false</LinksUpToDate>
  <CharactersWithSpaces>24705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2025-12-08T16:26:00Z</dcterms:created>
  <dc:creator>陈波</dc:creator>
  <cp:lastModifiedBy>乖乖胖</cp:lastModifiedBy>
  <cp:lastPrinted>2026-03-02T01:12:00Z</cp:lastPrinted>
  <dcterms:modified xsi:type="dcterms:W3CDTF">2026-10-19T09:13:44Z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CDF843A8CBC3F45191C2A3698114A248_43</vt:lpwstr>
  </property>
  <property fmtid="{D5CDD505-2E9C-101B-9397-08002B2CF9AE}" pid="4" name="KSOTemplateDocerSaveRecord">
    <vt:lpwstr>eyJoZGlkIjoiNGY4ZGEyOWI0NjJlNDU1OTY0MTU3MzZlNGNjNDI0MTQiLCJ1c2VySWQiOiIzMzM2NzIxNzIifQ==</vt:lpwstr>
  </property>
  <property fmtid="{D5CDD505-2E9C-101B-9397-08002B2CF9AE}" pid="5" name="标题_1">
    <vt:lpwstr>“十五五”时期朝阳区民政事业发展规划</vt:lpwstr>
  </property>
</Properties>
</file>