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1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808"/>
        <w:gridCol w:w="1175"/>
        <w:gridCol w:w="1956"/>
        <w:gridCol w:w="2144"/>
        <w:gridCol w:w="1385"/>
        <w:gridCol w:w="1334"/>
        <w:gridCol w:w="14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000" w:type="pct"/>
            <w:gridSpan w:val="8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sz w:val="25"/>
                <w:szCs w:val="25"/>
                <w:bdr w:val="none" w:color="auto" w:sz="0" w:space="0"/>
              </w:rPr>
              <w:t>北京市城镇职工基本医疗保险医疗费用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sz w:val="25"/>
                <w:szCs w:val="25"/>
                <w:bdr w:val="none" w:color="auto" w:sz="0" w:space="0"/>
              </w:rPr>
              <w:t>报销比例一览表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5" w:type="pct"/>
            <w:vMerge w:val="restar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工</w:t>
            </w:r>
          </w:p>
        </w:tc>
        <w:tc>
          <w:tcPr>
            <w:tcW w:w="361" w:type="pct"/>
            <w:vMerge w:val="restar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类</w:t>
            </w:r>
          </w:p>
        </w:tc>
        <w:tc>
          <w:tcPr>
            <w:tcW w:w="1399" w:type="pct"/>
            <w:gridSpan w:val="2"/>
            <w:vMerge w:val="restar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参保人员类别</w:t>
            </w:r>
          </w:p>
        </w:tc>
        <w:tc>
          <w:tcPr>
            <w:tcW w:w="958" w:type="pct"/>
            <w:vMerge w:val="restar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起付线</w:t>
            </w:r>
          </w:p>
        </w:tc>
        <w:tc>
          <w:tcPr>
            <w:tcW w:w="619" w:type="pct"/>
            <w:vMerge w:val="restar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封顶线</w:t>
            </w:r>
          </w:p>
        </w:tc>
        <w:tc>
          <w:tcPr>
            <w:tcW w:w="1226" w:type="pct"/>
            <w:gridSpan w:val="2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报销比例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5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1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9" w:type="pct"/>
            <w:gridSpan w:val="2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8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9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社区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医院</w:t>
            </w:r>
          </w:p>
        </w:tc>
        <w:tc>
          <w:tcPr>
            <w:tcW w:w="63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35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1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9" w:type="pct"/>
            <w:gridSpan w:val="2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在职</w:t>
            </w:r>
          </w:p>
        </w:tc>
        <w:tc>
          <w:tcPr>
            <w:tcW w:w="958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  <w:t>1800元</w:t>
            </w:r>
          </w:p>
        </w:tc>
        <w:tc>
          <w:tcPr>
            <w:tcW w:w="619" w:type="pct"/>
            <w:vMerge w:val="restar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  <w:t>2万</w:t>
            </w:r>
          </w:p>
        </w:tc>
        <w:tc>
          <w:tcPr>
            <w:tcW w:w="596" w:type="pct"/>
            <w:vMerge w:val="restar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  <w:t>90%</w:t>
            </w:r>
          </w:p>
        </w:tc>
        <w:tc>
          <w:tcPr>
            <w:tcW w:w="63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35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1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pct"/>
            <w:vMerge w:val="restar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退休</w:t>
            </w:r>
          </w:p>
        </w:tc>
        <w:tc>
          <w:tcPr>
            <w:tcW w:w="874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  <w:t>70岁以下</w:t>
            </w:r>
          </w:p>
        </w:tc>
        <w:tc>
          <w:tcPr>
            <w:tcW w:w="958" w:type="pct"/>
            <w:vMerge w:val="restar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1300元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96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  <w:t>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35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1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  <w:t>70岁以上</w:t>
            </w:r>
          </w:p>
        </w:tc>
        <w:tc>
          <w:tcPr>
            <w:tcW w:w="958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19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96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5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1" w:type="pct"/>
            <w:vMerge w:val="restar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类</w:t>
            </w:r>
          </w:p>
        </w:tc>
        <w:tc>
          <w:tcPr>
            <w:tcW w:w="525" w:type="pct"/>
            <w:vMerge w:val="restar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参保人员类别</w:t>
            </w:r>
          </w:p>
        </w:tc>
        <w:tc>
          <w:tcPr>
            <w:tcW w:w="874" w:type="pct"/>
            <w:vMerge w:val="restar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起付线</w:t>
            </w:r>
          </w:p>
        </w:tc>
        <w:tc>
          <w:tcPr>
            <w:tcW w:w="2804" w:type="pct"/>
            <w:gridSpan w:val="4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报销比例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5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1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4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医疗费用金额段</w:t>
            </w:r>
          </w:p>
        </w:tc>
        <w:tc>
          <w:tcPr>
            <w:tcW w:w="619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一级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医院</w:t>
            </w:r>
          </w:p>
        </w:tc>
        <w:tc>
          <w:tcPr>
            <w:tcW w:w="596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二级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医院</w:t>
            </w:r>
          </w:p>
        </w:tc>
        <w:tc>
          <w:tcPr>
            <w:tcW w:w="63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三级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35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1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pct"/>
            <w:vMerge w:val="restar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在职</w:t>
            </w:r>
          </w:p>
        </w:tc>
        <w:tc>
          <w:tcPr>
            <w:tcW w:w="874" w:type="pct"/>
            <w:vMerge w:val="restar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  <w:t>本年度第一次住院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  <w:t>1300元，第二次及以后每次650元</w:t>
            </w:r>
          </w:p>
        </w:tc>
        <w:tc>
          <w:tcPr>
            <w:tcW w:w="958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  <w:t>1300元—3万</w:t>
            </w:r>
          </w:p>
        </w:tc>
        <w:tc>
          <w:tcPr>
            <w:tcW w:w="619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  <w:t>90%</w:t>
            </w:r>
          </w:p>
        </w:tc>
        <w:tc>
          <w:tcPr>
            <w:tcW w:w="596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  <w:t>87%</w:t>
            </w:r>
          </w:p>
        </w:tc>
        <w:tc>
          <w:tcPr>
            <w:tcW w:w="63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  <w:t>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35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1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4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  <w:t>3万—4万</w:t>
            </w:r>
          </w:p>
        </w:tc>
        <w:tc>
          <w:tcPr>
            <w:tcW w:w="619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  <w:t>95%</w:t>
            </w:r>
          </w:p>
        </w:tc>
        <w:tc>
          <w:tcPr>
            <w:tcW w:w="596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  <w:t>92%</w:t>
            </w:r>
          </w:p>
        </w:tc>
        <w:tc>
          <w:tcPr>
            <w:tcW w:w="63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35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1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4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  <w:t>4万—10万</w:t>
            </w:r>
          </w:p>
        </w:tc>
        <w:tc>
          <w:tcPr>
            <w:tcW w:w="619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  <w:t>97%</w:t>
            </w:r>
          </w:p>
        </w:tc>
        <w:tc>
          <w:tcPr>
            <w:tcW w:w="596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  <w:t>97%</w:t>
            </w:r>
          </w:p>
        </w:tc>
        <w:tc>
          <w:tcPr>
            <w:tcW w:w="63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35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1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4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  <w:t>10万—50万</w:t>
            </w:r>
          </w:p>
        </w:tc>
        <w:tc>
          <w:tcPr>
            <w:tcW w:w="1846" w:type="pct"/>
            <w:gridSpan w:val="3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  <w:t>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35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1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pct"/>
            <w:vMerge w:val="restar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退休</w:t>
            </w:r>
          </w:p>
        </w:tc>
        <w:tc>
          <w:tcPr>
            <w:tcW w:w="874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  <w:t>1300元—3万</w:t>
            </w:r>
          </w:p>
        </w:tc>
        <w:tc>
          <w:tcPr>
            <w:tcW w:w="619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  <w:t>97%</w:t>
            </w:r>
          </w:p>
        </w:tc>
        <w:tc>
          <w:tcPr>
            <w:tcW w:w="596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  <w:t>96.1%</w:t>
            </w:r>
          </w:p>
        </w:tc>
        <w:tc>
          <w:tcPr>
            <w:tcW w:w="63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  <w:t>95.5%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35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1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4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  <w:t>3万—4万</w:t>
            </w:r>
          </w:p>
        </w:tc>
        <w:tc>
          <w:tcPr>
            <w:tcW w:w="619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  <w:t>98.5%</w:t>
            </w:r>
          </w:p>
        </w:tc>
        <w:tc>
          <w:tcPr>
            <w:tcW w:w="596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  <w:t>97.6%</w:t>
            </w:r>
          </w:p>
        </w:tc>
        <w:tc>
          <w:tcPr>
            <w:tcW w:w="63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  <w:t>97%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35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1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4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  <w:t>4万—10万</w:t>
            </w:r>
          </w:p>
        </w:tc>
        <w:tc>
          <w:tcPr>
            <w:tcW w:w="619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  <w:t>99.1%</w:t>
            </w:r>
          </w:p>
        </w:tc>
        <w:tc>
          <w:tcPr>
            <w:tcW w:w="596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  <w:t>99.1%</w:t>
            </w:r>
          </w:p>
        </w:tc>
        <w:tc>
          <w:tcPr>
            <w:tcW w:w="63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  <w:t>98.5%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35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1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4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  <w:t>10万—50万</w:t>
            </w:r>
          </w:p>
        </w:tc>
        <w:tc>
          <w:tcPr>
            <w:tcW w:w="1846" w:type="pct"/>
            <w:gridSpan w:val="3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color w:val="3E3E3E"/>
                <w:kern w:val="0"/>
                <w:sz w:val="18"/>
                <w:szCs w:val="18"/>
                <w:lang w:val="en-US" w:eastAsia="zh-CN" w:bidi="ar"/>
              </w:rPr>
              <w:t>90%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jc w:val="center"/>
      </w:pPr>
      <w:r>
        <w:rPr>
          <w:rFonts w:hint="eastAsia"/>
          <w:lang w:eastAsia="zh-CN"/>
        </w:rPr>
        <w:tab/>
      </w:r>
    </w:p>
    <w:tbl>
      <w:tblPr>
        <w:tblW w:w="105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470"/>
        <w:gridCol w:w="1216"/>
        <w:gridCol w:w="1227"/>
        <w:gridCol w:w="1439"/>
        <w:gridCol w:w="1248"/>
        <w:gridCol w:w="1551"/>
        <w:gridCol w:w="12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jc w:val="center"/>
        </w:trPr>
        <w:tc>
          <w:tcPr>
            <w:tcW w:w="5000" w:type="pct"/>
            <w:gridSpan w:val="8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sz w:val="25"/>
                <w:szCs w:val="25"/>
                <w:bdr w:val="none" w:color="auto" w:sz="0" w:space="0"/>
              </w:rPr>
              <w:t>北京市城乡居民基本医疗保险医疗费用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sz w:val="25"/>
                <w:szCs w:val="25"/>
                <w:bdr w:val="none" w:color="auto" w:sz="0" w:space="0"/>
              </w:rPr>
              <w:t>报销比例一览表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521" w:type="pct"/>
            <w:vMerge w:val="restar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Theme="minorHAnsi" w:hAnsiTheme="minorHAnsi" w:eastAsiaTheme="minorEastAsia" w:cstheme="minorBidi"/>
                <w:kern w:val="0"/>
                <w:sz w:val="24"/>
                <w:szCs w:val="28"/>
                <w:lang w:val="en-US" w:eastAsia="zh-CN" w:bidi="ar"/>
              </w:rPr>
              <w:t>类别</w:t>
            </w:r>
          </w:p>
        </w:tc>
        <w:tc>
          <w:tcPr>
            <w:tcW w:w="1860" w:type="pct"/>
            <w:gridSpan w:val="3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起付线</w:t>
            </w:r>
          </w:p>
        </w:tc>
        <w:tc>
          <w:tcPr>
            <w:tcW w:w="2617" w:type="pct"/>
            <w:gridSpan w:val="4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报销比例（按医院级别）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521" w:type="pct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一级及以下</w:t>
            </w:r>
          </w:p>
        </w:tc>
        <w:tc>
          <w:tcPr>
            <w:tcW w:w="578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二级</w:t>
            </w:r>
          </w:p>
        </w:tc>
        <w:tc>
          <w:tcPr>
            <w:tcW w:w="582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三级</w:t>
            </w:r>
          </w:p>
        </w:tc>
        <w:tc>
          <w:tcPr>
            <w:tcW w:w="684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一级及以下</w:t>
            </w:r>
          </w:p>
        </w:tc>
        <w:tc>
          <w:tcPr>
            <w:tcW w:w="593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二级</w:t>
            </w:r>
          </w:p>
        </w:tc>
        <w:tc>
          <w:tcPr>
            <w:tcW w:w="737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三级</w:t>
            </w:r>
          </w:p>
        </w:tc>
        <w:tc>
          <w:tcPr>
            <w:tcW w:w="601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封顶线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521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门诊</w:t>
            </w:r>
          </w:p>
        </w:tc>
        <w:tc>
          <w:tcPr>
            <w:tcW w:w="699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100元</w:t>
            </w:r>
          </w:p>
        </w:tc>
        <w:tc>
          <w:tcPr>
            <w:tcW w:w="1160" w:type="pct"/>
            <w:gridSpan w:val="2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550元</w:t>
            </w:r>
          </w:p>
        </w:tc>
        <w:tc>
          <w:tcPr>
            <w:tcW w:w="684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55%</w:t>
            </w:r>
          </w:p>
        </w:tc>
        <w:tc>
          <w:tcPr>
            <w:tcW w:w="593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50%</w:t>
            </w:r>
          </w:p>
        </w:tc>
        <w:tc>
          <w:tcPr>
            <w:tcW w:w="737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50%</w:t>
            </w:r>
          </w:p>
        </w:tc>
        <w:tc>
          <w:tcPr>
            <w:tcW w:w="601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4500元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521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住院</w:t>
            </w:r>
          </w:p>
        </w:tc>
        <w:tc>
          <w:tcPr>
            <w:tcW w:w="699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300元</w:t>
            </w:r>
          </w:p>
        </w:tc>
        <w:tc>
          <w:tcPr>
            <w:tcW w:w="578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800元</w:t>
            </w:r>
          </w:p>
        </w:tc>
        <w:tc>
          <w:tcPr>
            <w:tcW w:w="582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1300元</w:t>
            </w:r>
          </w:p>
        </w:tc>
        <w:tc>
          <w:tcPr>
            <w:tcW w:w="684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80%</w:t>
            </w:r>
          </w:p>
        </w:tc>
        <w:tc>
          <w:tcPr>
            <w:tcW w:w="593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78%</w:t>
            </w:r>
          </w:p>
        </w:tc>
        <w:tc>
          <w:tcPr>
            <w:tcW w:w="737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75%—78%</w:t>
            </w:r>
          </w:p>
        </w:tc>
        <w:tc>
          <w:tcPr>
            <w:tcW w:w="601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25万元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240" w:lineRule="auto"/>
        <w:ind w:left="0" w:right="0" w:firstLine="1680" w:firstLineChars="700"/>
        <w:jc w:val="left"/>
        <w:rPr>
          <w:rFonts w:ascii="微软雅黑" w:hAnsi="微软雅黑" w:eastAsia="微软雅黑" w:cs="微软雅黑"/>
          <w:b w:val="0"/>
          <w:i w:val="0"/>
          <w:caps w:val="0"/>
          <w:color w:val="auto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15"/>
          <w:sz w:val="21"/>
          <w:szCs w:val="21"/>
          <w:bdr w:val="none" w:color="auto" w:sz="0" w:space="0"/>
          <w:shd w:val="clear" w:fill="FFFFFF"/>
        </w:rPr>
        <w:t>注：①上表住院起付线特指本年度首次住院，老年人和劳动年龄内居民本年度第二次及以后住院，起付线减半。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2160" w:firstLineChars="9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15"/>
          <w:sz w:val="21"/>
          <w:szCs w:val="21"/>
          <w:bdr w:val="none" w:color="auto" w:sz="0" w:space="0"/>
          <w:shd w:val="clear" w:fill="FFFFFF"/>
        </w:rPr>
        <w:t>②学生儿童的住院起付线均减半。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2160" w:firstLineChars="9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15"/>
          <w:sz w:val="21"/>
          <w:szCs w:val="21"/>
          <w:bdr w:val="none" w:color="auto" w:sz="0" w:space="0"/>
          <w:shd w:val="clear" w:fill="FFFFFF"/>
        </w:rPr>
        <w:t>③区属三级定点医院住院报销比例为78%。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tabs>
          <w:tab w:val="left" w:pos="779"/>
        </w:tabs>
        <w:jc w:val="left"/>
        <w:rPr>
          <w:rFonts w:hint="eastAsia" w:eastAsiaTheme="minorEastAsia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47964"/>
    <w:rsid w:val="1D3E0FE3"/>
    <w:rsid w:val="2E71515F"/>
    <w:rsid w:val="31675405"/>
    <w:rsid w:val="35591789"/>
    <w:rsid w:val="445A732F"/>
    <w:rsid w:val="4C370A5D"/>
    <w:rsid w:val="560F3CE6"/>
    <w:rsid w:val="5C32640E"/>
    <w:rsid w:val="6331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2021-03-24T04:34:47Z</dcterms:created>
  <dc:creator>Administrator</dc:creator>
  <cp:lastModifiedBy>Administrator</cp:lastModifiedBy>
  <dcterms:modified xsi:type="dcterms:W3CDTF">2021-03-24T04:46:37Z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