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1D" w:rsidRDefault="00651D1D" w:rsidP="00651D1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北京市朝阳区望京街道办事处</w:t>
      </w:r>
    </w:p>
    <w:p w:rsidR="009221B5" w:rsidRDefault="003A4FCA" w:rsidP="00651D1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2021年政府信息公开工作年度报告</w:t>
      </w:r>
    </w:p>
    <w:p w:rsidR="009221B5" w:rsidRDefault="009221B5">
      <w:pPr>
        <w:spacing w:line="560" w:lineRule="exact"/>
        <w:jc w:val="center"/>
        <w:rPr>
          <w:sz w:val="44"/>
          <w:szCs w:val="44"/>
        </w:rPr>
      </w:pPr>
    </w:p>
    <w:p w:rsidR="009221B5" w:rsidRDefault="003A4FCA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 w:bidi="ar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:rsidR="009221B5" w:rsidRDefault="003A4FCA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一、总体情况</w:t>
      </w:r>
    </w:p>
    <w:p w:rsidR="0079406D" w:rsidRDefault="0079406D" w:rsidP="0079406D">
      <w:pPr>
        <w:spacing w:line="560" w:lineRule="exact"/>
        <w:ind w:firstLineChars="200" w:firstLine="643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ˎ̥" w:hint="eastAsia"/>
          <w:b/>
          <w:sz w:val="32"/>
          <w:szCs w:val="32"/>
        </w:rPr>
        <w:t>1</w:t>
      </w:r>
      <w:r w:rsidRPr="002F4EE6">
        <w:rPr>
          <w:rFonts w:ascii="仿宋_GB2312" w:eastAsia="仿宋_GB2312" w:hAnsi="ˎ̥" w:hint="eastAsia"/>
          <w:b/>
          <w:sz w:val="32"/>
          <w:szCs w:val="32"/>
        </w:rPr>
        <w:t>.</w:t>
      </w:r>
      <w:r>
        <w:rPr>
          <w:rFonts w:ascii="仿宋_GB2312" w:eastAsia="仿宋_GB2312" w:hAnsi="ˎ̥" w:hint="eastAsia"/>
          <w:b/>
          <w:sz w:val="32"/>
          <w:szCs w:val="32"/>
        </w:rPr>
        <w:t>组织领导、</w:t>
      </w:r>
      <w:r w:rsidRPr="002F4EE6">
        <w:rPr>
          <w:rFonts w:ascii="仿宋_GB2312" w:eastAsia="仿宋_GB2312" w:hAnsi="ˎ̥" w:hint="eastAsia"/>
          <w:b/>
          <w:sz w:val="32"/>
          <w:szCs w:val="32"/>
        </w:rPr>
        <w:t>监督保障及教育培训情况</w:t>
      </w:r>
      <w:r>
        <w:rPr>
          <w:rFonts w:ascii="仿宋_GB2312" w:eastAsia="仿宋_GB2312" w:hAnsi="ˎ̥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0"/>
        </w:rPr>
        <w:t>我</w:t>
      </w:r>
      <w:r w:rsidRPr="00FF1A77">
        <w:rPr>
          <w:rFonts w:ascii="仿宋_GB2312" w:eastAsia="仿宋_GB2312" w:hint="eastAsia"/>
          <w:sz w:val="32"/>
          <w:szCs w:val="30"/>
        </w:rPr>
        <w:t>街道</w:t>
      </w:r>
      <w:r w:rsidRPr="004D52DA">
        <w:rPr>
          <w:rFonts w:ascii="Times New Roman" w:eastAsia="仿宋_GB2312" w:hAnsi="Times New Roman" w:cs="Times New Roman" w:hint="eastAsia"/>
          <w:sz w:val="32"/>
          <w:szCs w:val="32"/>
        </w:rPr>
        <w:t>依托综合办负责政务公开日常工作，</w:t>
      </w:r>
      <w:r w:rsidRPr="00FF1A77">
        <w:rPr>
          <w:rFonts w:ascii="仿宋_GB2312" w:eastAsia="仿宋_GB2312" w:hint="eastAsia"/>
          <w:sz w:val="32"/>
          <w:szCs w:val="30"/>
        </w:rPr>
        <w:t>建立了政务公开工作协调机制，</w:t>
      </w:r>
      <w:r>
        <w:rPr>
          <w:rFonts w:ascii="仿宋_GB2312" w:eastAsia="仿宋_GB2312" w:hint="eastAsia"/>
          <w:sz w:val="32"/>
          <w:szCs w:val="30"/>
        </w:rPr>
        <w:t>根据街道主要领导分工调整情况</w:t>
      </w:r>
      <w:r w:rsidRPr="00FF1A77">
        <w:rPr>
          <w:rFonts w:ascii="仿宋_GB2312" w:eastAsia="仿宋_GB2312" w:hint="eastAsia"/>
          <w:sz w:val="32"/>
          <w:szCs w:val="30"/>
        </w:rPr>
        <w:t>确定街道副主任</w:t>
      </w:r>
      <w:r>
        <w:rPr>
          <w:rFonts w:ascii="仿宋_GB2312" w:eastAsia="仿宋_GB2312" w:hint="eastAsia"/>
          <w:sz w:val="32"/>
          <w:szCs w:val="30"/>
        </w:rPr>
        <w:t>廖丽丽</w:t>
      </w:r>
      <w:r w:rsidRPr="00FF1A77">
        <w:rPr>
          <w:rFonts w:ascii="仿宋_GB2312" w:eastAsia="仿宋_GB2312" w:hint="eastAsia"/>
          <w:sz w:val="32"/>
          <w:szCs w:val="30"/>
        </w:rPr>
        <w:t>同志分管政务公开工作，并在政府网站上对外公布</w:t>
      </w:r>
      <w:r w:rsidRPr="004D52DA">
        <w:rPr>
          <w:rFonts w:ascii="Times New Roman" w:eastAsia="仿宋_GB2312" w:hAnsi="Times New Roman" w:cs="Times New Roman" w:hint="eastAsia"/>
          <w:sz w:val="32"/>
          <w:szCs w:val="32"/>
        </w:rPr>
        <w:t>，领导、机构、人员“三到位”，按时、主动地发布政务公开全清单和年度报告，并在政府网站上对外公布</w:t>
      </w:r>
      <w:r w:rsidRPr="00FF1A77">
        <w:rPr>
          <w:rFonts w:ascii="仿宋_GB2312" w:eastAsia="仿宋_GB2312" w:hint="eastAsia"/>
          <w:sz w:val="32"/>
          <w:szCs w:val="30"/>
        </w:rPr>
        <w:t>。</w:t>
      </w:r>
      <w:r w:rsidRPr="004D52DA">
        <w:rPr>
          <w:rFonts w:ascii="Times New Roman" w:eastAsia="仿宋_GB2312" w:hAnsi="Times New Roman" w:cs="Times New Roman" w:hint="eastAsia"/>
          <w:sz w:val="32"/>
          <w:szCs w:val="32"/>
        </w:rPr>
        <w:t>严格履行信息发布保密审查、公文批办等程序。</w:t>
      </w:r>
      <w:r w:rsidRPr="00FF1A77">
        <w:rPr>
          <w:rFonts w:ascii="仿宋_GB2312" w:eastAsia="仿宋_GB2312" w:hint="eastAsia"/>
          <w:sz w:val="32"/>
          <w:szCs w:val="30"/>
        </w:rPr>
        <w:t>20</w:t>
      </w:r>
      <w:r>
        <w:rPr>
          <w:rFonts w:ascii="仿宋_GB2312" w:eastAsia="仿宋_GB2312" w:hint="eastAsia"/>
          <w:sz w:val="32"/>
          <w:szCs w:val="30"/>
        </w:rPr>
        <w:t>21</w:t>
      </w:r>
      <w:r w:rsidRPr="00FF1A77">
        <w:rPr>
          <w:rFonts w:ascii="仿宋_GB2312" w:eastAsia="仿宋_GB2312" w:hint="eastAsia"/>
          <w:sz w:val="32"/>
          <w:szCs w:val="30"/>
        </w:rPr>
        <w:t>年度组织2次主要负责人听取公开工作情况汇报，结合</w:t>
      </w:r>
      <w:r w:rsidRPr="00B3690E">
        <w:rPr>
          <w:rFonts w:ascii="仿宋_GB2312" w:eastAsia="仿宋_GB2312" w:hAnsi="Times New Roman" w:hint="eastAsia"/>
          <w:color w:val="000000"/>
          <w:sz w:val="32"/>
          <w:szCs w:val="32"/>
        </w:rPr>
        <w:t>政务公开全清单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的调整</w:t>
      </w:r>
      <w:r w:rsidRPr="00FF1A77">
        <w:rPr>
          <w:rFonts w:ascii="仿宋_GB2312" w:eastAsia="仿宋_GB2312" w:hint="eastAsia"/>
          <w:sz w:val="32"/>
          <w:szCs w:val="30"/>
        </w:rPr>
        <w:t>，组织开展1</w:t>
      </w:r>
      <w:r>
        <w:rPr>
          <w:rFonts w:ascii="仿宋_GB2312" w:eastAsia="仿宋_GB2312" w:hint="eastAsia"/>
          <w:sz w:val="32"/>
          <w:szCs w:val="30"/>
        </w:rPr>
        <w:t>次全员业务培训，提高主动公开意识。</w:t>
      </w:r>
    </w:p>
    <w:p w:rsidR="00651D1D" w:rsidRPr="001404CD" w:rsidRDefault="0079406D" w:rsidP="0079406D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Ansi="ˎ̥" w:hint="eastAsia"/>
          <w:b/>
          <w:sz w:val="32"/>
          <w:szCs w:val="32"/>
        </w:rPr>
        <w:t>2</w:t>
      </w:r>
      <w:r w:rsidR="00651D1D" w:rsidRPr="000703F6">
        <w:rPr>
          <w:rFonts w:ascii="仿宋_GB2312" w:eastAsia="仿宋_GB2312" w:hAnsi="ˎ̥" w:hint="eastAsia"/>
          <w:b/>
          <w:sz w:val="32"/>
          <w:szCs w:val="32"/>
        </w:rPr>
        <w:t>.主动公开情况：</w:t>
      </w:r>
      <w:r w:rsidRPr="0079406D">
        <w:rPr>
          <w:rFonts w:ascii="仿宋_GB2312" w:eastAsia="仿宋_GB2312" w:hint="eastAsia"/>
          <w:sz w:val="32"/>
          <w:szCs w:val="30"/>
        </w:rPr>
        <w:t>2021年我街道落实区委、区政府关于深化政务公开的工作计划</w:t>
      </w:r>
      <w:r>
        <w:rPr>
          <w:rFonts w:ascii="仿宋_GB2312" w:eastAsia="仿宋_GB2312" w:hint="eastAsia"/>
          <w:sz w:val="32"/>
          <w:szCs w:val="30"/>
        </w:rPr>
        <w:t>，</w:t>
      </w:r>
      <w:r w:rsidR="00651D1D" w:rsidRPr="0079406D">
        <w:rPr>
          <w:rFonts w:ascii="仿宋_GB2312" w:eastAsia="仿宋_GB2312" w:hint="eastAsia"/>
          <w:sz w:val="32"/>
          <w:szCs w:val="30"/>
        </w:rPr>
        <w:t>调整</w:t>
      </w:r>
      <w:r w:rsidR="00651D1D" w:rsidRPr="00B3690E">
        <w:rPr>
          <w:rFonts w:ascii="仿宋_GB2312" w:eastAsia="仿宋_GB2312" w:hAnsi="Times New Roman" w:hint="eastAsia"/>
          <w:color w:val="000000"/>
          <w:sz w:val="32"/>
          <w:szCs w:val="32"/>
        </w:rPr>
        <w:t>政务公开全清单，确保清单事项完整</w:t>
      </w:r>
      <w:r w:rsidR="00651D1D">
        <w:rPr>
          <w:rFonts w:ascii="仿宋_GB2312" w:eastAsia="仿宋_GB2312" w:hAnsi="Times New Roman" w:hint="eastAsia"/>
          <w:color w:val="000000"/>
          <w:sz w:val="32"/>
          <w:szCs w:val="32"/>
        </w:rPr>
        <w:t>,并</w:t>
      </w:r>
      <w:r w:rsidR="00651D1D" w:rsidRPr="00B3690E">
        <w:rPr>
          <w:rFonts w:ascii="仿宋_GB2312" w:eastAsia="仿宋_GB2312" w:hAnsi="Times New Roman" w:hint="eastAsia"/>
          <w:color w:val="000000"/>
          <w:sz w:val="32"/>
          <w:szCs w:val="32"/>
        </w:rPr>
        <w:t>按规</w:t>
      </w:r>
      <w:r w:rsidR="00651D1D">
        <w:rPr>
          <w:rFonts w:ascii="仿宋_GB2312" w:eastAsia="仿宋_GB2312" w:hAnsi="Times New Roman" w:hint="eastAsia"/>
          <w:color w:val="000000"/>
          <w:sz w:val="32"/>
          <w:szCs w:val="32"/>
        </w:rPr>
        <w:t>按时</w:t>
      </w:r>
      <w:r w:rsidR="00651D1D" w:rsidRPr="00B3690E">
        <w:rPr>
          <w:rFonts w:ascii="仿宋_GB2312" w:eastAsia="仿宋_GB2312" w:hAnsi="Times New Roman" w:hint="eastAsia"/>
          <w:color w:val="000000"/>
          <w:sz w:val="32"/>
          <w:szCs w:val="32"/>
        </w:rPr>
        <w:t>公布“主动公开清单”</w:t>
      </w:r>
      <w:r>
        <w:rPr>
          <w:rFonts w:ascii="仿宋_GB2312" w:eastAsia="仿宋_GB2312" w:hint="eastAsia"/>
          <w:sz w:val="32"/>
        </w:rPr>
        <w:t>，并</w:t>
      </w:r>
      <w:r w:rsidRPr="004D52DA">
        <w:rPr>
          <w:rFonts w:ascii="仿宋_GB2312" w:eastAsia="仿宋_GB2312" w:hint="eastAsia"/>
          <w:sz w:val="32"/>
        </w:rPr>
        <w:t>及时准确公开相关信息。</w:t>
      </w:r>
      <w:r w:rsidR="00651D1D" w:rsidRPr="00AF65B1">
        <w:rPr>
          <w:rFonts w:ascii="仿宋_GB2312" w:eastAsia="仿宋_GB2312" w:hAnsi="Times New Roman" w:hint="eastAsia"/>
          <w:color w:val="000000"/>
          <w:sz w:val="32"/>
          <w:szCs w:val="32"/>
        </w:rPr>
        <w:t>望京街道202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="00651D1D" w:rsidRPr="00AF65B1">
        <w:rPr>
          <w:rFonts w:ascii="仿宋_GB2312" w:eastAsia="仿宋_GB2312" w:hAnsi="Times New Roman" w:hint="eastAsia"/>
          <w:color w:val="000000"/>
          <w:sz w:val="32"/>
          <w:szCs w:val="32"/>
        </w:rPr>
        <w:t>年共主动公开政府信息</w:t>
      </w:r>
      <w:r w:rsidR="00D521D2">
        <w:rPr>
          <w:rFonts w:ascii="仿宋_GB2312" w:eastAsia="仿宋_GB2312" w:hAnsi="Times New Roman" w:hint="eastAsia"/>
          <w:color w:val="000000"/>
          <w:sz w:val="32"/>
          <w:szCs w:val="32"/>
        </w:rPr>
        <w:t>178</w:t>
      </w:r>
      <w:r w:rsidR="00651D1D" w:rsidRPr="00AF65B1">
        <w:rPr>
          <w:rFonts w:ascii="仿宋_GB2312" w:eastAsia="仿宋_GB2312" w:hAnsi="Times New Roman" w:hint="eastAsia"/>
          <w:color w:val="000000"/>
          <w:sz w:val="32"/>
          <w:szCs w:val="32"/>
        </w:rPr>
        <w:t>条，内容包括活动信息、年度财政预算决算、通知公告等，涉及</w:t>
      </w:r>
      <w:r w:rsidR="00651D1D" w:rsidRPr="00AF65B1">
        <w:rPr>
          <w:rFonts w:ascii="仿宋_GB2312" w:eastAsia="仿宋_GB2312" w:hAnsi="Times New Roman"/>
          <w:color w:val="000000"/>
          <w:sz w:val="32"/>
          <w:szCs w:val="32"/>
        </w:rPr>
        <w:t>环境治理、公共服务、公益事业、治安管理、文化建设、民生保障等方面。</w:t>
      </w:r>
      <w:r w:rsidRPr="004D52DA">
        <w:rPr>
          <w:rFonts w:ascii="Times New Roman" w:eastAsia="仿宋_GB2312" w:hAnsi="Times New Roman" w:cs="Times New Roman" w:hint="eastAsia"/>
          <w:sz w:val="32"/>
          <w:szCs w:val="32"/>
        </w:rPr>
        <w:t>我街道</w:t>
      </w:r>
      <w:r w:rsidRPr="004D52DA">
        <w:rPr>
          <w:rFonts w:ascii="仿宋_GB2312" w:eastAsia="仿宋_GB2312" w:hint="eastAsia"/>
          <w:sz w:val="32"/>
        </w:rPr>
        <w:t>及时公开实施行政处罚的依据、条件、程序、结果等信息，按年度公开财政预、决算信息及政府信息公开年报。</w:t>
      </w:r>
    </w:p>
    <w:p w:rsidR="00651D1D" w:rsidRPr="000703F6" w:rsidRDefault="0079406D" w:rsidP="00651D1D">
      <w:pPr>
        <w:spacing w:line="560" w:lineRule="exact"/>
        <w:ind w:firstLine="60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b/>
          <w:sz w:val="32"/>
          <w:szCs w:val="32"/>
        </w:rPr>
        <w:lastRenderedPageBreak/>
        <w:t>3</w:t>
      </w:r>
      <w:r w:rsidR="00651D1D" w:rsidRPr="000703F6">
        <w:rPr>
          <w:rFonts w:ascii="仿宋_GB2312" w:eastAsia="仿宋_GB2312" w:hAnsi="ˎ̥" w:hint="eastAsia"/>
          <w:b/>
          <w:sz w:val="32"/>
          <w:szCs w:val="32"/>
        </w:rPr>
        <w:t>.依申请公开办理情况：</w:t>
      </w:r>
      <w:r>
        <w:rPr>
          <w:rFonts w:ascii="仿宋_GB2312" w:eastAsia="仿宋_GB2312" w:hAnsi="ˎ̥" w:hint="eastAsia"/>
          <w:sz w:val="32"/>
          <w:szCs w:val="32"/>
        </w:rPr>
        <w:t>我</w:t>
      </w:r>
      <w:r w:rsidR="00651D1D">
        <w:rPr>
          <w:rFonts w:ascii="仿宋_GB2312" w:eastAsia="仿宋_GB2312" w:hAnsi="ˎ̥" w:hint="eastAsia"/>
          <w:sz w:val="32"/>
          <w:szCs w:val="32"/>
        </w:rPr>
        <w:t>街道为辖区居民开通了热线电话、信函、传真、电子邮件等多种政府信息申请渠道，</w:t>
      </w:r>
      <w:r w:rsidR="00651D1D">
        <w:rPr>
          <w:rFonts w:ascii="仿宋_GB2312" w:eastAsia="仿宋_GB2312" w:hint="eastAsia"/>
          <w:sz w:val="32"/>
          <w:szCs w:val="30"/>
        </w:rPr>
        <w:t>并定期自测自查，保持网站、邮件、电话等</w:t>
      </w:r>
      <w:r w:rsidR="00651D1D" w:rsidRPr="00FF1A77">
        <w:rPr>
          <w:rFonts w:ascii="仿宋_GB2312" w:eastAsia="仿宋_GB2312" w:hint="eastAsia"/>
          <w:sz w:val="32"/>
          <w:szCs w:val="30"/>
        </w:rPr>
        <w:t>渠道通畅。</w:t>
      </w:r>
      <w:r w:rsidR="00651D1D">
        <w:rPr>
          <w:rFonts w:ascii="仿宋_GB2312" w:eastAsia="仿宋_GB2312" w:hAnsi="ˎ̥" w:hint="eastAsia"/>
          <w:sz w:val="32"/>
          <w:szCs w:val="32"/>
        </w:rPr>
        <w:t>202</w:t>
      </w:r>
      <w:r>
        <w:rPr>
          <w:rFonts w:ascii="仿宋_GB2312" w:eastAsia="仿宋_GB2312" w:hAnsi="ˎ̥" w:hint="eastAsia"/>
          <w:sz w:val="32"/>
          <w:szCs w:val="32"/>
        </w:rPr>
        <w:t>1</w:t>
      </w:r>
      <w:r w:rsidR="00651D1D">
        <w:rPr>
          <w:rFonts w:ascii="仿宋_GB2312" w:eastAsia="仿宋_GB2312" w:hAnsi="ˎ̥" w:hint="eastAsia"/>
          <w:sz w:val="32"/>
          <w:szCs w:val="32"/>
        </w:rPr>
        <w:t>年共收到信息公开的信函申请</w:t>
      </w:r>
      <w:r>
        <w:rPr>
          <w:rFonts w:ascii="仿宋_GB2312" w:eastAsia="仿宋_GB2312" w:hAnsi="ˎ̥" w:hint="eastAsia"/>
          <w:sz w:val="32"/>
          <w:szCs w:val="32"/>
        </w:rPr>
        <w:t>1</w:t>
      </w:r>
      <w:r w:rsidR="00651D1D">
        <w:rPr>
          <w:rFonts w:ascii="仿宋_GB2312" w:eastAsia="仿宋_GB2312" w:hAnsi="ˎ̥" w:hint="eastAsia"/>
          <w:sz w:val="32"/>
          <w:szCs w:val="32"/>
        </w:rPr>
        <w:t>件，电子邮件申请</w:t>
      </w:r>
      <w:r>
        <w:rPr>
          <w:rFonts w:ascii="仿宋_GB2312" w:eastAsia="仿宋_GB2312" w:hAnsi="ˎ̥" w:hint="eastAsia"/>
          <w:sz w:val="32"/>
          <w:szCs w:val="32"/>
        </w:rPr>
        <w:t>2</w:t>
      </w:r>
      <w:r w:rsidR="00651D1D">
        <w:rPr>
          <w:rFonts w:ascii="仿宋_GB2312" w:eastAsia="仿宋_GB2312" w:hAnsi="ˎ̥" w:hint="eastAsia"/>
          <w:sz w:val="32"/>
          <w:szCs w:val="32"/>
        </w:rPr>
        <w:t>件，共</w:t>
      </w:r>
      <w:r>
        <w:rPr>
          <w:rFonts w:ascii="仿宋_GB2312" w:eastAsia="仿宋_GB2312" w:hAnsi="ˎ̥" w:hint="eastAsia"/>
          <w:sz w:val="32"/>
          <w:szCs w:val="32"/>
        </w:rPr>
        <w:t>3</w:t>
      </w:r>
      <w:r w:rsidR="00651D1D">
        <w:rPr>
          <w:rFonts w:ascii="仿宋_GB2312" w:eastAsia="仿宋_GB2312" w:hAnsi="ˎ̥" w:hint="eastAsia"/>
          <w:sz w:val="32"/>
          <w:szCs w:val="32"/>
        </w:rPr>
        <w:t>件（其中1件属已公开，</w:t>
      </w:r>
      <w:r w:rsidRPr="004D52D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D52DA">
        <w:rPr>
          <w:rFonts w:ascii="Times New Roman" w:eastAsia="仿宋_GB2312" w:hAnsi="Times New Roman" w:cs="Times New Roman" w:hint="eastAsia"/>
          <w:sz w:val="32"/>
          <w:szCs w:val="32"/>
        </w:rPr>
        <w:t>件经核查信息不存在</w:t>
      </w:r>
      <w:r>
        <w:rPr>
          <w:rFonts w:ascii="仿宋_GB2312" w:eastAsia="仿宋_GB2312" w:hAnsi="ˎ̥" w:hint="eastAsia"/>
          <w:sz w:val="32"/>
          <w:szCs w:val="32"/>
        </w:rPr>
        <w:t>，一件属不予受理</w:t>
      </w:r>
      <w:r w:rsidR="00651D1D">
        <w:rPr>
          <w:rFonts w:ascii="仿宋_GB2312" w:eastAsia="仿宋_GB2312" w:hAnsi="ˎ̥" w:hint="eastAsia"/>
          <w:sz w:val="32"/>
          <w:szCs w:val="32"/>
        </w:rPr>
        <w:t>）。</w:t>
      </w:r>
      <w:r w:rsidRPr="004D52DA">
        <w:rPr>
          <w:rFonts w:ascii="仿宋_GB2312" w:eastAsia="仿宋_GB2312" w:hint="eastAsia"/>
          <w:sz w:val="32"/>
        </w:rPr>
        <w:t>依申请公开的登记、审核、办理、答复、归卷等流程规范，答复内容有针对性。</w:t>
      </w:r>
      <w:r w:rsidR="00651D1D" w:rsidRPr="00FF1A77">
        <w:rPr>
          <w:rFonts w:ascii="仿宋_GB2312" w:eastAsia="仿宋_GB2312" w:hint="eastAsia"/>
          <w:sz w:val="32"/>
          <w:szCs w:val="30"/>
        </w:rPr>
        <w:t>对于申请公开的内容，均按期且合法合规地进行答复，未因政府信息公开申请引发行政复议或行政诉讼。</w:t>
      </w:r>
    </w:p>
    <w:p w:rsidR="00651D1D" w:rsidRPr="000703F6" w:rsidRDefault="0079406D" w:rsidP="00651D1D">
      <w:pPr>
        <w:spacing w:line="560" w:lineRule="exact"/>
        <w:ind w:firstLine="60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b/>
          <w:sz w:val="32"/>
          <w:szCs w:val="32"/>
        </w:rPr>
        <w:t>4</w:t>
      </w:r>
      <w:r w:rsidR="00651D1D" w:rsidRPr="002F4EE6">
        <w:rPr>
          <w:rFonts w:ascii="仿宋_GB2312" w:eastAsia="仿宋_GB2312" w:hAnsi="ˎ̥" w:hint="eastAsia"/>
          <w:b/>
          <w:sz w:val="32"/>
          <w:szCs w:val="32"/>
        </w:rPr>
        <w:t>.</w:t>
      </w:r>
      <w:r w:rsidR="001B3966">
        <w:rPr>
          <w:rFonts w:ascii="仿宋_GB2312" w:eastAsia="仿宋_GB2312" w:hAnsi="ˎ̥" w:hint="eastAsia"/>
          <w:b/>
          <w:sz w:val="32"/>
          <w:szCs w:val="32"/>
        </w:rPr>
        <w:t>政府信息</w:t>
      </w:r>
      <w:bookmarkStart w:id="0" w:name="_GoBack"/>
      <w:bookmarkEnd w:id="0"/>
      <w:r w:rsidR="00651D1D" w:rsidRPr="002F4EE6">
        <w:rPr>
          <w:rFonts w:ascii="仿宋_GB2312" w:eastAsia="仿宋_GB2312" w:hAnsi="ˎ̥" w:hint="eastAsia"/>
          <w:b/>
          <w:sz w:val="32"/>
          <w:szCs w:val="32"/>
        </w:rPr>
        <w:t>管理情况</w:t>
      </w:r>
      <w:r w:rsidR="00651D1D">
        <w:rPr>
          <w:rFonts w:ascii="仿宋_GB2312" w:eastAsia="仿宋_GB2312" w:hAnsi="ˎ̥" w:hint="eastAsia"/>
          <w:b/>
          <w:sz w:val="32"/>
          <w:szCs w:val="32"/>
        </w:rPr>
        <w:t>：</w:t>
      </w:r>
      <w:r w:rsidR="00651D1D" w:rsidRPr="00FF1A77">
        <w:rPr>
          <w:rFonts w:ascii="仿宋_GB2312" w:eastAsia="仿宋_GB2312" w:hint="eastAsia"/>
          <w:sz w:val="32"/>
          <w:szCs w:val="30"/>
        </w:rPr>
        <w:t>建立了公文公开属性源头管理制度、保密审查制度，</w:t>
      </w:r>
      <w:r w:rsidR="00651D1D">
        <w:rPr>
          <w:rFonts w:ascii="仿宋_GB2312" w:eastAsia="仿宋_GB2312" w:hint="eastAsia"/>
          <w:sz w:val="32"/>
        </w:rPr>
        <w:t>依托综合办</w:t>
      </w:r>
      <w:r w:rsidR="00651D1D" w:rsidRPr="009B5C53">
        <w:rPr>
          <w:rFonts w:ascii="仿宋_GB2312" w:eastAsia="仿宋_GB2312" w:hint="eastAsia"/>
          <w:sz w:val="32"/>
        </w:rPr>
        <w:t>负责政务公开日常工作，做到领导、机构、人员“三到位”，</w:t>
      </w:r>
      <w:r w:rsidR="00651D1D" w:rsidRPr="00FF1A77">
        <w:rPr>
          <w:rFonts w:ascii="仿宋_GB2312" w:eastAsia="仿宋_GB2312" w:hint="eastAsia"/>
          <w:sz w:val="32"/>
          <w:szCs w:val="30"/>
        </w:rPr>
        <w:t>按时、主动地发布政务公开全清单和年度报告。严格履行信息发布保密审查、公文批办等程序。</w:t>
      </w:r>
    </w:p>
    <w:p w:rsidR="009221B5" w:rsidRPr="0079406D" w:rsidRDefault="0079406D" w:rsidP="0079406D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Ansi="ˎ̥" w:hint="eastAsia"/>
          <w:b/>
          <w:sz w:val="32"/>
          <w:szCs w:val="32"/>
        </w:rPr>
        <w:t>5</w:t>
      </w:r>
      <w:r w:rsidR="00651D1D" w:rsidRPr="002F4EE6">
        <w:rPr>
          <w:rFonts w:ascii="仿宋_GB2312" w:eastAsia="仿宋_GB2312" w:hAnsi="ˎ̥" w:hint="eastAsia"/>
          <w:b/>
          <w:sz w:val="32"/>
          <w:szCs w:val="32"/>
        </w:rPr>
        <w:t>.政府信息公开平台建设情况</w:t>
      </w:r>
      <w:r w:rsidR="00651D1D">
        <w:rPr>
          <w:rFonts w:ascii="仿宋_GB2312" w:eastAsia="仿宋_GB2312" w:hAnsi="ˎ̥" w:hint="eastAsia"/>
          <w:b/>
          <w:sz w:val="32"/>
          <w:szCs w:val="32"/>
        </w:rPr>
        <w:t>：</w:t>
      </w:r>
      <w:r w:rsidRPr="0079406D">
        <w:rPr>
          <w:rFonts w:ascii="仿宋_GB2312" w:eastAsia="仿宋_GB2312" w:hint="eastAsia"/>
          <w:sz w:val="32"/>
          <w:szCs w:val="30"/>
        </w:rPr>
        <w:t>街道</w:t>
      </w:r>
      <w:r w:rsidR="00651D1D" w:rsidRPr="00E86EFE">
        <w:rPr>
          <w:rFonts w:ascii="仿宋_GB2312" w:eastAsia="仿宋_GB2312" w:hint="eastAsia"/>
          <w:sz w:val="32"/>
          <w:szCs w:val="30"/>
        </w:rPr>
        <w:t>以政府网站和便民服务中心为主要阵地，线上线下相全覆盖，以微</w:t>
      </w:r>
      <w:r w:rsidR="00651D1D" w:rsidRPr="0079406D">
        <w:rPr>
          <w:rFonts w:ascii="仿宋_GB2312" w:eastAsia="仿宋_GB2312" w:hint="eastAsia"/>
          <w:sz w:val="32"/>
        </w:rPr>
        <w:t>信公众号“望京新语”为辅。</w:t>
      </w:r>
      <w:r w:rsidR="00651D1D" w:rsidRPr="0079406D">
        <w:rPr>
          <w:rFonts w:ascii="仿宋_GB2312" w:eastAsia="仿宋_GB2312"/>
          <w:sz w:val="32"/>
        </w:rPr>
        <w:t xml:space="preserve"> </w:t>
      </w:r>
    </w:p>
    <w:p w:rsidR="009221B5" w:rsidRDefault="003A4FC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p w:rsidR="009221B5" w:rsidRDefault="009221B5">
      <w:pPr>
        <w:pStyle w:val="a3"/>
        <w:widowControl/>
        <w:rPr>
          <w:rFonts w:hint="default"/>
        </w:rPr>
      </w:pPr>
    </w:p>
    <w:p w:rsidR="009221B5" w:rsidRDefault="009221B5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221B5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651D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651D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651D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651D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221B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221B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Pr="00FC04DE" w:rsidRDefault="003A4FCA">
            <w:pPr>
              <w:widowControl/>
              <w:jc w:val="left"/>
            </w:pPr>
            <w:r w:rsidRPr="00FC04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 w:rsidP="00D521D2">
            <w:pPr>
              <w:widowControl/>
              <w:jc w:val="left"/>
            </w:pPr>
            <w:r w:rsidRPr="00FC04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D52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651D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221B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9221B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9221B5" w:rsidRDefault="009221B5">
      <w:pPr>
        <w:pStyle w:val="a3"/>
        <w:widowControl/>
        <w:rPr>
          <w:rFonts w:hint="default"/>
        </w:rPr>
      </w:pPr>
    </w:p>
    <w:p w:rsidR="009221B5" w:rsidRDefault="003A4FC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p w:rsidR="009221B5" w:rsidRDefault="009221B5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9221B5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9221B5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221B5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1B5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9221B5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51D1D" w:rsidT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3A4FCA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 w:rsidTr="00651D1D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 w:rsidT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1.申请人无正当理由逾期不补正、行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 w:rsidT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 w:rsidP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51D1D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21B5" w:rsidRDefault="003A4FCA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9221B5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1B5" w:rsidRDefault="003A4FC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9221B5" w:rsidRDefault="009221B5">
      <w:pPr>
        <w:pStyle w:val="a3"/>
        <w:widowControl/>
        <w:ind w:leftChars="200" w:left="420"/>
        <w:rPr>
          <w:rFonts w:hint="default"/>
        </w:rPr>
      </w:pPr>
    </w:p>
    <w:p w:rsidR="009221B5" w:rsidRDefault="003A4FCA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:rsidR="009221B5" w:rsidRDefault="009221B5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221B5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9221B5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9221B5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922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221B5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3A4FC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651D1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651D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1B5" w:rsidRDefault="00651D1D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9221B5" w:rsidRDefault="009221B5">
      <w:pPr>
        <w:widowControl/>
        <w:jc w:val="left"/>
      </w:pPr>
    </w:p>
    <w:p w:rsidR="009221B5" w:rsidRDefault="003A4FCA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:rsidR="00651D1D" w:rsidRDefault="00651D1D" w:rsidP="003A4FCA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3A4FCA">
        <w:rPr>
          <w:rFonts w:ascii="仿宋_GB2312" w:eastAsia="仿宋_GB2312" w:hint="eastAsia"/>
          <w:sz w:val="32"/>
        </w:rPr>
        <w:t>1.</w:t>
      </w:r>
      <w:r w:rsidRPr="00651D1D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依申请公开回复周期过长，虽然已开通互联网申请受理渠道，但答复工作仍仅允许申请人选择传统通信方式接收，依靠传统纸媒完成，信息传达成本大且效率低。改进措施：在2022年度政府信息公开工作中，将在</w:t>
      </w:r>
      <w:r w:rsidRPr="00651D1D">
        <w:rPr>
          <w:rFonts w:ascii="仿宋_GB2312" w:eastAsia="仿宋_GB2312" w:hint="eastAsia"/>
          <w:sz w:val="32"/>
        </w:rPr>
        <w:t>政府信息的载体形式</w:t>
      </w:r>
      <w:r>
        <w:rPr>
          <w:rFonts w:ascii="仿宋_GB2312" w:eastAsia="仿宋_GB2312" w:hint="eastAsia"/>
          <w:sz w:val="32"/>
        </w:rPr>
        <w:t>中加</w:t>
      </w:r>
      <w:r w:rsidR="003A4FCA">
        <w:rPr>
          <w:rFonts w:ascii="仿宋_GB2312" w:eastAsia="仿宋_GB2312" w:hint="eastAsia"/>
          <w:sz w:val="32"/>
        </w:rPr>
        <w:t>入邮件等互联网载体选项</w:t>
      </w:r>
      <w:r w:rsidRPr="001404CD">
        <w:rPr>
          <w:rFonts w:ascii="仿宋_GB2312" w:eastAsia="仿宋_GB2312"/>
          <w:sz w:val="32"/>
        </w:rPr>
        <w:t>，切实做到及时</w:t>
      </w:r>
      <w:r>
        <w:rPr>
          <w:rFonts w:ascii="仿宋_GB2312" w:eastAsia="仿宋_GB2312"/>
          <w:sz w:val="32"/>
        </w:rPr>
        <w:t>、</w:t>
      </w:r>
      <w:r>
        <w:rPr>
          <w:rFonts w:ascii="仿宋_GB2312" w:eastAsia="仿宋_GB2312" w:hint="eastAsia"/>
          <w:sz w:val="32"/>
        </w:rPr>
        <w:t>准确</w:t>
      </w:r>
      <w:r w:rsidRPr="001404CD">
        <w:rPr>
          <w:rFonts w:ascii="仿宋_GB2312" w:eastAsia="仿宋_GB2312"/>
          <w:sz w:val="32"/>
        </w:rPr>
        <w:t>地政府信息公开。</w:t>
      </w:r>
    </w:p>
    <w:p w:rsidR="003A4FCA" w:rsidRDefault="00651D1D" w:rsidP="00651D1D">
      <w:pPr>
        <w:widowControl/>
        <w:spacing w:line="560" w:lineRule="exact"/>
        <w:ind w:firstLine="675"/>
        <w:jc w:val="left"/>
        <w:rPr>
          <w:rFonts w:ascii="仿宋_GB2312" w:eastAsia="仿宋_GB2312"/>
          <w:sz w:val="32"/>
        </w:rPr>
      </w:pPr>
      <w:r w:rsidRPr="003A4FCA">
        <w:rPr>
          <w:rFonts w:ascii="仿宋_GB2312" w:eastAsia="仿宋_GB2312" w:hint="eastAsia"/>
          <w:sz w:val="32"/>
        </w:rPr>
        <w:t>2.</w:t>
      </w:r>
      <w:r>
        <w:rPr>
          <w:rFonts w:ascii="仿宋_GB2312" w:eastAsia="仿宋_GB2312" w:hint="eastAsia"/>
          <w:sz w:val="32"/>
        </w:rPr>
        <w:t>依申请公开</w:t>
      </w:r>
      <w:r w:rsidR="003A4FCA">
        <w:rPr>
          <w:rFonts w:ascii="仿宋_GB2312" w:eastAsia="仿宋_GB2312" w:hint="eastAsia"/>
          <w:sz w:val="32"/>
        </w:rPr>
        <w:t>规范化管理水平有待提高</w:t>
      </w:r>
      <w:r>
        <w:rPr>
          <w:rFonts w:ascii="仿宋_GB2312" w:eastAsia="仿宋_GB2312" w:hint="eastAsia"/>
          <w:sz w:val="32"/>
        </w:rPr>
        <w:t>，</w:t>
      </w:r>
      <w:r w:rsidR="003A4FCA">
        <w:rPr>
          <w:rFonts w:ascii="仿宋_GB2312" w:eastAsia="仿宋_GB2312" w:hint="eastAsia"/>
          <w:sz w:val="32"/>
        </w:rPr>
        <w:t>对于少数特殊申请事由仍存在答复依据不明、答复依据援引的政府公开条例文件过时等问题。改进措施：</w:t>
      </w:r>
      <w:r w:rsidR="003A4FCA">
        <w:rPr>
          <w:rFonts w:ascii="仿宋_GB2312" w:eastAsia="仿宋_GB2312" w:hint="eastAsia"/>
          <w:sz w:val="32"/>
          <w:szCs w:val="32"/>
        </w:rPr>
        <w:t>通过自学、培训等方式加强对政务公开工作的认识，及时根据政务公开工作的最新要求调整政务公开工作</w:t>
      </w:r>
      <w:r w:rsidR="007D3DE7">
        <w:rPr>
          <w:rFonts w:ascii="仿宋_GB2312" w:eastAsia="仿宋_GB2312" w:hint="eastAsia"/>
          <w:sz w:val="32"/>
          <w:szCs w:val="32"/>
        </w:rPr>
        <w:t>。</w:t>
      </w:r>
    </w:p>
    <w:p w:rsidR="00651D1D" w:rsidRDefault="003A4FCA" w:rsidP="00651D1D">
      <w:pPr>
        <w:widowControl/>
        <w:spacing w:line="560" w:lineRule="exact"/>
        <w:ind w:firstLine="67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3. 政务公开</w:t>
      </w:r>
      <w:r w:rsidR="0079406D">
        <w:rPr>
          <w:rFonts w:ascii="仿宋_GB2312" w:eastAsia="仿宋_GB2312" w:hint="eastAsia"/>
          <w:sz w:val="32"/>
        </w:rPr>
        <w:t>内容不够具体</w:t>
      </w:r>
      <w:r w:rsidR="00651D1D">
        <w:rPr>
          <w:rFonts w:ascii="仿宋_GB2312" w:eastAsia="仿宋_GB2312" w:hint="eastAsia"/>
          <w:sz w:val="32"/>
        </w:rPr>
        <w:t>，</w:t>
      </w:r>
      <w:r w:rsidR="0079406D">
        <w:rPr>
          <w:rFonts w:ascii="仿宋_GB2312" w:eastAsia="仿宋_GB2312" w:hint="eastAsia"/>
          <w:sz w:val="32"/>
        </w:rPr>
        <w:t>民生、财务方面部分公开内容过于笼统，一些明细项目未能提及；政策方面</w:t>
      </w:r>
      <w:r w:rsidR="00651D1D">
        <w:rPr>
          <w:rFonts w:ascii="仿宋_GB2312" w:eastAsia="仿宋_GB2312" w:hint="eastAsia"/>
          <w:sz w:val="32"/>
        </w:rPr>
        <w:t>大多数停留在对上级部门政策的简单转发。改进措施：结合群众普遍关心的问题和事件，开展详细解读，</w:t>
      </w:r>
      <w:r w:rsidR="0079406D">
        <w:rPr>
          <w:rFonts w:ascii="仿宋_GB2312" w:eastAsia="仿宋_GB2312" w:hint="eastAsia"/>
          <w:sz w:val="32"/>
        </w:rPr>
        <w:t>提高干部群众参政议政、当家做主的意识，</w:t>
      </w:r>
      <w:r w:rsidR="00651D1D">
        <w:rPr>
          <w:rFonts w:ascii="仿宋_GB2312" w:eastAsia="仿宋_GB2312" w:hint="eastAsia"/>
          <w:sz w:val="32"/>
        </w:rPr>
        <w:t>用更加接地气的方式进行政策宣传</w:t>
      </w:r>
      <w:r w:rsidR="0079406D">
        <w:rPr>
          <w:rFonts w:ascii="仿宋_GB2312" w:eastAsia="仿宋_GB2312" w:hint="eastAsia"/>
          <w:sz w:val="32"/>
        </w:rPr>
        <w:t>。</w:t>
      </w:r>
    </w:p>
    <w:p w:rsidR="009221B5" w:rsidRDefault="003A4FCA" w:rsidP="00651D1D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六、其他需要报告的事项</w:t>
      </w:r>
    </w:p>
    <w:p w:rsidR="009221B5" w:rsidRDefault="00B20F94" w:rsidP="00826121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B20F94">
        <w:rPr>
          <w:rFonts w:ascii="仿宋_GB2312" w:eastAsia="仿宋_GB2312" w:hint="eastAsia"/>
          <w:sz w:val="32"/>
          <w:szCs w:val="32"/>
        </w:rPr>
        <w:t>我街道本年度</w:t>
      </w:r>
      <w:r w:rsidR="001B3966">
        <w:rPr>
          <w:rFonts w:ascii="仿宋_GB2312" w:eastAsia="仿宋_GB2312" w:hAnsi="仿宋_GB2312" w:cs="仿宋_GB2312" w:hint="eastAsia"/>
          <w:sz w:val="32"/>
          <w:szCs w:val="32"/>
        </w:rPr>
        <w:t>发出收费通知的件数和总金额以及实际收取的总金额均为0</w:t>
      </w:r>
      <w:r w:rsidRPr="00B20F94">
        <w:rPr>
          <w:rFonts w:ascii="仿宋_GB2312" w:eastAsia="仿宋_GB2312" w:hint="eastAsia"/>
          <w:sz w:val="32"/>
          <w:szCs w:val="32"/>
        </w:rPr>
        <w:t>。</w:t>
      </w:r>
      <w:r w:rsidR="00651D1D" w:rsidRPr="00B20247">
        <w:rPr>
          <w:rFonts w:ascii="仿宋_GB2312" w:eastAsia="仿宋_GB2312" w:hint="eastAsia"/>
          <w:sz w:val="32"/>
          <w:szCs w:val="32"/>
        </w:rPr>
        <w:t>本报告所列数据的统计期限,自20</w:t>
      </w:r>
      <w:r w:rsidR="00651D1D">
        <w:rPr>
          <w:rFonts w:ascii="仿宋_GB2312" w:eastAsia="仿宋_GB2312" w:hint="eastAsia"/>
          <w:sz w:val="32"/>
          <w:szCs w:val="32"/>
        </w:rPr>
        <w:t>21</w:t>
      </w:r>
      <w:r w:rsidR="00651D1D" w:rsidRPr="00B20247">
        <w:rPr>
          <w:rFonts w:ascii="仿宋_GB2312" w:eastAsia="仿宋_GB2312" w:hint="eastAsia"/>
          <w:sz w:val="32"/>
          <w:szCs w:val="32"/>
        </w:rPr>
        <w:t>年1月1日起至12月31</w:t>
      </w:r>
      <w:r w:rsidR="00651D1D">
        <w:rPr>
          <w:rFonts w:ascii="仿宋_GB2312" w:eastAsia="仿宋_GB2312" w:hint="eastAsia"/>
          <w:sz w:val="32"/>
          <w:szCs w:val="32"/>
        </w:rPr>
        <w:t>日止。本报告的电子版可登录</w:t>
      </w:r>
      <w:r w:rsidR="00651D1D" w:rsidRPr="00B20247">
        <w:rPr>
          <w:rFonts w:ascii="仿宋_GB2312" w:eastAsia="仿宋_GB2312" w:hint="eastAsia"/>
          <w:sz w:val="32"/>
          <w:szCs w:val="32"/>
        </w:rPr>
        <w:t>朝阳区政府门户网站</w:t>
      </w:r>
      <w:r w:rsidR="00651D1D">
        <w:rPr>
          <w:rFonts w:ascii="仿宋_GB2312" w:eastAsia="仿宋_GB2312" w:hint="eastAsia"/>
          <w:sz w:val="32"/>
          <w:szCs w:val="32"/>
        </w:rPr>
        <w:t>（北京·朝阳</w:t>
      </w:r>
      <w:r w:rsidR="00651D1D" w:rsidRPr="00B20247">
        <w:rPr>
          <w:rFonts w:ascii="仿宋_GB2312" w:eastAsia="仿宋_GB2312" w:hint="eastAsia"/>
          <w:sz w:val="32"/>
          <w:szCs w:val="32"/>
        </w:rPr>
        <w:t>）http://www.bjchy.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51D1D" w:rsidRPr="00B20247">
        <w:rPr>
          <w:rFonts w:ascii="仿宋_GB2312" w:eastAsia="仿宋_GB2312" w:hint="eastAsia"/>
          <w:sz w:val="32"/>
          <w:szCs w:val="32"/>
        </w:rPr>
        <w:t>gov.cn/</w:t>
      </w:r>
      <w:r w:rsidR="00651D1D">
        <w:rPr>
          <w:rFonts w:ascii="仿宋_GB2312" w:eastAsia="仿宋_GB2312" w:hint="eastAsia"/>
          <w:sz w:val="32"/>
          <w:szCs w:val="32"/>
        </w:rPr>
        <w:t>——政府信息公开栏目——政府信息公开年报</w:t>
      </w:r>
      <w:r w:rsidR="00651D1D" w:rsidRPr="00B20247">
        <w:rPr>
          <w:rFonts w:ascii="仿宋_GB2312" w:eastAsia="仿宋_GB2312" w:hint="eastAsia"/>
          <w:sz w:val="32"/>
          <w:szCs w:val="32"/>
        </w:rPr>
        <w:t>下载查阅。无其他需要报告的事项</w:t>
      </w:r>
      <w:r w:rsidR="00651D1D">
        <w:rPr>
          <w:rFonts w:ascii="仿宋_GB2312" w:eastAsia="仿宋_GB2312" w:hint="eastAsia"/>
          <w:sz w:val="32"/>
          <w:szCs w:val="32"/>
        </w:rPr>
        <w:t>。</w:t>
      </w:r>
    </w:p>
    <w:p w:rsidR="00826121" w:rsidRDefault="00826121" w:rsidP="00826121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826121" w:rsidRDefault="00826121" w:rsidP="00826121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望京街道办事处</w:t>
      </w:r>
    </w:p>
    <w:p w:rsidR="00826121" w:rsidRPr="003A4FCA" w:rsidRDefault="00826121" w:rsidP="00826121">
      <w:pPr>
        <w:widowControl/>
        <w:spacing w:line="560" w:lineRule="exact"/>
        <w:ind w:firstLineChars="1750" w:firstLine="5600"/>
        <w:jc w:val="left"/>
        <w:rPr>
          <w:rFonts w:ascii="仿宋_GB2312" w:eastAsia="仿宋_GB2312" w:hAnsi="宋体" w:cs="宋体"/>
          <w:color w:val="9BC2E6"/>
          <w:spacing w:val="8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2022年1月5日</w:t>
      </w:r>
    </w:p>
    <w:sectPr w:rsidR="00826121" w:rsidRPr="003A4FCA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B5"/>
    <w:rsid w:val="001B3966"/>
    <w:rsid w:val="003A4FCA"/>
    <w:rsid w:val="005E6B8C"/>
    <w:rsid w:val="00651D1D"/>
    <w:rsid w:val="0079406D"/>
    <w:rsid w:val="007D3DE7"/>
    <w:rsid w:val="00826121"/>
    <w:rsid w:val="009221B5"/>
    <w:rsid w:val="00B20F94"/>
    <w:rsid w:val="00D521D2"/>
    <w:rsid w:val="00FC04DE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character" w:styleId="a5">
    <w:name w:val="Hyperlink"/>
    <w:basedOn w:val="a0"/>
    <w:rsid w:val="00B20F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character" w:styleId="a5">
    <w:name w:val="Hyperlink"/>
    <w:basedOn w:val="a0"/>
    <w:rsid w:val="00B20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32102-6BFD-4A48-912A-F96688EB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13</cp:revision>
  <cp:lastPrinted>2022-01-05T06:35:00Z</cp:lastPrinted>
  <dcterms:created xsi:type="dcterms:W3CDTF">2021-03-25T11:30:00Z</dcterms:created>
  <dcterms:modified xsi:type="dcterms:W3CDTF">2022-01-19T02:22:00Z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63565455EC034C6A92A3B4EC4E36682F</vt:lpwstr>
  </property>
</Properties>
</file>